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0EE5F1" w14:textId="77777777" w:rsidR="003B6A8C" w:rsidRDefault="003B6A8C" w:rsidP="003B6A8C">
      <w:pPr>
        <w:spacing w:line="240" w:lineRule="auto"/>
        <w:rPr>
          <w:b/>
          <w:u w:val="single"/>
        </w:rPr>
      </w:pPr>
      <w:bookmarkStart w:id="0" w:name="_GoBack"/>
      <w:bookmarkEnd w:id="0"/>
      <w:r>
        <w:rPr>
          <w:b/>
          <w:u w:val="single"/>
        </w:rPr>
        <w:t>Project Number:  EMC-2017-001</w:t>
      </w:r>
    </w:p>
    <w:p w14:paraId="469816DB" w14:textId="77777777" w:rsidR="003B6A8C" w:rsidRPr="00EF7760" w:rsidRDefault="003B6A8C" w:rsidP="00EF7760">
      <w:pPr>
        <w:pStyle w:val="Heading1"/>
      </w:pPr>
      <w:r w:rsidRPr="00EF7760">
        <w:t xml:space="preserve">Project Name:  </w:t>
      </w:r>
      <w:r w:rsidRPr="00EF7760">
        <w:rPr>
          <w:rStyle w:val="Heading1Char"/>
          <w:b/>
        </w:rPr>
        <w:t>Effects of Forest</w:t>
      </w:r>
      <w:r w:rsidRPr="00EF7760">
        <w:t xml:space="preserve"> Stand Density Reduction on Nutrient Cycling and Nutrient Transport at the Caspar Creek Experimental Watershed</w:t>
      </w:r>
      <w:r w:rsidR="00D15C2D" w:rsidRPr="00EF7760">
        <w:t>s</w:t>
      </w:r>
    </w:p>
    <w:p w14:paraId="53B1B443" w14:textId="4E882AB7" w:rsidR="003B6A8C" w:rsidRDefault="003B6A8C" w:rsidP="003B6A8C">
      <w:pPr>
        <w:spacing w:line="240" w:lineRule="auto"/>
      </w:pPr>
      <w:r>
        <w:t>March 2</w:t>
      </w:r>
      <w:r w:rsidR="003F10C0">
        <w:t>7</w:t>
      </w:r>
      <w:r>
        <w:t>, 2017</w:t>
      </w:r>
    </w:p>
    <w:p w14:paraId="0D5ED61C" w14:textId="0E53C998" w:rsidR="008D23DC" w:rsidRPr="00EF7760" w:rsidRDefault="003B6A8C" w:rsidP="00EF7760">
      <w:pPr>
        <w:pStyle w:val="Heading2"/>
      </w:pPr>
      <w:r w:rsidRPr="00EF7760">
        <w:t xml:space="preserve">Background Information </w:t>
      </w:r>
    </w:p>
    <w:p w14:paraId="0A48A7FF" w14:textId="4055BCE6" w:rsidR="004C01B0" w:rsidRDefault="004C01B0" w:rsidP="004C01B0">
      <w:pPr>
        <w:spacing w:line="240" w:lineRule="auto"/>
      </w:pPr>
      <w:r w:rsidRPr="00735EF0">
        <w:t>Forest management strategies</w:t>
      </w:r>
      <w:r>
        <w:t>,</w:t>
      </w:r>
      <w:r w:rsidRPr="00735EF0">
        <w:t xml:space="preserve"> and forest harvesting are often implicated as having adverse effects on nutrient cycling, sediment transport and hydrological processes in forested watersheds.</w:t>
      </w:r>
      <w:r>
        <w:t xml:space="preserve"> This study is examining changes in major nutrients across sub-watersheds harvested with varying levels of stand density reduction in the South Fork of Caspar Creek.  A range of treatments will be used, going from 25% reduction to a 75% reduction.  Six research </w:t>
      </w:r>
      <w:r w:rsidR="00D6236D">
        <w:t>sub-</w:t>
      </w:r>
      <w:r>
        <w:t xml:space="preserve">watersheds will be harvested in 2018 at a rate of 25, 35, 45, 55, 65, and 75% reduction in leaf area, while two </w:t>
      </w:r>
      <w:r w:rsidR="00D6236D">
        <w:t>sub-</w:t>
      </w:r>
      <w:r>
        <w:t xml:space="preserve">watersheds will be established as long-term controls.  The overarching objective of the third experiment is to quantify the influence of multi-aged sylvicultural systems on physical, chemical, and biological watershed processes. </w:t>
      </w:r>
      <w:r w:rsidRPr="00735EF0">
        <w:t>Th</w:t>
      </w:r>
      <w:r>
        <w:t>is</w:t>
      </w:r>
      <w:r w:rsidRPr="00735EF0">
        <w:t xml:space="preserve"> experiment </w:t>
      </w:r>
      <w:r>
        <w:t xml:space="preserve">in the Caspar Creek watershed </w:t>
      </w:r>
      <w:r w:rsidRPr="00735EF0">
        <w:t xml:space="preserve">will result in a systematic understanding of the connection between forest </w:t>
      </w:r>
      <w:r>
        <w:t>canopy removal</w:t>
      </w:r>
      <w:r w:rsidRPr="00735EF0">
        <w:t xml:space="preserve"> and watershed processes that can be used to develop sound management practices in similar Coast</w:t>
      </w:r>
      <w:r w:rsidR="006D4A9D">
        <w:t>al</w:t>
      </w:r>
      <w:r w:rsidRPr="00735EF0">
        <w:t xml:space="preserve"> Range watersheds in the future</w:t>
      </w:r>
      <w:r w:rsidR="005F0BB5">
        <w:t xml:space="preserve"> (</w:t>
      </w:r>
      <w:proofErr w:type="spellStart"/>
      <w:r w:rsidR="005F0BB5">
        <w:t>Dymond</w:t>
      </w:r>
      <w:proofErr w:type="spellEnd"/>
      <w:r w:rsidR="005F0BB5">
        <w:t xml:space="preserve"> 201</w:t>
      </w:r>
      <w:r w:rsidR="00E5250F">
        <w:t>6</w:t>
      </w:r>
      <w:r w:rsidR="005F0BB5">
        <w:t>)</w:t>
      </w:r>
      <w:r w:rsidRPr="00735EF0">
        <w:t>.</w:t>
      </w:r>
      <w:r>
        <w:t xml:space="preserve">  </w:t>
      </w:r>
    </w:p>
    <w:p w14:paraId="5C7C95DE" w14:textId="3DC58539" w:rsidR="004C01B0" w:rsidRPr="00EF7760" w:rsidRDefault="004C01B0" w:rsidP="00EF7760">
      <w:pPr>
        <w:spacing w:line="240" w:lineRule="auto"/>
      </w:pPr>
      <w:r>
        <w:t xml:space="preserve">This project is part of </w:t>
      </w:r>
      <w:r w:rsidR="006D4A9D">
        <w:t xml:space="preserve">a </w:t>
      </w:r>
      <w:r>
        <w:t xml:space="preserve">suite of sub-studies collectively known as the Third Experiment at Caspar Creek.  </w:t>
      </w:r>
      <w:r w:rsidRPr="004C01B0">
        <w:t xml:space="preserve">The other sub-studies include the watershed resilience and recovery study, plant-soil-water dynamics study, Water Worlds study, bioassessment study, DHSVM (Distributed Hydrology Soil Vegetation Model) </w:t>
      </w:r>
      <w:r w:rsidRPr="001C4920">
        <w:t>study, sediment fingerprinting study, fine</w:t>
      </w:r>
      <w:r>
        <w:t xml:space="preserve"> sediment study, road rehabilitation study, and landslide mapping study.  </w:t>
      </w:r>
      <w:r w:rsidRPr="0092241C">
        <w:t>This work complements what is being learned</w:t>
      </w:r>
      <w:r>
        <w:t xml:space="preserve"> through implementation of s</w:t>
      </w:r>
      <w:r w:rsidRPr="0092241C">
        <w:t xml:space="preserve">everal </w:t>
      </w:r>
      <w:r>
        <w:t xml:space="preserve">of these </w:t>
      </w:r>
      <w:r w:rsidRPr="0092241C">
        <w:t>sub-studies</w:t>
      </w:r>
      <w:r>
        <w:t xml:space="preserve"> in the South Fork</w:t>
      </w:r>
      <w:r w:rsidRPr="0092241C">
        <w:t>, including the plant-soil-water dynamics</w:t>
      </w:r>
      <w:r>
        <w:t>,</w:t>
      </w:r>
      <w:r w:rsidRPr="0092241C">
        <w:t xml:space="preserve"> the Water Worlds</w:t>
      </w:r>
      <w:r>
        <w:t>, sediment fingerprinting, and bioassessment studies (all currently funded)</w:t>
      </w:r>
      <w:r w:rsidRPr="0092241C">
        <w:t>.</w:t>
      </w:r>
      <w:r>
        <w:t xml:space="preserve">  The response of biogeochemical processes to disturbance may also provide useful information when evaluating the impacts of emerging land uses, such as c</w:t>
      </w:r>
      <w:r w:rsidRPr="004C01B0">
        <w:t>annabis</w:t>
      </w:r>
      <w:r>
        <w:t xml:space="preserve"> cultivation.</w:t>
      </w:r>
    </w:p>
    <w:p w14:paraId="17AA7EA0" w14:textId="495CE9FF" w:rsidR="004C01B0" w:rsidRPr="00EF7760" w:rsidRDefault="004C01B0" w:rsidP="004C01B0">
      <w:pPr>
        <w:pStyle w:val="Heading2"/>
      </w:pPr>
      <w:r w:rsidRPr="003B6A8C">
        <w:t>Relationship to the Effectiveness Monitoring Committee and EMC Strategic Plan</w:t>
      </w:r>
    </w:p>
    <w:p w14:paraId="02C88643" w14:textId="77777777" w:rsidR="0040221B" w:rsidRDefault="004C01B0" w:rsidP="00EF7760">
      <w:pPr>
        <w:pStyle w:val="Heading3"/>
      </w:pPr>
      <w:r w:rsidRPr="00115326">
        <w:t xml:space="preserve">EMC Critical </w:t>
      </w:r>
      <w:r w:rsidRPr="00EF7760">
        <w:t>monitoring</w:t>
      </w:r>
      <w:r>
        <w:t xml:space="preserve"> questions to be addressed with this study include: </w:t>
      </w:r>
      <w:r w:rsidRPr="00115326">
        <w:t xml:space="preserve">See </w:t>
      </w:r>
    </w:p>
    <w:p w14:paraId="61D36C6A" w14:textId="77777777" w:rsidR="0040221B" w:rsidRDefault="0040221B" w:rsidP="004C01B0">
      <w:r>
        <w:t>Theme 1—WLPZ riparian function (Section 2.3)</w:t>
      </w:r>
    </w:p>
    <w:p w14:paraId="06F30192" w14:textId="77777777" w:rsidR="004C01B0" w:rsidRPr="003B6A8C" w:rsidRDefault="004C01B0" w:rsidP="004C01B0">
      <w:pPr>
        <w:pStyle w:val="Default"/>
        <w:rPr>
          <w:rFonts w:ascii="Arial" w:hAnsi="Arial" w:cs="Arial"/>
        </w:rPr>
      </w:pPr>
      <w:r w:rsidRPr="003B6A8C">
        <w:rPr>
          <w:rFonts w:ascii="Arial" w:hAnsi="Arial" w:cs="Arial"/>
        </w:rPr>
        <w:t xml:space="preserve">Are the FPRs and associated regulations effective in … </w:t>
      </w:r>
    </w:p>
    <w:p w14:paraId="338FE71A" w14:textId="77777777" w:rsidR="004C01B0" w:rsidRDefault="004C01B0" w:rsidP="004C01B0">
      <w:pPr>
        <w:pStyle w:val="Default"/>
        <w:rPr>
          <w:rFonts w:ascii="Arial" w:hAnsi="Arial" w:cs="Arial"/>
        </w:rPr>
      </w:pPr>
      <w:r w:rsidRPr="003B6A8C">
        <w:rPr>
          <w:rFonts w:ascii="Arial" w:hAnsi="Arial" w:cs="Arial"/>
        </w:rPr>
        <w:t xml:space="preserve">(d) retaining of conifer and deciduous species to maintain or restore riparian shade, maintaining or restoring water temperature, and maintaining or restoring primary productivity? </w:t>
      </w:r>
    </w:p>
    <w:p w14:paraId="32A1989A" w14:textId="77777777" w:rsidR="0040221B" w:rsidRPr="003B6A8C" w:rsidRDefault="0040221B" w:rsidP="004C01B0">
      <w:pPr>
        <w:pStyle w:val="Default"/>
        <w:rPr>
          <w:rFonts w:ascii="Arial" w:hAnsi="Arial" w:cs="Arial"/>
        </w:rPr>
      </w:pPr>
    </w:p>
    <w:p w14:paraId="7C6822B5" w14:textId="77777777" w:rsidR="004C01B0" w:rsidRPr="00115326" w:rsidRDefault="004C01B0" w:rsidP="004C01B0">
      <w:pPr>
        <w:rPr>
          <w:i/>
          <w:iCs/>
        </w:rPr>
      </w:pPr>
      <w:r w:rsidRPr="00115326">
        <w:lastRenderedPageBreak/>
        <w:t xml:space="preserve">(e) </w:t>
      </w:r>
      <w:r w:rsidRPr="00115326">
        <w:rPr>
          <w:iCs/>
        </w:rPr>
        <w:t>maintaining or restoring input of organic matter to maintain or restore primary productivity as measured by macroinvertebrate assemblages?</w:t>
      </w:r>
      <w:r w:rsidRPr="00115326">
        <w:rPr>
          <w:i/>
          <w:iCs/>
        </w:rPr>
        <w:t xml:space="preserve"> </w:t>
      </w:r>
    </w:p>
    <w:p w14:paraId="420886FE" w14:textId="2ACC6724" w:rsidR="004C01B0" w:rsidRDefault="004C01B0" w:rsidP="004C01B0">
      <w:pPr>
        <w:pStyle w:val="Default"/>
        <w:rPr>
          <w:rFonts w:ascii="Arial" w:hAnsi="Arial" w:cs="Arial"/>
        </w:rPr>
      </w:pPr>
      <w:r w:rsidRPr="003B6A8C">
        <w:rPr>
          <w:rFonts w:ascii="Arial" w:hAnsi="Arial" w:cs="Arial"/>
        </w:rPr>
        <w:t xml:space="preserve">Study linkages to (d) and (e):  Numerous references in the literature describe the relationship between primary productivity and nutrient cycling, and the effects of nutrient cycling on long-term forest productivity (Johnson et al. 1982).  The literatures </w:t>
      </w:r>
      <w:proofErr w:type="gramStart"/>
      <w:r w:rsidRPr="003B6A8C">
        <w:rPr>
          <w:rFonts w:ascii="Arial" w:hAnsi="Arial" w:cs="Arial"/>
        </w:rPr>
        <w:t>provides</w:t>
      </w:r>
      <w:proofErr w:type="gramEnd"/>
      <w:r w:rsidRPr="003B6A8C">
        <w:rPr>
          <w:rFonts w:ascii="Arial" w:hAnsi="Arial" w:cs="Arial"/>
        </w:rPr>
        <w:t xml:space="preserve"> evidence that nutrient leaching into forested streams can impact algal growth and macroinvertebrate assemblages.</w:t>
      </w:r>
    </w:p>
    <w:p w14:paraId="5C2FA73F" w14:textId="77777777" w:rsidR="005F0BB5" w:rsidRPr="003B6A8C" w:rsidRDefault="005F0BB5" w:rsidP="004C01B0">
      <w:pPr>
        <w:pStyle w:val="Default"/>
        <w:rPr>
          <w:rFonts w:ascii="Arial" w:hAnsi="Arial" w:cs="Arial"/>
        </w:rPr>
      </w:pPr>
    </w:p>
    <w:p w14:paraId="2B300816" w14:textId="4A498D56" w:rsidR="0040221B" w:rsidRDefault="0040221B" w:rsidP="00EF7760">
      <w:pPr>
        <w:pStyle w:val="Heading2"/>
      </w:pPr>
      <w:r w:rsidRPr="0040221B">
        <w:t>Types of Monitoring to be Used</w:t>
      </w:r>
    </w:p>
    <w:p w14:paraId="6CB2F28E" w14:textId="77777777" w:rsidR="00800D8C" w:rsidRDefault="00800D8C" w:rsidP="004C01B0">
      <w:pPr>
        <w:autoSpaceDE w:val="0"/>
        <w:autoSpaceDN w:val="0"/>
        <w:adjustRightInd w:val="0"/>
        <w:rPr>
          <w:i/>
          <w:u w:val="single"/>
        </w:rPr>
      </w:pPr>
      <w:r>
        <w:t xml:space="preserve">The </w:t>
      </w:r>
      <w:r w:rsidRPr="00800D8C">
        <w:t>Effects of Forest Stand Density Reduction on Nutrient Cycling and Nutrient Transport</w:t>
      </w:r>
      <w:r>
        <w:t xml:space="preserve"> study will utilize four types of monitoring (MacDonald et al. 1991):</w:t>
      </w:r>
    </w:p>
    <w:p w14:paraId="28102521" w14:textId="1C207468" w:rsidR="0040221B" w:rsidRPr="000244EA" w:rsidRDefault="0040221B" w:rsidP="004C01B0">
      <w:pPr>
        <w:autoSpaceDE w:val="0"/>
        <w:autoSpaceDN w:val="0"/>
        <w:adjustRightInd w:val="0"/>
        <w:rPr>
          <w:i/>
        </w:rPr>
      </w:pPr>
      <w:r w:rsidRPr="000244EA">
        <w:rPr>
          <w:i/>
          <w:u w:val="single"/>
        </w:rPr>
        <w:t>Baseline Monitoring</w:t>
      </w:r>
      <w:r w:rsidR="000244EA">
        <w:rPr>
          <w:i/>
        </w:rPr>
        <w:t>—Characterization of existing water quality conditions, and establish</w:t>
      </w:r>
      <w:r w:rsidR="00800D8C">
        <w:rPr>
          <w:i/>
        </w:rPr>
        <w:t>ment of</w:t>
      </w:r>
      <w:r w:rsidR="000244EA">
        <w:rPr>
          <w:i/>
        </w:rPr>
        <w:t xml:space="preserve"> a </w:t>
      </w:r>
      <w:r w:rsidR="006D4A9D">
        <w:rPr>
          <w:i/>
        </w:rPr>
        <w:t xml:space="preserve">data </w:t>
      </w:r>
      <w:r w:rsidR="000244EA">
        <w:rPr>
          <w:i/>
        </w:rPr>
        <w:t>base for future comparisons.</w:t>
      </w:r>
    </w:p>
    <w:p w14:paraId="0E6D1A10" w14:textId="77777777" w:rsidR="0040221B" w:rsidRPr="000244EA" w:rsidRDefault="0040221B" w:rsidP="004C01B0">
      <w:pPr>
        <w:autoSpaceDE w:val="0"/>
        <w:autoSpaceDN w:val="0"/>
        <w:adjustRightInd w:val="0"/>
        <w:rPr>
          <w:i/>
        </w:rPr>
      </w:pPr>
      <w:r w:rsidRPr="000244EA">
        <w:rPr>
          <w:i/>
          <w:u w:val="single"/>
        </w:rPr>
        <w:t>Effectiveness Monitoring</w:t>
      </w:r>
      <w:r w:rsidR="000244EA">
        <w:rPr>
          <w:i/>
        </w:rPr>
        <w:t xml:space="preserve">—Determination of whether the management practices implemented produced the desired effect. </w:t>
      </w:r>
    </w:p>
    <w:p w14:paraId="0A8D9EB3" w14:textId="77777777" w:rsidR="0040221B" w:rsidRPr="000244EA" w:rsidRDefault="0040221B" w:rsidP="004C01B0">
      <w:pPr>
        <w:autoSpaceDE w:val="0"/>
        <w:autoSpaceDN w:val="0"/>
        <w:adjustRightInd w:val="0"/>
        <w:rPr>
          <w:i/>
        </w:rPr>
      </w:pPr>
      <w:r w:rsidRPr="000244EA">
        <w:rPr>
          <w:i/>
          <w:u w:val="single"/>
        </w:rPr>
        <w:t>Project Monitoring</w:t>
      </w:r>
      <w:r w:rsidR="000244EA">
        <w:rPr>
          <w:i/>
        </w:rPr>
        <w:t xml:space="preserve">—Assessment of the impact of </w:t>
      </w:r>
      <w:r w:rsidR="00800D8C">
        <w:rPr>
          <w:i/>
        </w:rPr>
        <w:t xml:space="preserve">a project (timber sale) on water quality parameter(s). </w:t>
      </w:r>
    </w:p>
    <w:p w14:paraId="760DE60E" w14:textId="77777777" w:rsidR="0040221B" w:rsidRDefault="0040221B" w:rsidP="004C01B0">
      <w:pPr>
        <w:autoSpaceDE w:val="0"/>
        <w:autoSpaceDN w:val="0"/>
        <w:adjustRightInd w:val="0"/>
        <w:rPr>
          <w:i/>
        </w:rPr>
      </w:pPr>
      <w:r w:rsidRPr="000244EA">
        <w:rPr>
          <w:i/>
          <w:u w:val="single"/>
        </w:rPr>
        <w:t>Validation Monitoring</w:t>
      </w:r>
      <w:r w:rsidR="00800D8C">
        <w:rPr>
          <w:i/>
        </w:rPr>
        <w:t xml:space="preserve">—Quantitative evaluation of a proposed water quality model to predict a particular water quality parameter.  </w:t>
      </w:r>
    </w:p>
    <w:p w14:paraId="0E3FADA9" w14:textId="7A514D04" w:rsidR="004C01B0" w:rsidRPr="001062AD" w:rsidRDefault="001062AD" w:rsidP="00EF7760">
      <w:pPr>
        <w:pStyle w:val="Heading2"/>
      </w:pPr>
      <w:r w:rsidRPr="001062AD">
        <w:t xml:space="preserve">Study Design </w:t>
      </w:r>
    </w:p>
    <w:p w14:paraId="3BF5E890" w14:textId="77777777" w:rsidR="008D23DC" w:rsidRPr="00C378DB" w:rsidRDefault="008D23DC" w:rsidP="00C378DB">
      <w:pPr>
        <w:widowControl w:val="0"/>
        <w:autoSpaceDE w:val="0"/>
        <w:autoSpaceDN w:val="0"/>
        <w:adjustRightInd w:val="0"/>
        <w:spacing w:line="240" w:lineRule="auto"/>
      </w:pPr>
      <w:r w:rsidRPr="00C378DB">
        <w:t xml:space="preserve">Elevated </w:t>
      </w:r>
      <w:r w:rsidR="00253042">
        <w:t>nitrogen (</w:t>
      </w:r>
      <w:r w:rsidRPr="00C378DB">
        <w:t>N</w:t>
      </w:r>
      <w:r w:rsidR="00253042">
        <w:t>)</w:t>
      </w:r>
      <w:r w:rsidRPr="00C378DB">
        <w:t xml:space="preserve"> leaching immediately following the disturbance of the forest ecosystem after </w:t>
      </w:r>
      <w:r w:rsidR="00253042">
        <w:t xml:space="preserve">timber </w:t>
      </w:r>
      <w:r w:rsidRPr="00C378DB">
        <w:t>harvest can acidify streams and cause eutrophication in estuaries and coastal waters (</w:t>
      </w:r>
      <w:proofErr w:type="spellStart"/>
      <w:r w:rsidRPr="00C378DB">
        <w:t>Vitousek</w:t>
      </w:r>
      <w:proofErr w:type="spellEnd"/>
      <w:r w:rsidRPr="00C378DB">
        <w:t xml:space="preserve"> et al. 1997; Fenn et al. 1998; Murdoch and Stoddard 1992). Although large variability in N export from forested watersheds has been observed (Mattson et al. 2015, Sugimoto et al. 2016), some studies (e.g. Lovett et al. 2002) have concluded that NO</w:t>
      </w:r>
      <w:r w:rsidRPr="00C378DB">
        <w:rPr>
          <w:vertAlign w:val="subscript"/>
        </w:rPr>
        <w:t>3</w:t>
      </w:r>
      <w:r w:rsidRPr="00C378DB">
        <w:rPr>
          <w:vertAlign w:val="superscript"/>
        </w:rPr>
        <w:t>–</w:t>
      </w:r>
      <w:r w:rsidRPr="00C378DB">
        <w:t xml:space="preserve"> leaching and total N export from forested watersheds is more closely related to rates of soil N transformation controlled by the soil-microbe-root complex (</w:t>
      </w:r>
      <w:proofErr w:type="spellStart"/>
      <w:r w:rsidRPr="00C378DB">
        <w:t>Williard</w:t>
      </w:r>
      <w:proofErr w:type="spellEnd"/>
      <w:r w:rsidRPr="00C378DB">
        <w:t xml:space="preserve"> et al. 1997), the soil C:N ratio of the watershed soils, and the variation in tree species composition than instream N cycling processes (Lovett et al. 2000). In contrast, Bernhardt et al. (2005) hypothesized in response to a recent decline in NO</w:t>
      </w:r>
      <w:r w:rsidRPr="00C378DB">
        <w:rPr>
          <w:vertAlign w:val="subscript"/>
        </w:rPr>
        <w:t>3</w:t>
      </w:r>
      <w:r w:rsidRPr="00C378DB">
        <w:rPr>
          <w:vertAlign w:val="superscript"/>
        </w:rPr>
        <w:t>–</w:t>
      </w:r>
      <w:r w:rsidRPr="00C378DB">
        <w:t xml:space="preserve"> export from the Hubbard Brook Experimental Forest (Aber et al. 2002) that increased assimilative uptake by microbes in streams and transformation of stream NO</w:t>
      </w:r>
      <w:r w:rsidRPr="00C378DB">
        <w:rPr>
          <w:vertAlign w:val="subscript"/>
        </w:rPr>
        <w:t>3</w:t>
      </w:r>
      <w:r w:rsidRPr="00C378DB">
        <w:rPr>
          <w:vertAlign w:val="superscript"/>
        </w:rPr>
        <w:t>–</w:t>
      </w:r>
      <w:r w:rsidRPr="00C378DB">
        <w:t xml:space="preserve"> into its gaseous components play an increasing role in the overall export of NO</w:t>
      </w:r>
      <w:r w:rsidRPr="00C378DB">
        <w:rPr>
          <w:vertAlign w:val="subscript"/>
        </w:rPr>
        <w:t>3</w:t>
      </w:r>
      <w:r w:rsidRPr="00C378DB">
        <w:rPr>
          <w:vertAlign w:val="superscript"/>
        </w:rPr>
        <w:t>–</w:t>
      </w:r>
      <w:r w:rsidRPr="00C378DB">
        <w:t xml:space="preserve"> from watersheds. They suggested that additional research is needed to provide accurate measures of denitrification for forested streams, as it appears that denitrification is the largest sink for NO</w:t>
      </w:r>
      <w:r w:rsidRPr="00C378DB">
        <w:rPr>
          <w:vertAlign w:val="subscript"/>
        </w:rPr>
        <w:t>3</w:t>
      </w:r>
      <w:r w:rsidRPr="00C378DB">
        <w:rPr>
          <w:vertAlign w:val="superscript"/>
        </w:rPr>
        <w:t>–</w:t>
      </w:r>
      <w:r w:rsidRPr="00C378DB">
        <w:t xml:space="preserve"> once it reaches the stream.</w:t>
      </w:r>
    </w:p>
    <w:p w14:paraId="63E7B0AE" w14:textId="77777777" w:rsidR="008D23DC" w:rsidRPr="00C378DB" w:rsidRDefault="008D23DC" w:rsidP="00C378DB">
      <w:pPr>
        <w:autoSpaceDE w:val="0"/>
        <w:autoSpaceDN w:val="0"/>
        <w:adjustRightInd w:val="0"/>
        <w:spacing w:line="240" w:lineRule="auto"/>
      </w:pPr>
      <w:r w:rsidRPr="00C378DB">
        <w:t>In the North Fork of Caspar Creek watershed Dahlgren (1998) observed increased NO</w:t>
      </w:r>
      <w:r w:rsidRPr="00C378DB">
        <w:rPr>
          <w:vertAlign w:val="subscript"/>
        </w:rPr>
        <w:t>3</w:t>
      </w:r>
      <w:r w:rsidRPr="00C378DB">
        <w:rPr>
          <w:vertAlign w:val="superscript"/>
        </w:rPr>
        <w:t xml:space="preserve">– </w:t>
      </w:r>
      <w:r w:rsidRPr="00C378DB">
        <w:t xml:space="preserve">and sulfate but decreased base cation concentrations in the discharge collected from </w:t>
      </w:r>
      <w:proofErr w:type="spellStart"/>
      <w:r w:rsidRPr="00C378DB">
        <w:lastRenderedPageBreak/>
        <w:t>clearcut</w:t>
      </w:r>
      <w:proofErr w:type="spellEnd"/>
      <w:r w:rsidRPr="00C378DB">
        <w:t xml:space="preserve"> sub-watersheds during storm events. He hypothesized that the observed changes in nutrient dynamics in the </w:t>
      </w:r>
      <w:proofErr w:type="spellStart"/>
      <w:r w:rsidRPr="00C378DB">
        <w:t>clearcut</w:t>
      </w:r>
      <w:proofErr w:type="spellEnd"/>
      <w:r w:rsidRPr="00C378DB">
        <w:t xml:space="preserve"> watersheds were reflecting a change in hydrological flow pathways and the source of the water, resulting in increased contributions of NO</w:t>
      </w:r>
      <w:r w:rsidRPr="00C378DB">
        <w:rPr>
          <w:vertAlign w:val="subscript"/>
        </w:rPr>
        <w:t>3</w:t>
      </w:r>
      <w:r w:rsidRPr="00C378DB">
        <w:rPr>
          <w:vertAlign w:val="superscript"/>
        </w:rPr>
        <w:t>–</w:t>
      </w:r>
      <w:r w:rsidRPr="00C378DB">
        <w:t xml:space="preserve">-enriched water from the upper soil horizons during storm events via </w:t>
      </w:r>
      <w:proofErr w:type="spellStart"/>
      <w:r w:rsidRPr="00C378DB">
        <w:t>pipeflow</w:t>
      </w:r>
      <w:proofErr w:type="spellEnd"/>
      <w:r w:rsidRPr="00C378DB">
        <w:t xml:space="preserve"> (Fig. 1). Although dilution of the exported base cations and NO</w:t>
      </w:r>
      <w:r w:rsidRPr="00C378DB">
        <w:rPr>
          <w:vertAlign w:val="subscript"/>
        </w:rPr>
        <w:t>3</w:t>
      </w:r>
      <w:r w:rsidRPr="00C378DB">
        <w:rPr>
          <w:vertAlign w:val="superscript"/>
        </w:rPr>
        <w:t>–</w:t>
      </w:r>
      <w:r w:rsidRPr="00C378DB">
        <w:t xml:space="preserve">-enriched runoff from the </w:t>
      </w:r>
      <w:proofErr w:type="spellStart"/>
      <w:r w:rsidRPr="00C378DB">
        <w:t>clearcut</w:t>
      </w:r>
      <w:proofErr w:type="spellEnd"/>
      <w:r w:rsidRPr="00C378DB">
        <w:t xml:space="preserve"> watersheds was observed with increasing downstream distance from the </w:t>
      </w:r>
      <w:proofErr w:type="spellStart"/>
      <w:r w:rsidRPr="00C378DB">
        <w:t>clearcut</w:t>
      </w:r>
      <w:proofErr w:type="spellEnd"/>
      <w:r w:rsidRPr="00C378DB">
        <w:t xml:space="preserve"> watersheds, the underlying mechanisms for the observed dynamics remain largely unknown. </w:t>
      </w:r>
    </w:p>
    <w:p w14:paraId="4A71F148" w14:textId="76399BE6" w:rsidR="008D23DC" w:rsidRDefault="008D23DC" w:rsidP="00C378DB">
      <w:pPr>
        <w:autoSpaceDE w:val="0"/>
        <w:autoSpaceDN w:val="0"/>
        <w:adjustRightInd w:val="0"/>
        <w:spacing w:line="240" w:lineRule="auto"/>
      </w:pPr>
      <w:r w:rsidRPr="00C378DB">
        <w:t>The stand density reductions</w:t>
      </w:r>
      <w:r w:rsidR="00253042">
        <w:t xml:space="preserve"> that will occur</w:t>
      </w:r>
      <w:r w:rsidRPr="00C378DB">
        <w:t xml:space="preserve"> in the South Fork of Caspar Creek sub-watersheds are expected to </w:t>
      </w:r>
      <w:r w:rsidR="006D4A9D">
        <w:t>affect</w:t>
      </w:r>
      <w:r w:rsidR="006D4A9D" w:rsidRPr="00C378DB">
        <w:t xml:space="preserve"> </w:t>
      </w:r>
      <w:r w:rsidRPr="00C378DB">
        <w:t>stream nutrient export and provide a</w:t>
      </w:r>
      <w:r w:rsidR="006C2BB0">
        <w:t>n</w:t>
      </w:r>
      <w:r w:rsidRPr="00C378DB">
        <w:t xml:space="preserve"> opportunity to elucidate </w:t>
      </w:r>
      <w:r w:rsidR="006C2BB0">
        <w:t>response across a gradient of disturbance</w:t>
      </w:r>
      <w:r w:rsidRPr="00C378DB">
        <w:t>. However, it remains unclear how the terrestrial components of the watershed (e.g. hillslopes), the riparian zone and the processes within the stream ecosystem influence, and at times may dominate, watershed nutrient export, and as such may affect our overall interpretation of watershed processes. The streams and their catchments affected by the stand density reduction can respond along different trajectories during their recovery from disturbance. Thus, understanding of the impact of contemporary timber management practices on watershed hydrology and biogeochemistry will be improved by incorporating watershed mass balance studies that provide a rigorous understanding of biogeochemical cycling in both the terrestrial and aquatic components of the watershed.</w:t>
      </w:r>
    </w:p>
    <w:p w14:paraId="6C62C0C1" w14:textId="77777777" w:rsidR="005A29D1" w:rsidRPr="00C378DB" w:rsidRDefault="005A29D1" w:rsidP="00C378DB">
      <w:pPr>
        <w:autoSpaceDE w:val="0"/>
        <w:autoSpaceDN w:val="0"/>
        <w:adjustRightInd w:val="0"/>
        <w:spacing w:line="240" w:lineRule="auto"/>
      </w:pPr>
    </w:p>
    <w:p w14:paraId="3996FFC2" w14:textId="781D6824" w:rsidR="00115326" w:rsidRDefault="00AF2BBF" w:rsidP="00483E13">
      <w:pPr>
        <w:jc w:val="center"/>
        <w:rPr>
          <w:sz w:val="22"/>
          <w:szCs w:val="22"/>
        </w:rPr>
      </w:pPr>
      <w:r w:rsidRPr="00F406CF">
        <w:rPr>
          <w:rFonts w:cs="Times New Roman"/>
          <w:noProof/>
        </w:rPr>
        <w:drawing>
          <wp:inline distT="0" distB="0" distL="0" distR="0" wp14:anchorId="75651D95" wp14:editId="11560CD0">
            <wp:extent cx="2904490" cy="2800350"/>
            <wp:effectExtent l="0" t="0" r="3810" b="6350"/>
            <wp:docPr id="6" name="Picture 6"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04490" cy="2800350"/>
                    </a:xfrm>
                    <a:prstGeom prst="rect">
                      <a:avLst/>
                    </a:prstGeom>
                    <a:noFill/>
                  </pic:spPr>
                </pic:pic>
              </a:graphicData>
            </a:graphic>
          </wp:inline>
        </w:drawing>
      </w:r>
    </w:p>
    <w:p w14:paraId="70DE9109" w14:textId="77777777" w:rsidR="00115326" w:rsidRDefault="00115326" w:rsidP="00AF2BBF">
      <w:pPr>
        <w:spacing w:line="240" w:lineRule="auto"/>
        <w:rPr>
          <w:sz w:val="22"/>
          <w:szCs w:val="22"/>
        </w:rPr>
      </w:pPr>
    </w:p>
    <w:p w14:paraId="256F0520" w14:textId="77777777" w:rsidR="00AF2BBF" w:rsidRPr="00AF2BBF" w:rsidRDefault="00AF2BBF" w:rsidP="00AF2BBF">
      <w:pPr>
        <w:spacing w:line="240" w:lineRule="auto"/>
        <w:rPr>
          <w:sz w:val="22"/>
          <w:szCs w:val="22"/>
        </w:rPr>
      </w:pPr>
      <w:r w:rsidRPr="00AF2BBF">
        <w:rPr>
          <w:sz w:val="22"/>
          <w:szCs w:val="22"/>
        </w:rPr>
        <w:t>Figure 1. Illustration of rapid subsurface stormflow processes and flow pathways in relationship to soil hydraulic characteristics.</w:t>
      </w:r>
    </w:p>
    <w:p w14:paraId="49804ADF" w14:textId="77777777" w:rsidR="00483E13" w:rsidRDefault="00483E13">
      <w:pPr>
        <w:rPr>
          <w:rFonts w:eastAsia="Calibri"/>
          <w:b/>
        </w:rPr>
      </w:pPr>
      <w:r>
        <w:br w:type="page"/>
      </w:r>
    </w:p>
    <w:p w14:paraId="2F246408" w14:textId="1B31330D" w:rsidR="00C378DB" w:rsidRPr="00F406CF" w:rsidRDefault="00C378DB" w:rsidP="00EF7760">
      <w:pPr>
        <w:pStyle w:val="Heading3"/>
      </w:pPr>
      <w:r w:rsidRPr="00F406CF">
        <w:lastRenderedPageBreak/>
        <w:t>Hypotheses and Objectives of Proposed Project</w:t>
      </w:r>
    </w:p>
    <w:p w14:paraId="221E64B8" w14:textId="77777777" w:rsidR="00C378DB" w:rsidRPr="00F406CF" w:rsidRDefault="00C378DB" w:rsidP="00C378DB">
      <w:pPr>
        <w:autoSpaceDE w:val="0"/>
        <w:autoSpaceDN w:val="0"/>
        <w:adjustRightInd w:val="0"/>
        <w:spacing w:line="240" w:lineRule="auto"/>
        <w:rPr>
          <w:rFonts w:cs="Times New Roman"/>
        </w:rPr>
      </w:pPr>
      <w:r w:rsidRPr="00F406CF">
        <w:rPr>
          <w:rFonts w:cs="Times New Roman"/>
        </w:rPr>
        <w:t xml:space="preserve">The goal of this research proposal is to examine changes in the mass balance of major nutrients (C, N, P) and base cations/anions across the main functional watershed units (e.g. whole watershed vs. hillslope vs. riparian vs. instream) within the South Fork watershed of Caspar Creek in response to stand density reductions. The hypothesis is that stand density reduction will increase export of total N, total P, NO3–, and particulate/dissolved organic C from the treated watersheds immediately following the forest harvest, with greater impacts observed with greater stand density reduction. The hypothesis is that the increased hydrologic connectivity associated with </w:t>
      </w:r>
      <w:proofErr w:type="spellStart"/>
      <w:r w:rsidRPr="00F406CF">
        <w:rPr>
          <w:rFonts w:cs="Times New Roman"/>
        </w:rPr>
        <w:t>macropore</w:t>
      </w:r>
      <w:proofErr w:type="spellEnd"/>
      <w:r w:rsidRPr="00F406CF">
        <w:rPr>
          <w:rFonts w:cs="Times New Roman"/>
        </w:rPr>
        <w:t xml:space="preserve"> flow and fast subsurface stormflow above the clay-rich, argillic soil horizon promote rapid flow pathways for storm flow and nutrient transport from hillslopes to streams.  The proposed research attempts to address this hypothesis through the following specific objectives:</w:t>
      </w:r>
    </w:p>
    <w:p w14:paraId="030AAA35" w14:textId="77777777" w:rsidR="00C378DB" w:rsidRPr="00F406CF" w:rsidRDefault="00C378DB" w:rsidP="00C378DB">
      <w:pPr>
        <w:autoSpaceDE w:val="0"/>
        <w:autoSpaceDN w:val="0"/>
        <w:adjustRightInd w:val="0"/>
        <w:spacing w:line="240" w:lineRule="auto"/>
        <w:ind w:left="270"/>
        <w:rPr>
          <w:rFonts w:cs="Times New Roman"/>
        </w:rPr>
      </w:pPr>
      <w:r w:rsidRPr="00F406CF">
        <w:rPr>
          <w:rFonts w:cs="Times New Roman"/>
        </w:rPr>
        <w:t>1)</w:t>
      </w:r>
      <w:r w:rsidRPr="00F406CF">
        <w:rPr>
          <w:rFonts w:cs="Times New Roman"/>
        </w:rPr>
        <w:tab/>
        <w:t>Determine the changes in stream water and soil water solute concentrations and nutrient fluxes during storm flow and baseflow conditions prior- and post-harvest in the South Fork Caspar Creek watershed. [note that pre-logging water samples are currently being analyzed]</w:t>
      </w:r>
    </w:p>
    <w:p w14:paraId="4B30720B" w14:textId="3BA20EDA" w:rsidR="00C378DB" w:rsidRDefault="00C378DB" w:rsidP="00C378DB">
      <w:pPr>
        <w:autoSpaceDE w:val="0"/>
        <w:autoSpaceDN w:val="0"/>
        <w:adjustRightInd w:val="0"/>
        <w:spacing w:line="240" w:lineRule="auto"/>
        <w:ind w:left="270"/>
        <w:rPr>
          <w:rFonts w:cs="Times New Roman"/>
        </w:rPr>
      </w:pPr>
      <w:r w:rsidRPr="00F406CF">
        <w:rPr>
          <w:rFonts w:cs="Times New Roman"/>
        </w:rPr>
        <w:t>2)</w:t>
      </w:r>
      <w:r w:rsidRPr="00F406CF">
        <w:rPr>
          <w:rFonts w:cs="Times New Roman"/>
        </w:rPr>
        <w:tab/>
        <w:t>Compare nutrient export between harvested and reference watersheds.</w:t>
      </w:r>
    </w:p>
    <w:p w14:paraId="53209E7B" w14:textId="7D481F2F" w:rsidR="005A29D1" w:rsidRPr="00F406CF" w:rsidRDefault="005A29D1" w:rsidP="00C378DB">
      <w:pPr>
        <w:autoSpaceDE w:val="0"/>
        <w:autoSpaceDN w:val="0"/>
        <w:adjustRightInd w:val="0"/>
        <w:spacing w:line="240" w:lineRule="auto"/>
        <w:ind w:left="270"/>
        <w:rPr>
          <w:rFonts w:cs="Times New Roman"/>
        </w:rPr>
      </w:pPr>
      <w:r>
        <w:rPr>
          <w:rFonts w:cs="Times New Roman"/>
        </w:rPr>
        <w:t xml:space="preserve">3)  </w:t>
      </w:r>
      <w:r>
        <w:rPr>
          <w:rFonts w:cs="Times New Roman"/>
        </w:rPr>
        <w:tab/>
        <w:t>Examine the linkage between nutrient flux and biotic response (using macroinvertebrate data collected as part of the bioassessment study in place).</w:t>
      </w:r>
    </w:p>
    <w:p w14:paraId="1C93F215" w14:textId="77777777" w:rsidR="00C378DB" w:rsidRPr="00F406CF" w:rsidRDefault="00C378DB" w:rsidP="00C378DB">
      <w:pPr>
        <w:spacing w:after="0" w:line="240" w:lineRule="auto"/>
        <w:rPr>
          <w:rFonts w:cs="Times New Roman"/>
        </w:rPr>
      </w:pPr>
    </w:p>
    <w:p w14:paraId="72BAD130" w14:textId="77777777" w:rsidR="00C378DB" w:rsidRPr="00F406CF" w:rsidRDefault="00C378DB" w:rsidP="00EF7760">
      <w:pPr>
        <w:pStyle w:val="Heading3"/>
      </w:pPr>
      <w:r w:rsidRPr="00F406CF">
        <w:t>Scope of Work</w:t>
      </w:r>
    </w:p>
    <w:p w14:paraId="03F81C2C" w14:textId="77777777" w:rsidR="00C378DB" w:rsidRPr="00F406CF" w:rsidRDefault="00C378DB" w:rsidP="00C378DB">
      <w:pPr>
        <w:spacing w:line="240" w:lineRule="auto"/>
        <w:rPr>
          <w:rFonts w:cs="Times New Roman"/>
          <w:szCs w:val="20"/>
        </w:rPr>
      </w:pPr>
      <w:r w:rsidRPr="00F406CF">
        <w:rPr>
          <w:rFonts w:cs="Times New Roman"/>
          <w:szCs w:val="20"/>
        </w:rPr>
        <w:t>In 201</w:t>
      </w:r>
      <w:r>
        <w:rPr>
          <w:rFonts w:cs="Times New Roman"/>
          <w:szCs w:val="20"/>
        </w:rPr>
        <w:t>8</w:t>
      </w:r>
      <w:r w:rsidRPr="00F406CF">
        <w:rPr>
          <w:rFonts w:cs="Times New Roman"/>
          <w:szCs w:val="20"/>
        </w:rPr>
        <w:t>, six of the eleven sub-watersheds within the 424 ha South Fork of Caspar Creek will be harvested across a range (i.e. 25–75%) of percent leaf area removal. Three of the eleven sub-watersheds will remain non-treated to serve as controls to determine thresholds at which hydrologic and ecological functions of the watersheds may be compromised. To address the above stated hypotheses and objectives</w:t>
      </w:r>
      <w:r w:rsidR="00AB32E4">
        <w:rPr>
          <w:rFonts w:cs="Times New Roman"/>
          <w:szCs w:val="20"/>
        </w:rPr>
        <w:t>,</w:t>
      </w:r>
      <w:r w:rsidRPr="00F406CF">
        <w:rPr>
          <w:rFonts w:cs="Times New Roman"/>
          <w:szCs w:val="20"/>
        </w:rPr>
        <w:t xml:space="preserve"> the following research activities to be conducted during the one-year project period. </w:t>
      </w:r>
    </w:p>
    <w:p w14:paraId="605D6FAA" w14:textId="77777777" w:rsidR="00C378DB" w:rsidRDefault="00C378DB" w:rsidP="00C378DB">
      <w:pPr>
        <w:spacing w:line="240" w:lineRule="auto"/>
        <w:rPr>
          <w:rFonts w:cs="Times New Roman"/>
          <w:szCs w:val="20"/>
        </w:rPr>
      </w:pPr>
      <w:r w:rsidRPr="00F406CF">
        <w:rPr>
          <w:rFonts w:cs="Times New Roman"/>
          <w:szCs w:val="20"/>
        </w:rPr>
        <w:t xml:space="preserve">The work </w:t>
      </w:r>
      <w:r>
        <w:rPr>
          <w:rFonts w:cs="Times New Roman"/>
          <w:szCs w:val="20"/>
        </w:rPr>
        <w:t>will</w:t>
      </w:r>
      <w:r w:rsidRPr="00F406CF">
        <w:rPr>
          <w:rFonts w:cs="Times New Roman"/>
          <w:szCs w:val="20"/>
        </w:rPr>
        <w:t xml:space="preserve"> focus on a watershed-wide assessment of solute and nutrient export from the harvested and reference sub-watersheds within South Fork Caspar Creek. To characterize the flow regime and biogeochemistry of Caspar Creek at near-pristine conditions, baseline sampling of stream</w:t>
      </w:r>
      <w:r w:rsidR="00AB32E4">
        <w:rPr>
          <w:rFonts w:cs="Times New Roman"/>
          <w:szCs w:val="20"/>
        </w:rPr>
        <w:t xml:space="preserve"> </w:t>
      </w:r>
      <w:r w:rsidRPr="00F406CF">
        <w:rPr>
          <w:rFonts w:cs="Times New Roman"/>
          <w:szCs w:val="20"/>
        </w:rPr>
        <w:t>water has been conducted in at different nodes in the South Fork watershed since April 2016</w:t>
      </w:r>
      <w:r>
        <w:rPr>
          <w:rFonts w:cs="Times New Roman"/>
          <w:szCs w:val="20"/>
        </w:rPr>
        <w:t xml:space="preserve"> (Fig. 2)</w:t>
      </w:r>
      <w:r w:rsidRPr="00F406CF">
        <w:rPr>
          <w:rFonts w:cs="Times New Roman"/>
          <w:szCs w:val="20"/>
        </w:rPr>
        <w:t xml:space="preserve">. The baseline sampling </w:t>
      </w:r>
      <w:r>
        <w:rPr>
          <w:rFonts w:cs="Times New Roman"/>
          <w:szCs w:val="20"/>
        </w:rPr>
        <w:t xml:space="preserve">has been </w:t>
      </w:r>
      <w:r w:rsidRPr="00F406CF">
        <w:rPr>
          <w:rFonts w:cs="Times New Roman"/>
          <w:szCs w:val="20"/>
        </w:rPr>
        <w:t xml:space="preserve">continued over the winter </w:t>
      </w:r>
      <w:r>
        <w:rPr>
          <w:rFonts w:cs="Times New Roman"/>
          <w:szCs w:val="20"/>
        </w:rPr>
        <w:t>of 2016/17</w:t>
      </w:r>
      <w:r w:rsidRPr="00F406CF">
        <w:rPr>
          <w:rFonts w:cs="Times New Roman"/>
          <w:szCs w:val="20"/>
        </w:rPr>
        <w:t xml:space="preserve">to capture important data during the stormflow period of Caspar Creek. </w:t>
      </w:r>
    </w:p>
    <w:p w14:paraId="7B91C8FC" w14:textId="77777777" w:rsidR="00C378DB" w:rsidRPr="00F406CF" w:rsidRDefault="00C378DB" w:rsidP="00C378DB">
      <w:pPr>
        <w:spacing w:line="240" w:lineRule="auto"/>
        <w:rPr>
          <w:rFonts w:cs="Times New Roman"/>
          <w:szCs w:val="20"/>
        </w:rPr>
      </w:pPr>
      <w:r w:rsidRPr="00F406CF">
        <w:rPr>
          <w:rFonts w:cs="Times New Roman"/>
          <w:szCs w:val="20"/>
        </w:rPr>
        <w:t>To quantify the impact of forest thinning on stream</w:t>
      </w:r>
      <w:r w:rsidR="00AB32E4">
        <w:rPr>
          <w:rFonts w:cs="Times New Roman"/>
          <w:szCs w:val="20"/>
        </w:rPr>
        <w:t xml:space="preserve"> </w:t>
      </w:r>
      <w:r w:rsidRPr="00F406CF">
        <w:rPr>
          <w:rFonts w:cs="Times New Roman"/>
          <w:szCs w:val="20"/>
        </w:rPr>
        <w:t>water biogeochemistry and nutrient export, solute concentrations of key elements (calcium, magnesium, potas</w:t>
      </w:r>
      <w:r>
        <w:rPr>
          <w:rFonts w:cs="Times New Roman"/>
          <w:szCs w:val="20"/>
        </w:rPr>
        <w:t>sium, sodium, chloride, sulfate</w:t>
      </w:r>
      <w:r w:rsidRPr="00F406CF">
        <w:rPr>
          <w:rFonts w:cs="Times New Roman"/>
          <w:szCs w:val="20"/>
        </w:rPr>
        <w:t>) and nutrients (carbon, nitrogen, phosphorus) will be measured in stream</w:t>
      </w:r>
      <w:r w:rsidR="00AB32E4">
        <w:rPr>
          <w:rFonts w:cs="Times New Roman"/>
          <w:szCs w:val="20"/>
        </w:rPr>
        <w:t xml:space="preserve"> </w:t>
      </w:r>
      <w:r w:rsidRPr="00F406CF">
        <w:rPr>
          <w:rFonts w:cs="Times New Roman"/>
          <w:szCs w:val="20"/>
        </w:rPr>
        <w:t xml:space="preserve">water samples collected during and after the harvest activities for comparison to the baseline conditions. </w:t>
      </w:r>
      <w:r w:rsidR="00AB32E4">
        <w:rPr>
          <w:rFonts w:cs="Times New Roman"/>
          <w:szCs w:val="20"/>
        </w:rPr>
        <w:t>S</w:t>
      </w:r>
      <w:r w:rsidRPr="00F406CF">
        <w:rPr>
          <w:rFonts w:cs="Times New Roman"/>
          <w:szCs w:val="20"/>
        </w:rPr>
        <w:t xml:space="preserve">olute concentrations </w:t>
      </w:r>
      <w:r w:rsidR="00AB32E4">
        <w:rPr>
          <w:rFonts w:cs="Times New Roman"/>
          <w:szCs w:val="20"/>
        </w:rPr>
        <w:t xml:space="preserve">are planned </w:t>
      </w:r>
      <w:r w:rsidRPr="00F406CF">
        <w:rPr>
          <w:rFonts w:cs="Times New Roman"/>
          <w:szCs w:val="20"/>
        </w:rPr>
        <w:t xml:space="preserve">to be monitored for the </w:t>
      </w:r>
      <w:r w:rsidRPr="00F406CF">
        <w:rPr>
          <w:rFonts w:cs="Times New Roman"/>
          <w:szCs w:val="20"/>
        </w:rPr>
        <w:lastRenderedPageBreak/>
        <w:t xml:space="preserve">duration of three years after the </w:t>
      </w:r>
      <w:r w:rsidR="00AB32E4">
        <w:rPr>
          <w:rFonts w:cs="Times New Roman"/>
          <w:szCs w:val="20"/>
        </w:rPr>
        <w:t xml:space="preserve">timber </w:t>
      </w:r>
      <w:r w:rsidRPr="00F406CF">
        <w:rPr>
          <w:rFonts w:cs="Times New Roman"/>
          <w:szCs w:val="20"/>
        </w:rPr>
        <w:t>harvest</w:t>
      </w:r>
      <w:r w:rsidR="00AB32E4">
        <w:rPr>
          <w:rFonts w:cs="Times New Roman"/>
          <w:szCs w:val="20"/>
        </w:rPr>
        <w:t xml:space="preserve">ing </w:t>
      </w:r>
      <w:r w:rsidRPr="00F406CF">
        <w:rPr>
          <w:rFonts w:cs="Times New Roman"/>
          <w:szCs w:val="20"/>
        </w:rPr>
        <w:t xml:space="preserve">to reliably determine changes and shifts in biogeochemical cycling with respect to other, influential environmental factors such as climate and year-to-year variability in streamflow. The funding requested </w:t>
      </w:r>
      <w:r w:rsidR="00AB32E4">
        <w:rPr>
          <w:rFonts w:cs="Times New Roman"/>
          <w:szCs w:val="20"/>
        </w:rPr>
        <w:t xml:space="preserve">from the EMC and CAL FIRE will </w:t>
      </w:r>
      <w:r w:rsidRPr="00F406CF">
        <w:rPr>
          <w:rFonts w:cs="Times New Roman"/>
          <w:szCs w:val="20"/>
        </w:rPr>
        <w:t xml:space="preserve">allow water sample </w:t>
      </w:r>
      <w:r w:rsidR="00AB32E4">
        <w:rPr>
          <w:rFonts w:cs="Times New Roman"/>
          <w:szCs w:val="20"/>
        </w:rPr>
        <w:t xml:space="preserve">collection and </w:t>
      </w:r>
      <w:r w:rsidRPr="00F406CF">
        <w:rPr>
          <w:rFonts w:cs="Times New Roman"/>
          <w:szCs w:val="20"/>
        </w:rPr>
        <w:t xml:space="preserve">analysis </w:t>
      </w:r>
      <w:r w:rsidR="00AB32E4">
        <w:rPr>
          <w:rFonts w:cs="Times New Roman"/>
          <w:szCs w:val="20"/>
        </w:rPr>
        <w:t xml:space="preserve">for the years during and after timber harvesting.  Funding </w:t>
      </w:r>
      <w:r w:rsidRPr="00F406CF">
        <w:rPr>
          <w:rFonts w:cs="Times New Roman"/>
          <w:szCs w:val="20"/>
        </w:rPr>
        <w:t xml:space="preserve">for the first year </w:t>
      </w:r>
      <w:r w:rsidR="00AB32E4">
        <w:rPr>
          <w:rFonts w:cs="Times New Roman"/>
          <w:szCs w:val="20"/>
        </w:rPr>
        <w:t xml:space="preserve">before </w:t>
      </w:r>
      <w:r w:rsidRPr="00F406CF">
        <w:rPr>
          <w:rFonts w:cs="Times New Roman"/>
          <w:szCs w:val="20"/>
        </w:rPr>
        <w:t>harvest activities</w:t>
      </w:r>
      <w:r w:rsidR="00AB32E4">
        <w:rPr>
          <w:rFonts w:cs="Times New Roman"/>
          <w:szCs w:val="20"/>
        </w:rPr>
        <w:t xml:space="preserve"> in the South Fork of Caspar Creek has been provided by a Save the Redwoods League grant ($25,000)</w:t>
      </w:r>
      <w:r w:rsidRPr="00F406CF">
        <w:rPr>
          <w:rFonts w:cs="Times New Roman"/>
          <w:szCs w:val="20"/>
        </w:rPr>
        <w:t xml:space="preserve">. </w:t>
      </w:r>
    </w:p>
    <w:p w14:paraId="22D871E5" w14:textId="060358A1" w:rsidR="009C26FF" w:rsidRDefault="00C378DB" w:rsidP="00115326">
      <w:pPr>
        <w:spacing w:line="240" w:lineRule="auto"/>
        <w:rPr>
          <w:rFonts w:cs="Times New Roman"/>
          <w:b/>
          <w:noProof/>
          <w:szCs w:val="20"/>
        </w:rPr>
      </w:pPr>
      <w:r w:rsidRPr="00F406CF">
        <w:rPr>
          <w:rFonts w:cs="Times New Roman"/>
          <w:szCs w:val="20"/>
        </w:rPr>
        <w:t>Changes in nutrient export over time in response to forest treatment and hydro-climatic conditions will be determined based on the detailed analysis of stream water samples collected at different nodes within the watershed for major nutrients (carbon, nitrogen, phosphorus) and base cations (calcium, magnesium, potassium, sodium) and anions (</w:t>
      </w:r>
      <w:r>
        <w:rPr>
          <w:rFonts w:cs="Times New Roman"/>
          <w:szCs w:val="20"/>
        </w:rPr>
        <w:t>chloride, sulfate</w:t>
      </w:r>
      <w:r w:rsidRPr="00F406CF">
        <w:rPr>
          <w:rFonts w:cs="Times New Roman"/>
          <w:szCs w:val="20"/>
        </w:rPr>
        <w:t xml:space="preserve">). The data collected during year </w:t>
      </w:r>
      <w:r w:rsidR="00AB32E4">
        <w:rPr>
          <w:rFonts w:cs="Times New Roman"/>
          <w:szCs w:val="20"/>
        </w:rPr>
        <w:t>one</w:t>
      </w:r>
      <w:r w:rsidRPr="00F406CF">
        <w:rPr>
          <w:rFonts w:cs="Times New Roman"/>
          <w:szCs w:val="20"/>
        </w:rPr>
        <w:t xml:space="preserve"> of the timber harvest </w:t>
      </w:r>
      <w:r w:rsidR="00AB32E4">
        <w:rPr>
          <w:rFonts w:cs="Times New Roman"/>
          <w:szCs w:val="20"/>
        </w:rPr>
        <w:t xml:space="preserve">will </w:t>
      </w:r>
      <w:r w:rsidRPr="00F406CF">
        <w:rPr>
          <w:rFonts w:cs="Times New Roman"/>
          <w:szCs w:val="20"/>
        </w:rPr>
        <w:t>allow formulating specific research hypothes</w:t>
      </w:r>
      <w:r w:rsidR="00AB32E4">
        <w:rPr>
          <w:rFonts w:cs="Times New Roman"/>
          <w:szCs w:val="20"/>
        </w:rPr>
        <w:t>e</w:t>
      </w:r>
      <w:r w:rsidRPr="00F406CF">
        <w:rPr>
          <w:rFonts w:cs="Times New Roman"/>
          <w:szCs w:val="20"/>
        </w:rPr>
        <w:t xml:space="preserve">s on the role of forest harvesting practices, runoff generation mechanisms, hydrologic connectivity between hillslopes and the riparian zone, and instream processes on nutrient export from Caspar Creek watershed.  </w:t>
      </w:r>
    </w:p>
    <w:p w14:paraId="701EB187" w14:textId="281305E5" w:rsidR="000E3147" w:rsidRPr="00483E13" w:rsidRDefault="000E3147" w:rsidP="00483E13">
      <w:pPr>
        <w:spacing w:line="240" w:lineRule="auto"/>
        <w:rPr>
          <w:rFonts w:cs="Times New Roman"/>
          <w:b/>
          <w:szCs w:val="20"/>
        </w:rPr>
      </w:pPr>
      <w:r>
        <w:rPr>
          <w:rFonts w:cs="Times New Roman"/>
          <w:b/>
          <w:noProof/>
          <w:szCs w:val="20"/>
        </w:rPr>
        <w:drawing>
          <wp:inline distT="0" distB="0" distL="0" distR="0" wp14:anchorId="69523E1F" wp14:editId="79CF7D9E">
            <wp:extent cx="5938498" cy="4434840"/>
            <wp:effectExtent l="0" t="0" r="5715" b="0"/>
            <wp:docPr id="4" name="Picture 4"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8498" cy="4434840"/>
                    </a:xfrm>
                    <a:prstGeom prst="rect">
                      <a:avLst/>
                    </a:prstGeom>
                    <a:noFill/>
                    <a:ln>
                      <a:noFill/>
                    </a:ln>
                  </pic:spPr>
                </pic:pic>
              </a:graphicData>
            </a:graphic>
          </wp:inline>
        </w:drawing>
      </w:r>
    </w:p>
    <w:p w14:paraId="648D70DE" w14:textId="77777777" w:rsidR="009C26FF" w:rsidRPr="000E3147" w:rsidRDefault="009C26FF" w:rsidP="009C26FF">
      <w:pPr>
        <w:pStyle w:val="CommentText"/>
        <w:rPr>
          <w:rFonts w:ascii="Arial" w:hAnsi="Arial" w:cs="Arial"/>
          <w:sz w:val="22"/>
          <w:szCs w:val="22"/>
        </w:rPr>
      </w:pPr>
      <w:r w:rsidRPr="000E3147">
        <w:rPr>
          <w:rFonts w:ascii="Arial" w:hAnsi="Arial" w:cs="Arial"/>
          <w:sz w:val="22"/>
          <w:szCs w:val="22"/>
        </w:rPr>
        <w:t>Figure 2. Study sites are located in a subset of gauged sub-watersheds in the South Fork Caspar Creek</w:t>
      </w:r>
      <w:r w:rsidR="00D15C2D">
        <w:rPr>
          <w:rFonts w:ascii="Arial" w:hAnsi="Arial" w:cs="Arial"/>
          <w:sz w:val="22"/>
          <w:szCs w:val="22"/>
        </w:rPr>
        <w:t>, with percent reduction in stand density displayed</w:t>
      </w:r>
      <w:r w:rsidRPr="000E3147">
        <w:rPr>
          <w:rFonts w:ascii="Arial" w:hAnsi="Arial" w:cs="Arial"/>
          <w:sz w:val="22"/>
          <w:szCs w:val="22"/>
        </w:rPr>
        <w:t>.</w:t>
      </w:r>
    </w:p>
    <w:p w14:paraId="212FD2FC" w14:textId="77777777" w:rsidR="009C26FF" w:rsidRDefault="009C26FF" w:rsidP="00115326">
      <w:pPr>
        <w:spacing w:line="240" w:lineRule="auto"/>
        <w:rPr>
          <w:rFonts w:cs="Times New Roman"/>
          <w:b/>
          <w:szCs w:val="20"/>
        </w:rPr>
      </w:pPr>
    </w:p>
    <w:p w14:paraId="0893C776" w14:textId="77777777" w:rsidR="00115326" w:rsidRPr="00F406CF" w:rsidRDefault="00115326" w:rsidP="00EF7760">
      <w:pPr>
        <w:pStyle w:val="Heading3"/>
      </w:pPr>
      <w:r w:rsidRPr="00F406CF">
        <w:lastRenderedPageBreak/>
        <w:t>Methods</w:t>
      </w:r>
    </w:p>
    <w:p w14:paraId="2857B836" w14:textId="77777777" w:rsidR="00115326" w:rsidRPr="00F406CF" w:rsidRDefault="00115326" w:rsidP="00115326">
      <w:pPr>
        <w:spacing w:line="240" w:lineRule="auto"/>
        <w:rPr>
          <w:rFonts w:cs="Times New Roman"/>
          <w:szCs w:val="20"/>
        </w:rPr>
      </w:pPr>
      <w:r w:rsidRPr="00F406CF">
        <w:rPr>
          <w:rFonts w:cs="Times New Roman"/>
          <w:b/>
          <w:i/>
          <w:szCs w:val="20"/>
        </w:rPr>
        <w:t>Stream and soil water sampling:</w:t>
      </w:r>
      <w:r w:rsidRPr="00F406CF">
        <w:rPr>
          <w:rFonts w:cs="Times New Roman"/>
          <w:szCs w:val="20"/>
        </w:rPr>
        <w:t xml:space="preserve"> In order to document the disturbance effects of the proposed stand density reductions </w:t>
      </w:r>
      <w:r w:rsidR="003A6417">
        <w:rPr>
          <w:rFonts w:cs="Times New Roman"/>
          <w:szCs w:val="20"/>
        </w:rPr>
        <w:t xml:space="preserve">on nutrient fluxes, </w:t>
      </w:r>
      <w:r w:rsidRPr="00F406CF">
        <w:rPr>
          <w:rFonts w:cs="Times New Roman"/>
          <w:szCs w:val="20"/>
        </w:rPr>
        <w:t xml:space="preserve">stream water samples (storm events and baseflow) </w:t>
      </w:r>
      <w:r w:rsidR="00D21210">
        <w:rPr>
          <w:rFonts w:cs="Times New Roman"/>
          <w:szCs w:val="20"/>
        </w:rPr>
        <w:t xml:space="preserve">are being </w:t>
      </w:r>
      <w:r w:rsidR="003A6417">
        <w:rPr>
          <w:rFonts w:cs="Times New Roman"/>
          <w:szCs w:val="20"/>
        </w:rPr>
        <w:t xml:space="preserve">collected </w:t>
      </w:r>
      <w:r w:rsidRPr="00F406CF">
        <w:rPr>
          <w:rFonts w:cs="Times New Roman"/>
          <w:szCs w:val="20"/>
        </w:rPr>
        <w:t xml:space="preserve">from selected treated, non-treated and mainstem sites (i.e. integration sites) within the South Fork Caspar Creek watershed.  Stream sampling locations </w:t>
      </w:r>
      <w:r w:rsidR="00D21210">
        <w:rPr>
          <w:rFonts w:cs="Times New Roman"/>
          <w:szCs w:val="20"/>
        </w:rPr>
        <w:t xml:space="preserve">are </w:t>
      </w:r>
      <w:r w:rsidRPr="00F406CF">
        <w:rPr>
          <w:rFonts w:cs="Times New Roman"/>
          <w:szCs w:val="20"/>
        </w:rPr>
        <w:t>co-located with stream water gauging stations to allow us to determine constituent loads (kg/unit time).  This preliminary data w</w:t>
      </w:r>
      <w:r w:rsidR="003A6417">
        <w:rPr>
          <w:rFonts w:cs="Times New Roman"/>
          <w:szCs w:val="20"/>
        </w:rPr>
        <w:t>ill</w:t>
      </w:r>
      <w:r w:rsidRPr="00F406CF">
        <w:rPr>
          <w:rFonts w:cs="Times New Roman"/>
          <w:szCs w:val="20"/>
        </w:rPr>
        <w:t xml:space="preserve"> allow formulation of </w:t>
      </w:r>
      <w:r w:rsidR="00D21210">
        <w:rPr>
          <w:rFonts w:cs="Times New Roman"/>
          <w:szCs w:val="20"/>
        </w:rPr>
        <w:t xml:space="preserve">a </w:t>
      </w:r>
      <w:r w:rsidRPr="00F406CF">
        <w:rPr>
          <w:rFonts w:cs="Times New Roman"/>
          <w:szCs w:val="20"/>
        </w:rPr>
        <w:t>hypothes</w:t>
      </w:r>
      <w:r w:rsidR="00D21210">
        <w:rPr>
          <w:rFonts w:cs="Times New Roman"/>
          <w:szCs w:val="20"/>
        </w:rPr>
        <w:t>i</w:t>
      </w:r>
      <w:r w:rsidRPr="00F406CF">
        <w:rPr>
          <w:rFonts w:cs="Times New Roman"/>
          <w:szCs w:val="20"/>
        </w:rPr>
        <w:t xml:space="preserve">s of the fate and transport mechanisms of nutrients and solutes along the </w:t>
      </w:r>
      <w:r w:rsidRPr="00F406CF">
        <w:rPr>
          <w:rFonts w:cs="Times New Roman"/>
        </w:rPr>
        <w:t xml:space="preserve">hydrologic continuum: watershed </w:t>
      </w:r>
      <w:r w:rsidRPr="00F406CF">
        <w:rPr>
          <w:rFonts w:cs="Times New Roman"/>
        </w:rPr>
        <w:sym w:font="Wingdings" w:char="F0E0"/>
      </w:r>
      <w:r w:rsidRPr="00F406CF">
        <w:rPr>
          <w:rFonts w:cs="Times New Roman"/>
        </w:rPr>
        <w:t xml:space="preserve"> hillslope </w:t>
      </w:r>
      <w:r w:rsidRPr="00F406CF">
        <w:rPr>
          <w:rFonts w:cs="Times New Roman"/>
        </w:rPr>
        <w:sym w:font="Wingdings" w:char="F0E0"/>
      </w:r>
      <w:r w:rsidRPr="00F406CF">
        <w:rPr>
          <w:rFonts w:cs="Times New Roman"/>
        </w:rPr>
        <w:t xml:space="preserve"> riparian zone </w:t>
      </w:r>
      <w:r w:rsidRPr="00F406CF">
        <w:rPr>
          <w:rFonts w:cs="Times New Roman"/>
        </w:rPr>
        <w:sym w:font="Wingdings" w:char="F0E0"/>
      </w:r>
      <w:r w:rsidRPr="00F406CF">
        <w:rPr>
          <w:rFonts w:cs="Times New Roman"/>
        </w:rPr>
        <w:t xml:space="preserve"> instream/hyporheic, which </w:t>
      </w:r>
      <w:r w:rsidR="00D21210">
        <w:rPr>
          <w:rFonts w:cs="Times New Roman"/>
        </w:rPr>
        <w:t>will</w:t>
      </w:r>
      <w:r w:rsidRPr="00F406CF">
        <w:rPr>
          <w:rFonts w:cs="Times New Roman"/>
        </w:rPr>
        <w:t xml:space="preserve"> be analyzed in more detail in </w:t>
      </w:r>
      <w:r w:rsidR="00D21210">
        <w:rPr>
          <w:rFonts w:cs="Times New Roman"/>
        </w:rPr>
        <w:t xml:space="preserve">the </w:t>
      </w:r>
      <w:r w:rsidRPr="00F406CF">
        <w:rPr>
          <w:rFonts w:cs="Times New Roman"/>
        </w:rPr>
        <w:t xml:space="preserve">study during year 2 and 3. </w:t>
      </w:r>
    </w:p>
    <w:p w14:paraId="4842A7E3" w14:textId="77777777" w:rsidR="00115326" w:rsidRPr="00F406CF" w:rsidRDefault="00115326" w:rsidP="00115326">
      <w:pPr>
        <w:spacing w:line="240" w:lineRule="auto"/>
        <w:rPr>
          <w:rFonts w:cs="Times New Roman"/>
          <w:szCs w:val="20"/>
        </w:rPr>
      </w:pPr>
      <w:r w:rsidRPr="00F406CF">
        <w:rPr>
          <w:rFonts w:cs="Times New Roman"/>
          <w:szCs w:val="20"/>
        </w:rPr>
        <w:t xml:space="preserve">To collect samples, ISCO automatic samplers </w:t>
      </w:r>
      <w:r>
        <w:rPr>
          <w:rFonts w:cs="Times New Roman"/>
          <w:szCs w:val="20"/>
        </w:rPr>
        <w:t xml:space="preserve">are </w:t>
      </w:r>
      <w:r w:rsidRPr="00F406CF">
        <w:rPr>
          <w:rFonts w:cs="Times New Roman"/>
          <w:szCs w:val="20"/>
        </w:rPr>
        <w:t>installed at gauging stations and programmed to sample stream</w:t>
      </w:r>
      <w:r>
        <w:rPr>
          <w:rFonts w:cs="Times New Roman"/>
          <w:szCs w:val="20"/>
        </w:rPr>
        <w:t xml:space="preserve"> </w:t>
      </w:r>
      <w:r w:rsidRPr="00F406CF">
        <w:rPr>
          <w:rFonts w:cs="Times New Roman"/>
          <w:szCs w:val="20"/>
        </w:rPr>
        <w:t xml:space="preserve">water at hourly intervals during peak flow events. From the collected storm water samples, two samples each collected on the rising and falling limb of the hydrograph and the sample collected closest to the peak of the streamflow event </w:t>
      </w:r>
      <w:r>
        <w:rPr>
          <w:rFonts w:cs="Times New Roman"/>
          <w:szCs w:val="20"/>
        </w:rPr>
        <w:t xml:space="preserve">are </w:t>
      </w:r>
      <w:r w:rsidRPr="00F406CF">
        <w:rPr>
          <w:rFonts w:cs="Times New Roman"/>
          <w:szCs w:val="20"/>
        </w:rPr>
        <w:t xml:space="preserve">transferred into 125 ml HDPE bottles for further laboratory analysis. Stream water samples </w:t>
      </w:r>
      <w:r w:rsidR="00D21210">
        <w:rPr>
          <w:rFonts w:cs="Times New Roman"/>
          <w:szCs w:val="20"/>
        </w:rPr>
        <w:t xml:space="preserve">are </w:t>
      </w:r>
      <w:r w:rsidRPr="00F406CF">
        <w:rPr>
          <w:rFonts w:cs="Times New Roman"/>
          <w:szCs w:val="20"/>
        </w:rPr>
        <w:t xml:space="preserve">collected bi-weekly during the summer dry season and during extended periods with no storm events. Precipitation samples </w:t>
      </w:r>
      <w:r w:rsidR="00D21210">
        <w:rPr>
          <w:rFonts w:cs="Times New Roman"/>
          <w:szCs w:val="20"/>
        </w:rPr>
        <w:t xml:space="preserve">are </w:t>
      </w:r>
      <w:r w:rsidRPr="00F406CF">
        <w:rPr>
          <w:rFonts w:cs="Times New Roman"/>
          <w:szCs w:val="20"/>
        </w:rPr>
        <w:t xml:space="preserve">collected as bulk samples at three locations within the watershed following precipitation events. All samples </w:t>
      </w:r>
      <w:r w:rsidR="00D21210">
        <w:rPr>
          <w:rFonts w:cs="Times New Roman"/>
          <w:szCs w:val="20"/>
        </w:rPr>
        <w:t xml:space="preserve">are </w:t>
      </w:r>
      <w:r w:rsidRPr="00F406CF">
        <w:rPr>
          <w:rFonts w:cs="Times New Roman"/>
          <w:szCs w:val="20"/>
        </w:rPr>
        <w:t xml:space="preserve">stored in the fridge until shipment for laboratory analysis. The water samples </w:t>
      </w:r>
      <w:r w:rsidR="00D21210">
        <w:rPr>
          <w:rFonts w:cs="Times New Roman"/>
          <w:szCs w:val="20"/>
        </w:rPr>
        <w:t xml:space="preserve">are </w:t>
      </w:r>
      <w:r w:rsidRPr="00F406CF">
        <w:rPr>
          <w:rFonts w:cs="Times New Roman"/>
          <w:szCs w:val="20"/>
        </w:rPr>
        <w:t>shipped to the University of California, Davis on a weekly basis to reduce the risk of degradation of the sample over time. In order to discern pre- and post-harvest effects on nutrient fluxes</w:t>
      </w:r>
      <w:r w:rsidR="00D21210">
        <w:rPr>
          <w:rFonts w:cs="Times New Roman"/>
          <w:szCs w:val="20"/>
        </w:rPr>
        <w:t>,</w:t>
      </w:r>
      <w:r w:rsidRPr="00F406CF">
        <w:rPr>
          <w:rFonts w:cs="Times New Roman"/>
          <w:szCs w:val="20"/>
        </w:rPr>
        <w:t xml:space="preserve"> at least 2-3 storm events and 6 baseflow periods </w:t>
      </w:r>
      <w:r w:rsidR="00D21210">
        <w:rPr>
          <w:rFonts w:cs="Times New Roman"/>
          <w:szCs w:val="20"/>
        </w:rPr>
        <w:t xml:space="preserve">will be sampled </w:t>
      </w:r>
      <w:r w:rsidRPr="00F406CF">
        <w:rPr>
          <w:rFonts w:cs="Times New Roman"/>
          <w:szCs w:val="20"/>
        </w:rPr>
        <w:t>prior to onset of the harvesting activities from different sub-watersheds and mainstem locations within South Fork Caspar Creek. These baseline data will allow assessment of whether the individual sub-watersheds can be considered comparable (i.e., paired watersheds) in terms of nutrient cycling.</w:t>
      </w:r>
    </w:p>
    <w:p w14:paraId="402F991D" w14:textId="77777777" w:rsidR="00115326" w:rsidRPr="00F406CF" w:rsidRDefault="00115326" w:rsidP="00115326">
      <w:pPr>
        <w:spacing w:line="240" w:lineRule="auto"/>
        <w:rPr>
          <w:rFonts w:cs="Times New Roman"/>
        </w:rPr>
      </w:pPr>
      <w:r w:rsidRPr="00F406CF">
        <w:rPr>
          <w:rFonts w:cs="Times New Roman"/>
          <w:b/>
          <w:i/>
          <w:szCs w:val="20"/>
        </w:rPr>
        <w:t xml:space="preserve">Laboratory Analysis: </w:t>
      </w:r>
      <w:r w:rsidRPr="00F406CF">
        <w:rPr>
          <w:rFonts w:cs="Times New Roman"/>
        </w:rPr>
        <w:t xml:space="preserve">A subsample of the collected </w:t>
      </w:r>
      <w:proofErr w:type="spellStart"/>
      <w:r w:rsidRPr="00F406CF">
        <w:rPr>
          <w:rFonts w:cs="Times New Roman"/>
        </w:rPr>
        <w:t>streamwater</w:t>
      </w:r>
      <w:proofErr w:type="spellEnd"/>
      <w:r w:rsidRPr="00F406CF">
        <w:rPr>
          <w:rFonts w:cs="Times New Roman"/>
        </w:rPr>
        <w:t xml:space="preserve"> samples and the collected soil water </w:t>
      </w:r>
      <w:r w:rsidR="00D21210">
        <w:rPr>
          <w:rFonts w:cs="Times New Roman"/>
        </w:rPr>
        <w:t xml:space="preserve">is </w:t>
      </w:r>
      <w:r w:rsidRPr="00F406CF">
        <w:rPr>
          <w:rFonts w:cs="Times New Roman"/>
        </w:rPr>
        <w:t>filtered through a pre-rinsed 0.</w:t>
      </w:r>
      <w:r>
        <w:rPr>
          <w:rFonts w:cs="Times New Roman"/>
        </w:rPr>
        <w:t>2</w:t>
      </w:r>
      <w:r w:rsidRPr="00F406CF">
        <w:rPr>
          <w:rFonts w:cs="Times New Roman"/>
        </w:rPr>
        <w:t xml:space="preserve"> µm polycarbonate membrane (Millipore) for quantification of soluble reactive phosphorus (SR-PO</w:t>
      </w:r>
      <w:r w:rsidRPr="00F406CF">
        <w:rPr>
          <w:rFonts w:cs="Times New Roman"/>
          <w:vertAlign w:val="subscript"/>
        </w:rPr>
        <w:t>4</w:t>
      </w:r>
      <w:r w:rsidRPr="00F406CF">
        <w:rPr>
          <w:rFonts w:cs="Times New Roman"/>
        </w:rPr>
        <w:t>), nitrate-N (NO</w:t>
      </w:r>
      <w:r w:rsidRPr="00F406CF">
        <w:rPr>
          <w:rFonts w:cs="Times New Roman"/>
          <w:vertAlign w:val="subscript"/>
        </w:rPr>
        <w:t>3</w:t>
      </w:r>
      <w:r w:rsidRPr="00F406CF">
        <w:rPr>
          <w:rFonts w:cs="Times New Roman"/>
        </w:rPr>
        <w:t>-N), ammonium (NH</w:t>
      </w:r>
      <w:r w:rsidRPr="00F406CF">
        <w:rPr>
          <w:rFonts w:cs="Times New Roman"/>
          <w:vertAlign w:val="subscript"/>
        </w:rPr>
        <w:t>4</w:t>
      </w:r>
      <w:r w:rsidRPr="00F406CF">
        <w:rPr>
          <w:rFonts w:cs="Times New Roman"/>
        </w:rPr>
        <w:t>-N), and dissolved organic carbon (DOC). SR-PO</w:t>
      </w:r>
      <w:r w:rsidRPr="00F406CF">
        <w:rPr>
          <w:rFonts w:cs="Times New Roman"/>
          <w:vertAlign w:val="subscript"/>
        </w:rPr>
        <w:t>4</w:t>
      </w:r>
      <w:r w:rsidRPr="00F406CF">
        <w:rPr>
          <w:rFonts w:cs="Times New Roman"/>
        </w:rPr>
        <w:t xml:space="preserve"> </w:t>
      </w:r>
      <w:r w:rsidR="00D21210">
        <w:rPr>
          <w:rFonts w:cs="Times New Roman"/>
        </w:rPr>
        <w:t>is</w:t>
      </w:r>
      <w:r w:rsidRPr="00F406CF">
        <w:rPr>
          <w:rFonts w:cs="Times New Roman"/>
        </w:rPr>
        <w:t xml:space="preserve"> determined using the ammonium </w:t>
      </w:r>
      <w:proofErr w:type="spellStart"/>
      <w:r w:rsidRPr="00F406CF">
        <w:rPr>
          <w:rFonts w:cs="Times New Roman"/>
        </w:rPr>
        <w:t>molybdate</w:t>
      </w:r>
      <w:proofErr w:type="spellEnd"/>
      <w:r w:rsidRPr="00F406CF">
        <w:rPr>
          <w:rFonts w:cs="Times New Roman"/>
        </w:rPr>
        <w:t xml:space="preserve"> spectrophotometric method (LOD ~0.005 mg L</w:t>
      </w:r>
      <w:r w:rsidRPr="00F406CF">
        <w:rPr>
          <w:rFonts w:cs="Times New Roman"/>
          <w:sz w:val="2"/>
          <w:szCs w:val="2"/>
        </w:rPr>
        <w:t>P</w:t>
      </w:r>
      <w:r w:rsidRPr="00F406CF">
        <w:rPr>
          <w:rFonts w:cs="Times New Roman"/>
          <w:vertAlign w:val="superscript"/>
        </w:rPr>
        <w:t>-1</w:t>
      </w:r>
      <w:r w:rsidRPr="00F406CF">
        <w:rPr>
          <w:rFonts w:cs="Times New Roman"/>
        </w:rPr>
        <w:t>) (</w:t>
      </w:r>
      <w:proofErr w:type="spellStart"/>
      <w:r w:rsidRPr="00F406CF">
        <w:rPr>
          <w:rFonts w:cs="Times New Roman"/>
        </w:rPr>
        <w:t>Clesceri</w:t>
      </w:r>
      <w:proofErr w:type="spellEnd"/>
      <w:r w:rsidRPr="00F406CF">
        <w:rPr>
          <w:rFonts w:cs="Times New Roman"/>
        </w:rPr>
        <w:t xml:space="preserve"> et al., 1998). </w:t>
      </w:r>
      <w:bookmarkStart w:id="1" w:name="bbib4"/>
      <w:r w:rsidRPr="00F406CF">
        <w:rPr>
          <w:rFonts w:cs="Times New Roman"/>
        </w:rPr>
        <w:t>The vanadium chloride method is used to spectroscopically determine NO</w:t>
      </w:r>
      <w:r w:rsidRPr="00F406CF">
        <w:rPr>
          <w:rFonts w:cs="Times New Roman"/>
          <w:vertAlign w:val="subscript"/>
        </w:rPr>
        <w:t>3</w:t>
      </w:r>
      <w:r w:rsidRPr="00F406CF">
        <w:rPr>
          <w:rFonts w:cs="Times New Roman"/>
        </w:rPr>
        <w:t>-N (LOD =0.01 mg L</w:t>
      </w:r>
      <w:r w:rsidRPr="00F406CF">
        <w:rPr>
          <w:rFonts w:cs="Times New Roman"/>
          <w:vertAlign w:val="superscript"/>
        </w:rPr>
        <w:t>-1</w:t>
      </w:r>
      <w:r w:rsidRPr="00F406CF">
        <w:rPr>
          <w:rFonts w:cs="Times New Roman"/>
        </w:rPr>
        <w:t>) (</w:t>
      </w:r>
      <w:bookmarkStart w:id="2" w:name="bbib5"/>
      <w:bookmarkEnd w:id="2"/>
      <w:proofErr w:type="spellStart"/>
      <w:r w:rsidRPr="00F406CF">
        <w:rPr>
          <w:rFonts w:cs="Times New Roman"/>
        </w:rPr>
        <w:t>Doane</w:t>
      </w:r>
      <w:proofErr w:type="spellEnd"/>
      <w:r w:rsidRPr="00F406CF">
        <w:rPr>
          <w:rFonts w:cs="Times New Roman"/>
        </w:rPr>
        <w:t xml:space="preserve"> and Horwath 2003)</w:t>
      </w:r>
      <w:bookmarkEnd w:id="1"/>
      <w:r w:rsidRPr="00F406CF">
        <w:rPr>
          <w:rFonts w:cs="Times New Roman"/>
        </w:rPr>
        <w:t>.  NH</w:t>
      </w:r>
      <w:r w:rsidRPr="00F406CF">
        <w:rPr>
          <w:rFonts w:cs="Times New Roman"/>
          <w:vertAlign w:val="subscript"/>
        </w:rPr>
        <w:t>4</w:t>
      </w:r>
      <w:r w:rsidRPr="00F406CF">
        <w:rPr>
          <w:rFonts w:cs="Times New Roman"/>
        </w:rPr>
        <w:t>-N is determined spectroscopically with the Berthelot reaction, using a salicylate analog of indophenol blue (LOD ~ 0.010 mg L</w:t>
      </w:r>
      <w:r w:rsidRPr="00F406CF">
        <w:rPr>
          <w:rFonts w:cs="Times New Roman"/>
          <w:vertAlign w:val="superscript"/>
        </w:rPr>
        <w:t>−1</w:t>
      </w:r>
      <w:r w:rsidRPr="00F406CF">
        <w:rPr>
          <w:rFonts w:cs="Times New Roman"/>
        </w:rPr>
        <w:t xml:space="preserve">; Forster 1995).  TOC and DOC </w:t>
      </w:r>
      <w:r w:rsidR="00D21210">
        <w:rPr>
          <w:rFonts w:cs="Times New Roman"/>
        </w:rPr>
        <w:t xml:space="preserve">are </w:t>
      </w:r>
      <w:r w:rsidRPr="00F406CF">
        <w:rPr>
          <w:rFonts w:cs="Times New Roman"/>
        </w:rPr>
        <w:t xml:space="preserve">measured using a </w:t>
      </w:r>
      <w:proofErr w:type="spellStart"/>
      <w:r w:rsidRPr="00F406CF">
        <w:rPr>
          <w:rFonts w:cs="Times New Roman"/>
        </w:rPr>
        <w:t>Dohrmann</w:t>
      </w:r>
      <w:proofErr w:type="spellEnd"/>
      <w:r w:rsidRPr="00F406CF">
        <w:rPr>
          <w:rFonts w:cs="Times New Roman"/>
        </w:rPr>
        <w:t xml:space="preserve"> UV enhanced-persulfate TOC analyzer (EPA Standard Method 5310C; Phoenix 8000; LOD ~0.1 mg L</w:t>
      </w:r>
      <w:r w:rsidRPr="00F406CF">
        <w:rPr>
          <w:rFonts w:cs="Times New Roman"/>
          <w:vertAlign w:val="superscript"/>
        </w:rPr>
        <w:t>-1</w:t>
      </w:r>
      <w:r w:rsidRPr="00F406CF">
        <w:rPr>
          <w:rFonts w:cs="Times New Roman"/>
        </w:rPr>
        <w:t xml:space="preserve">).  Particulate organic carbon (POC) </w:t>
      </w:r>
      <w:r w:rsidR="00D21210">
        <w:rPr>
          <w:rFonts w:cs="Times New Roman"/>
        </w:rPr>
        <w:t xml:space="preserve">is </w:t>
      </w:r>
      <w:r w:rsidRPr="00F406CF">
        <w:rPr>
          <w:rFonts w:cs="Times New Roman"/>
        </w:rPr>
        <w:t xml:space="preserve">determined by difference: TOC – DOC.  </w:t>
      </w:r>
      <w:r w:rsidRPr="00F406CF">
        <w:rPr>
          <w:rFonts w:eastAsia="MS Mincho" w:cs="Times New Roman"/>
          <w:lang w:eastAsia="ja-JP"/>
        </w:rPr>
        <w:t xml:space="preserve">Electrical conductivity (EC), pH, and turbidity </w:t>
      </w:r>
      <w:r w:rsidR="00D21210">
        <w:rPr>
          <w:rFonts w:eastAsia="MS Mincho" w:cs="Times New Roman"/>
          <w:lang w:eastAsia="ja-JP"/>
        </w:rPr>
        <w:t xml:space="preserve">are </w:t>
      </w:r>
      <w:r w:rsidRPr="00F406CF">
        <w:rPr>
          <w:rFonts w:eastAsia="MS Mincho" w:cs="Times New Roman"/>
          <w:lang w:eastAsia="ja-JP"/>
        </w:rPr>
        <w:t xml:space="preserve">measured on unfiltered subsamples using laboratory meters. </w:t>
      </w:r>
      <w:r w:rsidRPr="00F406CF">
        <w:rPr>
          <w:rFonts w:cs="Times New Roman"/>
        </w:rPr>
        <w:t xml:space="preserve">TN and TP </w:t>
      </w:r>
      <w:r w:rsidR="00D21210">
        <w:rPr>
          <w:rFonts w:cs="Times New Roman"/>
        </w:rPr>
        <w:t xml:space="preserve">are </w:t>
      </w:r>
      <w:r w:rsidRPr="00F406CF">
        <w:rPr>
          <w:rFonts w:cs="Times New Roman"/>
        </w:rPr>
        <w:t>measured on a non-filter sample following oxidization with 1% persulfate (</w:t>
      </w:r>
      <w:proofErr w:type="spellStart"/>
      <w:r w:rsidRPr="00F406CF">
        <w:rPr>
          <w:rFonts w:cs="Times New Roman"/>
        </w:rPr>
        <w:t>Clesceri</w:t>
      </w:r>
      <w:proofErr w:type="spellEnd"/>
      <w:r w:rsidRPr="00F406CF">
        <w:rPr>
          <w:rFonts w:cs="Times New Roman"/>
        </w:rPr>
        <w:t xml:space="preserve"> et al. 1998) and subsequent quantification of nitrate and phosphate, respectively, using the methods described above.  Major cations </w:t>
      </w:r>
      <w:r w:rsidRPr="00F406CF">
        <w:rPr>
          <w:rFonts w:cs="Times New Roman"/>
          <w:szCs w:val="20"/>
        </w:rPr>
        <w:t>(Ca, Mg, K, Na) and anions (Cl, SO</w:t>
      </w:r>
      <w:r w:rsidRPr="00F406CF">
        <w:rPr>
          <w:rFonts w:cs="Times New Roman"/>
          <w:szCs w:val="20"/>
          <w:vertAlign w:val="subscript"/>
        </w:rPr>
        <w:t>4</w:t>
      </w:r>
      <w:r w:rsidRPr="00F406CF">
        <w:rPr>
          <w:rFonts w:cs="Times New Roman"/>
          <w:szCs w:val="20"/>
        </w:rPr>
        <w:t xml:space="preserve">) </w:t>
      </w:r>
      <w:r w:rsidR="00D21210">
        <w:rPr>
          <w:rFonts w:cs="Times New Roman"/>
          <w:szCs w:val="20"/>
        </w:rPr>
        <w:t xml:space="preserve">are </w:t>
      </w:r>
      <w:r w:rsidRPr="00F406CF">
        <w:rPr>
          <w:rFonts w:cs="Times New Roman"/>
          <w:szCs w:val="20"/>
        </w:rPr>
        <w:t>quantified by ion chromatography and HCO</w:t>
      </w:r>
      <w:r w:rsidRPr="00F406CF">
        <w:rPr>
          <w:rFonts w:cs="Times New Roman"/>
          <w:szCs w:val="20"/>
          <w:vertAlign w:val="subscript"/>
        </w:rPr>
        <w:t>3</w:t>
      </w:r>
      <w:r w:rsidRPr="00F406CF">
        <w:rPr>
          <w:rFonts w:cs="Times New Roman"/>
          <w:szCs w:val="20"/>
        </w:rPr>
        <w:t>/CO</w:t>
      </w:r>
      <w:r w:rsidRPr="00F406CF">
        <w:rPr>
          <w:rFonts w:cs="Times New Roman"/>
          <w:szCs w:val="20"/>
          <w:vertAlign w:val="subscript"/>
        </w:rPr>
        <w:t>3</w:t>
      </w:r>
      <w:r w:rsidRPr="00F406CF">
        <w:rPr>
          <w:rFonts w:cs="Times New Roman"/>
          <w:szCs w:val="20"/>
        </w:rPr>
        <w:t xml:space="preserve"> by acid titration.  </w:t>
      </w:r>
      <w:r w:rsidRPr="00F406CF">
        <w:rPr>
          <w:rFonts w:cs="Times New Roman"/>
        </w:rPr>
        <w:t xml:space="preserve">Laboratory quality assurance/quality </w:t>
      </w:r>
      <w:r w:rsidRPr="00F406CF">
        <w:rPr>
          <w:rFonts w:cs="Times New Roman"/>
        </w:rPr>
        <w:lastRenderedPageBreak/>
        <w:t>control include</w:t>
      </w:r>
      <w:r w:rsidR="00D21210">
        <w:rPr>
          <w:rFonts w:cs="Times New Roman"/>
        </w:rPr>
        <w:t>s</w:t>
      </w:r>
      <w:r w:rsidRPr="00F406CF">
        <w:rPr>
          <w:rFonts w:cs="Times New Roman"/>
        </w:rPr>
        <w:t xml:space="preserve"> replicates, spikes, reference materials, setting of control limits, criteria for rejection, and data validation methods (</w:t>
      </w:r>
      <w:r w:rsidRPr="00F406CF">
        <w:rPr>
          <w:rFonts w:eastAsia="MS Mincho" w:cs="Times New Roman"/>
          <w:lang w:eastAsia="ja-JP"/>
        </w:rPr>
        <w:t>Puckett 2002)</w:t>
      </w:r>
      <w:r w:rsidRPr="00F406CF">
        <w:rPr>
          <w:rFonts w:cs="Times New Roman"/>
        </w:rPr>
        <w:t xml:space="preserve">.  </w:t>
      </w:r>
    </w:p>
    <w:p w14:paraId="7D11CBB7" w14:textId="77777777" w:rsidR="00115326" w:rsidRPr="00F406CF" w:rsidRDefault="00115326" w:rsidP="00115326">
      <w:pPr>
        <w:spacing w:line="240" w:lineRule="auto"/>
        <w:rPr>
          <w:rFonts w:cs="Times New Roman"/>
        </w:rPr>
      </w:pPr>
      <w:r w:rsidRPr="00F406CF">
        <w:rPr>
          <w:rFonts w:cs="Times New Roman"/>
        </w:rPr>
        <w:t xml:space="preserve">LOAD </w:t>
      </w:r>
      <w:proofErr w:type="spellStart"/>
      <w:r w:rsidRPr="00F406CF">
        <w:rPr>
          <w:rFonts w:cs="Times New Roman"/>
        </w:rPr>
        <w:t>ESTimator</w:t>
      </w:r>
      <w:proofErr w:type="spellEnd"/>
      <w:r w:rsidRPr="00F406CF">
        <w:rPr>
          <w:rFonts w:cs="Times New Roman"/>
        </w:rPr>
        <w:t xml:space="preserve"> (LOADEST) </w:t>
      </w:r>
      <w:r w:rsidR="00D21210">
        <w:rPr>
          <w:rFonts w:cs="Times New Roman"/>
        </w:rPr>
        <w:t xml:space="preserve">is used </w:t>
      </w:r>
      <w:r w:rsidRPr="00F406CF">
        <w:rPr>
          <w:rFonts w:cs="Times New Roman"/>
        </w:rPr>
        <w:t>to estimate constituent loads in streams from daily measurements of streamflow (http://water.usgs.gov/software/loadest/). Given a time series of streamflow, additional data variables, and constituent concentration, LOADEST develops an optimized regression model for the estimation of constituent loads (calibration). The formulated regression model can then be used to estimate loads over a user-specified time interval (estimation). Mean load estimates, standard errors, and 95 percent confidence intervals are developed for a daily, monthly and/or seasonal basis. A successful calibration of LOADEST for water quality constituents allow</w:t>
      </w:r>
      <w:r w:rsidR="00D21210">
        <w:rPr>
          <w:rFonts w:cs="Times New Roman"/>
        </w:rPr>
        <w:t>s</w:t>
      </w:r>
      <w:r w:rsidRPr="00F406CF">
        <w:rPr>
          <w:rFonts w:cs="Times New Roman"/>
        </w:rPr>
        <w:t xml:space="preserve"> the estimation of constituent loads for time periods during which field measurements are not taken, based on daily stream flow records that are continuously available from the watershed gauging stations. </w:t>
      </w:r>
    </w:p>
    <w:p w14:paraId="2EC1380C" w14:textId="77777777" w:rsidR="00115326" w:rsidRPr="00F406CF" w:rsidRDefault="00115326" w:rsidP="00EF7760">
      <w:pPr>
        <w:pStyle w:val="Heading3"/>
      </w:pPr>
      <w:r w:rsidRPr="00F406CF">
        <w:t>Relevance of anticipated results</w:t>
      </w:r>
    </w:p>
    <w:p w14:paraId="458FF4E8" w14:textId="77777777" w:rsidR="00115326" w:rsidRPr="00F406CF" w:rsidRDefault="00115326" w:rsidP="00115326">
      <w:pPr>
        <w:spacing w:line="240" w:lineRule="auto"/>
        <w:rPr>
          <w:rFonts w:cs="Times New Roman"/>
        </w:rPr>
      </w:pPr>
      <w:r w:rsidRPr="00F406CF">
        <w:rPr>
          <w:rFonts w:cs="Times New Roman"/>
        </w:rPr>
        <w:t>There is a concern that nutrient losses from hillslopes to streams associated with erosion and leaching after timber operations may compromise the long-term sustainability of forest ecosystems. Increased nutrient levels in streams can increase algal growth, particularly where near-stream logging or climate warming has increased stream temperatures or increased light to the stream water column. Th</w:t>
      </w:r>
      <w:r w:rsidR="00D21210">
        <w:rPr>
          <w:rFonts w:cs="Times New Roman"/>
        </w:rPr>
        <w:t>is s</w:t>
      </w:r>
      <w:r w:rsidRPr="00F406CF">
        <w:rPr>
          <w:rFonts w:cs="Times New Roman"/>
        </w:rPr>
        <w:t xml:space="preserve">tudy </w:t>
      </w:r>
      <w:r w:rsidR="00D21210">
        <w:rPr>
          <w:rFonts w:cs="Times New Roman"/>
        </w:rPr>
        <w:t xml:space="preserve">will </w:t>
      </w:r>
      <w:r w:rsidRPr="00F406CF">
        <w:rPr>
          <w:rFonts w:cs="Times New Roman"/>
        </w:rPr>
        <w:t xml:space="preserve">evaluate the effect of different forest harvest practices (e.g. different degrees of forest </w:t>
      </w:r>
      <w:r w:rsidR="00D21210">
        <w:rPr>
          <w:rFonts w:cs="Times New Roman"/>
        </w:rPr>
        <w:t>stand removal</w:t>
      </w:r>
      <w:r w:rsidRPr="00F406CF">
        <w:rPr>
          <w:rFonts w:cs="Times New Roman"/>
        </w:rPr>
        <w:t xml:space="preserve">) on nutrient cycling processes in </w:t>
      </w:r>
      <w:r w:rsidR="00D21210">
        <w:rPr>
          <w:rFonts w:cs="Times New Roman"/>
        </w:rPr>
        <w:t xml:space="preserve">a </w:t>
      </w:r>
      <w:r w:rsidRPr="00F406CF">
        <w:rPr>
          <w:rFonts w:cs="Times New Roman"/>
        </w:rPr>
        <w:t xml:space="preserve">California </w:t>
      </w:r>
      <w:r w:rsidR="00D21210">
        <w:rPr>
          <w:rFonts w:cs="Times New Roman"/>
        </w:rPr>
        <w:t xml:space="preserve">coast </w:t>
      </w:r>
      <w:r w:rsidRPr="00F406CF">
        <w:rPr>
          <w:rFonts w:cs="Times New Roman"/>
        </w:rPr>
        <w:t xml:space="preserve">redwood </w:t>
      </w:r>
      <w:r w:rsidR="00D21210">
        <w:rPr>
          <w:rFonts w:cs="Times New Roman"/>
        </w:rPr>
        <w:t>watershed</w:t>
      </w:r>
      <w:r w:rsidRPr="00F406CF">
        <w:rPr>
          <w:rFonts w:cs="Times New Roman"/>
        </w:rPr>
        <w:t xml:space="preserve">. The results </w:t>
      </w:r>
      <w:r w:rsidR="00D21210">
        <w:rPr>
          <w:rFonts w:cs="Times New Roman"/>
        </w:rPr>
        <w:t>will be</w:t>
      </w:r>
      <w:r w:rsidRPr="00F406CF">
        <w:rPr>
          <w:rFonts w:cs="Times New Roman"/>
        </w:rPr>
        <w:t xml:space="preserve"> particularly important to improve understanding of how nutrient removal due to timber harvest impact</w:t>
      </w:r>
      <w:r w:rsidR="00D21210">
        <w:rPr>
          <w:rFonts w:cs="Times New Roman"/>
        </w:rPr>
        <w:t>s</w:t>
      </w:r>
      <w:r w:rsidRPr="00F406CF">
        <w:rPr>
          <w:rFonts w:cs="Times New Roman"/>
        </w:rPr>
        <w:t xml:space="preserve"> forest regrowth and food webs in downstream aquatic systems. </w:t>
      </w:r>
    </w:p>
    <w:p w14:paraId="3EB34C3C" w14:textId="77777777" w:rsidR="00115326" w:rsidRPr="00F406CF" w:rsidRDefault="00115326" w:rsidP="00EF7760">
      <w:pPr>
        <w:pStyle w:val="Heading3"/>
      </w:pPr>
      <w:r w:rsidRPr="00F406CF">
        <w:t>Education and outreach activities</w:t>
      </w:r>
    </w:p>
    <w:p w14:paraId="7F807F79" w14:textId="77777777" w:rsidR="00115326" w:rsidRPr="00F406CF" w:rsidRDefault="00115326" w:rsidP="00115326">
      <w:pPr>
        <w:autoSpaceDE w:val="0"/>
        <w:autoSpaceDN w:val="0"/>
        <w:adjustRightInd w:val="0"/>
        <w:spacing w:after="0" w:line="240" w:lineRule="auto"/>
        <w:rPr>
          <w:rFonts w:cs="Times New Roman"/>
          <w:b/>
        </w:rPr>
      </w:pPr>
      <w:r w:rsidRPr="00F406CF">
        <w:rPr>
          <w:rFonts w:cs="Times New Roman"/>
          <w:noProof/>
          <w:szCs w:val="20"/>
        </w:rPr>
        <w:t xml:space="preserve">Upong completion of this </w:t>
      </w:r>
      <w:r w:rsidR="004C01B0">
        <w:rPr>
          <w:rFonts w:cs="Times New Roman"/>
          <w:noProof/>
          <w:szCs w:val="20"/>
        </w:rPr>
        <w:t>multi-</w:t>
      </w:r>
      <w:r w:rsidRPr="00F406CF">
        <w:rPr>
          <w:rFonts w:cs="Times New Roman"/>
          <w:noProof/>
          <w:szCs w:val="20"/>
        </w:rPr>
        <w:t xml:space="preserve">year study the PIs </w:t>
      </w:r>
      <w:r w:rsidR="004C01B0">
        <w:rPr>
          <w:rFonts w:cs="Times New Roman"/>
          <w:noProof/>
          <w:szCs w:val="20"/>
        </w:rPr>
        <w:t xml:space="preserve">will </w:t>
      </w:r>
      <w:r w:rsidRPr="00F406CF">
        <w:rPr>
          <w:rFonts w:cs="Times New Roman"/>
          <w:noProof/>
          <w:szCs w:val="20"/>
        </w:rPr>
        <w:t>present preliminary findings at the UC ANR Redwood Science Symposium, the American Geophysical Union Fall Meeting</w:t>
      </w:r>
      <w:r w:rsidR="00D21210">
        <w:rPr>
          <w:rFonts w:cs="Times New Roman"/>
          <w:noProof/>
          <w:szCs w:val="20"/>
        </w:rPr>
        <w:t>,</w:t>
      </w:r>
      <w:r w:rsidRPr="00F406CF">
        <w:rPr>
          <w:rFonts w:cs="Times New Roman"/>
          <w:noProof/>
          <w:szCs w:val="20"/>
        </w:rPr>
        <w:t xml:space="preserve"> and other relevant state meetings. Further, results will be summarized in a </w:t>
      </w:r>
      <w:r w:rsidR="00D6236D">
        <w:rPr>
          <w:rFonts w:cs="Times New Roman"/>
          <w:noProof/>
          <w:szCs w:val="20"/>
        </w:rPr>
        <w:t xml:space="preserve">agency summary report </w:t>
      </w:r>
      <w:r w:rsidRPr="00F406CF">
        <w:rPr>
          <w:rFonts w:cs="Times New Roman"/>
          <w:noProof/>
          <w:szCs w:val="20"/>
        </w:rPr>
        <w:t>for dissemination to stakeholders.</w:t>
      </w:r>
    </w:p>
    <w:p w14:paraId="7FA73173" w14:textId="77777777" w:rsidR="00115326" w:rsidRPr="00F406CF" w:rsidRDefault="00115326" w:rsidP="00115326">
      <w:pPr>
        <w:autoSpaceDE w:val="0"/>
        <w:autoSpaceDN w:val="0"/>
        <w:adjustRightInd w:val="0"/>
        <w:spacing w:after="0" w:line="240" w:lineRule="auto"/>
        <w:rPr>
          <w:rFonts w:cs="Times New Roman"/>
          <w:noProof/>
          <w:szCs w:val="20"/>
        </w:rPr>
      </w:pPr>
    </w:p>
    <w:p w14:paraId="4C210994" w14:textId="77777777" w:rsidR="003B6A8C" w:rsidRDefault="003B6A8C" w:rsidP="00EF7760">
      <w:pPr>
        <w:pStyle w:val="Heading2"/>
      </w:pPr>
      <w:r w:rsidRPr="000E3147">
        <w:t>Timeline</w:t>
      </w:r>
    </w:p>
    <w:p w14:paraId="2A7955E6" w14:textId="77777777" w:rsidR="00CB083A" w:rsidRPr="000E3147" w:rsidRDefault="00CB083A" w:rsidP="00CB083A">
      <w:pPr>
        <w:pStyle w:val="ListParagraph"/>
        <w:rPr>
          <w:rFonts w:ascii="Arial" w:hAnsi="Arial" w:cs="Arial"/>
          <w:b/>
          <w:sz w:val="24"/>
          <w:szCs w:val="24"/>
          <w:u w:val="single"/>
        </w:rPr>
      </w:pPr>
    </w:p>
    <w:p w14:paraId="0BE117F3" w14:textId="77777777" w:rsidR="003B6A8C" w:rsidRPr="003B6A8C" w:rsidRDefault="00CB083A" w:rsidP="003B6A8C">
      <w:pPr>
        <w:spacing w:line="240" w:lineRule="auto"/>
        <w:rPr>
          <w:b/>
          <w:u w:val="single"/>
        </w:rPr>
      </w:pPr>
      <w:r>
        <w:t>Background water sampling will occur during 2016 and 2017.  Timber harvesting will take place in the spring, summer and fall of 2018 in the six treated sub-watersheds.  Post logging sampling will end on June 30, 20</w:t>
      </w:r>
      <w:r w:rsidR="005F0BB5">
        <w:t>20</w:t>
      </w:r>
      <w:r>
        <w:t xml:space="preserve">.  </w:t>
      </w:r>
    </w:p>
    <w:p w14:paraId="55606C04" w14:textId="77777777" w:rsidR="003B6A8C" w:rsidRPr="003B6A8C" w:rsidRDefault="003B6A8C" w:rsidP="00EF7760">
      <w:pPr>
        <w:pStyle w:val="Heading2"/>
      </w:pPr>
      <w:r w:rsidRPr="003B6A8C">
        <w:t xml:space="preserve">Funding </w:t>
      </w:r>
    </w:p>
    <w:p w14:paraId="6F1CABC5" w14:textId="36FB920B" w:rsidR="005671AE" w:rsidRDefault="005671AE" w:rsidP="005671AE">
      <w:pPr>
        <w:autoSpaceDE w:val="0"/>
        <w:autoSpaceDN w:val="0"/>
        <w:adjustRightInd w:val="0"/>
        <w:spacing w:line="240" w:lineRule="auto"/>
        <w:rPr>
          <w:rFonts w:cs="Times New Roman"/>
        </w:rPr>
      </w:pPr>
      <w:r>
        <w:rPr>
          <w:rFonts w:cs="Times New Roman"/>
        </w:rPr>
        <w:t xml:space="preserve">Drs. </w:t>
      </w:r>
      <w:proofErr w:type="spellStart"/>
      <w:r>
        <w:rPr>
          <w:rFonts w:cs="Times New Roman"/>
        </w:rPr>
        <w:t>Dahlke</w:t>
      </w:r>
      <w:proofErr w:type="spellEnd"/>
      <w:r>
        <w:rPr>
          <w:rFonts w:cs="Times New Roman"/>
        </w:rPr>
        <w:t xml:space="preserve"> and Da</w:t>
      </w:r>
      <w:r w:rsidR="006D4A9D">
        <w:rPr>
          <w:rFonts w:cs="Times New Roman"/>
        </w:rPr>
        <w:t>h</w:t>
      </w:r>
      <w:r>
        <w:rPr>
          <w:rFonts w:cs="Times New Roman"/>
        </w:rPr>
        <w:t xml:space="preserve">lgren, UC Davis PIs, </w:t>
      </w:r>
      <w:r w:rsidRPr="005671AE">
        <w:rPr>
          <w:rFonts w:cs="Times New Roman"/>
        </w:rPr>
        <w:t>cover</w:t>
      </w:r>
      <w:r>
        <w:rPr>
          <w:rFonts w:cs="Times New Roman"/>
        </w:rPr>
        <w:t>ed</w:t>
      </w:r>
      <w:r w:rsidRPr="005671AE">
        <w:rPr>
          <w:rFonts w:cs="Times New Roman"/>
        </w:rPr>
        <w:t xml:space="preserve"> the analytical cost associated with </w:t>
      </w:r>
      <w:proofErr w:type="spellStart"/>
      <w:r w:rsidRPr="005671AE">
        <w:rPr>
          <w:rFonts w:cs="Times New Roman"/>
        </w:rPr>
        <w:t>streamwater</w:t>
      </w:r>
      <w:proofErr w:type="spellEnd"/>
      <w:r w:rsidRPr="005671AE">
        <w:rPr>
          <w:rFonts w:cs="Times New Roman"/>
        </w:rPr>
        <w:t xml:space="preserve"> chemical analyses of the pretreatment samples </w:t>
      </w:r>
      <w:r>
        <w:rPr>
          <w:rFonts w:cs="Times New Roman"/>
        </w:rPr>
        <w:t xml:space="preserve">collected from </w:t>
      </w:r>
      <w:r w:rsidRPr="005671AE">
        <w:rPr>
          <w:rFonts w:cs="Times New Roman"/>
        </w:rPr>
        <w:t xml:space="preserve">April 2016 to </w:t>
      </w:r>
      <w:r>
        <w:rPr>
          <w:rFonts w:cs="Times New Roman"/>
        </w:rPr>
        <w:t>January</w:t>
      </w:r>
      <w:r w:rsidRPr="005671AE">
        <w:rPr>
          <w:rFonts w:cs="Times New Roman"/>
        </w:rPr>
        <w:t xml:space="preserve"> 2017. </w:t>
      </w:r>
    </w:p>
    <w:p w14:paraId="39F687FF" w14:textId="77777777" w:rsidR="003B6A8C" w:rsidRDefault="005671AE" w:rsidP="005671AE">
      <w:pPr>
        <w:autoSpaceDE w:val="0"/>
        <w:autoSpaceDN w:val="0"/>
        <w:adjustRightInd w:val="0"/>
        <w:spacing w:line="240" w:lineRule="auto"/>
      </w:pPr>
      <w:r w:rsidRPr="005671AE">
        <w:rPr>
          <w:rFonts w:cs="Times New Roman"/>
        </w:rPr>
        <w:lastRenderedPageBreak/>
        <w:t xml:space="preserve">To conduct the </w:t>
      </w:r>
      <w:r>
        <w:rPr>
          <w:rFonts w:cs="Times New Roman"/>
        </w:rPr>
        <w:t xml:space="preserve">further pre-treatment </w:t>
      </w:r>
      <w:r w:rsidRPr="005671AE">
        <w:rPr>
          <w:rFonts w:cs="Times New Roman"/>
        </w:rPr>
        <w:t>research, the PIs request</w:t>
      </w:r>
      <w:r>
        <w:rPr>
          <w:rFonts w:cs="Times New Roman"/>
        </w:rPr>
        <w:t>ed the following from the Save the Redwoods League:</w:t>
      </w:r>
      <w:r w:rsidRPr="005671AE">
        <w:rPr>
          <w:rFonts w:cs="Times New Roman"/>
        </w:rPr>
        <w:t xml:space="preserve"> support for 3 months for a lab technician ($12,610 in salary and $6,579 in benefits for 1 year at 25% effort), support for consumables needed to collect stream water samples (e.g. bottles: $1,500) and to support the laboratory analysis ($3,500), and shipping costs ($750).</w:t>
      </w:r>
      <w:r>
        <w:rPr>
          <w:rFonts w:cs="Times New Roman"/>
        </w:rPr>
        <w:t xml:space="preserve">  </w:t>
      </w:r>
      <w:r w:rsidR="00CB083A">
        <w:t xml:space="preserve">The Save the Redwoods League provided </w:t>
      </w:r>
      <w:r>
        <w:t xml:space="preserve">a </w:t>
      </w:r>
      <w:r w:rsidR="00CB083A">
        <w:t>$2</w:t>
      </w:r>
      <w:r w:rsidR="005F0BB5">
        <w:t>4</w:t>
      </w:r>
      <w:r w:rsidR="00CB083A">
        <w:t>,</w:t>
      </w:r>
      <w:r w:rsidR="005F0BB5">
        <w:t>939</w:t>
      </w:r>
      <w:r w:rsidR="00CB083A">
        <w:t xml:space="preserve"> </w:t>
      </w:r>
      <w:r>
        <w:t xml:space="preserve">grant </w:t>
      </w:r>
      <w:r w:rsidR="00CB083A">
        <w:t xml:space="preserve">for </w:t>
      </w:r>
      <w:r>
        <w:t xml:space="preserve">one additional </w:t>
      </w:r>
      <w:r w:rsidR="00CB083A">
        <w:t xml:space="preserve">year </w:t>
      </w:r>
      <w:r>
        <w:t xml:space="preserve">of </w:t>
      </w:r>
      <w:proofErr w:type="gramStart"/>
      <w:r w:rsidR="00CB083A">
        <w:t>pre harvest</w:t>
      </w:r>
      <w:proofErr w:type="gramEnd"/>
      <w:r w:rsidR="00CB083A">
        <w:t xml:space="preserve"> data collection</w:t>
      </w:r>
      <w:r>
        <w:t xml:space="preserve"> (February 1, 2017—January 31, 2018)</w:t>
      </w:r>
      <w:r w:rsidR="00CB083A">
        <w:t xml:space="preserve">.  </w:t>
      </w:r>
    </w:p>
    <w:p w14:paraId="41CC1CF9" w14:textId="77777777" w:rsidR="005671AE" w:rsidRPr="00CB083A" w:rsidRDefault="005671AE" w:rsidP="005671AE">
      <w:pPr>
        <w:autoSpaceDE w:val="0"/>
        <w:autoSpaceDN w:val="0"/>
        <w:adjustRightInd w:val="0"/>
        <w:spacing w:line="240" w:lineRule="auto"/>
      </w:pPr>
      <w:r>
        <w:t>Funding is required for data collection and analysis from February 1, 2018 through June 30, 20</w:t>
      </w:r>
      <w:r w:rsidR="005F0BB5">
        <w:t>20</w:t>
      </w:r>
      <w:r>
        <w:t xml:space="preserve">. </w:t>
      </w:r>
      <w:r w:rsidR="005F0BB5">
        <w:t xml:space="preserve"> Two years of funding is proposed for EMC and CAL FIRE support.  CAL FIRE will provide $100,000; the funding requested from the EMC is $92,252.  </w:t>
      </w:r>
    </w:p>
    <w:tbl>
      <w:tblPr>
        <w:tblW w:w="5480" w:type="dxa"/>
        <w:tblInd w:w="-5" w:type="dxa"/>
        <w:tblLook w:val="04A0" w:firstRow="1" w:lastRow="0" w:firstColumn="1" w:lastColumn="0" w:noHBand="0" w:noVBand="1"/>
      </w:tblPr>
      <w:tblGrid>
        <w:gridCol w:w="2380"/>
        <w:gridCol w:w="960"/>
        <w:gridCol w:w="960"/>
        <w:gridCol w:w="1180"/>
      </w:tblGrid>
      <w:tr w:rsidR="005F0BB5" w:rsidRPr="005F0BB5" w14:paraId="7A683713" w14:textId="77777777" w:rsidTr="00EF7760">
        <w:trPr>
          <w:trHeight w:val="300"/>
          <w:tblHeader/>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06668" w14:textId="77777777" w:rsidR="005F0BB5" w:rsidRPr="005F0BB5" w:rsidRDefault="005F0BB5" w:rsidP="005F0BB5">
            <w:pPr>
              <w:spacing w:after="0" w:line="240" w:lineRule="auto"/>
              <w:jc w:val="center"/>
              <w:rPr>
                <w:rFonts w:ascii="Calibri" w:eastAsia="Times New Roman" w:hAnsi="Calibri" w:cs="Times New Roman"/>
                <w:b/>
                <w:bCs/>
                <w:color w:val="000000"/>
                <w:sz w:val="22"/>
                <w:szCs w:val="22"/>
              </w:rPr>
            </w:pPr>
            <w:r w:rsidRPr="005F0BB5">
              <w:rPr>
                <w:rFonts w:ascii="Calibri" w:eastAsia="Times New Roman" w:hAnsi="Calibri" w:cs="Times New Roman"/>
                <w:b/>
                <w:bCs/>
                <w:color w:val="000000"/>
                <w:sz w:val="22"/>
                <w:szCs w:val="22"/>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EE5777A" w14:textId="77777777" w:rsidR="005F0BB5" w:rsidRPr="005F0BB5" w:rsidRDefault="005F0BB5" w:rsidP="005F0BB5">
            <w:pPr>
              <w:spacing w:after="0" w:line="240" w:lineRule="auto"/>
              <w:jc w:val="center"/>
              <w:rPr>
                <w:rFonts w:ascii="Calibri" w:eastAsia="Times New Roman" w:hAnsi="Calibri" w:cs="Times New Roman"/>
                <w:b/>
                <w:bCs/>
                <w:color w:val="000000"/>
                <w:sz w:val="22"/>
                <w:szCs w:val="22"/>
              </w:rPr>
            </w:pPr>
            <w:r w:rsidRPr="005F0BB5">
              <w:rPr>
                <w:rFonts w:ascii="Calibri" w:eastAsia="Times New Roman" w:hAnsi="Calibri" w:cs="Times New Roman"/>
                <w:b/>
                <w:bCs/>
                <w:color w:val="000000"/>
                <w:sz w:val="22"/>
                <w:szCs w:val="22"/>
              </w:rPr>
              <w:t>2018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425590A" w14:textId="77777777" w:rsidR="005F0BB5" w:rsidRPr="005F0BB5" w:rsidRDefault="005F0BB5" w:rsidP="005F0BB5">
            <w:pPr>
              <w:spacing w:after="0" w:line="240" w:lineRule="auto"/>
              <w:jc w:val="center"/>
              <w:rPr>
                <w:rFonts w:ascii="Calibri" w:eastAsia="Times New Roman" w:hAnsi="Calibri" w:cs="Times New Roman"/>
                <w:b/>
                <w:bCs/>
                <w:color w:val="000000"/>
                <w:sz w:val="22"/>
                <w:szCs w:val="22"/>
              </w:rPr>
            </w:pPr>
            <w:r w:rsidRPr="005F0BB5">
              <w:rPr>
                <w:rFonts w:ascii="Calibri" w:eastAsia="Times New Roman" w:hAnsi="Calibri" w:cs="Times New Roman"/>
                <w:b/>
                <w:bCs/>
                <w:color w:val="000000"/>
                <w:sz w:val="22"/>
                <w:szCs w:val="22"/>
              </w:rPr>
              <w:t>2019</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17D5A6AF" w14:textId="77777777" w:rsidR="005F0BB5" w:rsidRPr="005F0BB5" w:rsidRDefault="005F0BB5" w:rsidP="005F0BB5">
            <w:pPr>
              <w:spacing w:after="0" w:line="240" w:lineRule="auto"/>
              <w:jc w:val="center"/>
              <w:rPr>
                <w:rFonts w:ascii="Calibri" w:eastAsia="Times New Roman" w:hAnsi="Calibri" w:cs="Times New Roman"/>
                <w:b/>
                <w:bCs/>
                <w:color w:val="000000"/>
                <w:sz w:val="22"/>
                <w:szCs w:val="22"/>
              </w:rPr>
            </w:pPr>
            <w:r w:rsidRPr="005F0BB5">
              <w:rPr>
                <w:rFonts w:ascii="Calibri" w:eastAsia="Times New Roman" w:hAnsi="Calibri" w:cs="Times New Roman"/>
                <w:b/>
                <w:bCs/>
                <w:color w:val="000000"/>
                <w:sz w:val="22"/>
                <w:szCs w:val="22"/>
              </w:rPr>
              <w:t>Total Cost</w:t>
            </w:r>
          </w:p>
        </w:tc>
      </w:tr>
      <w:tr w:rsidR="005F0BB5" w:rsidRPr="005F0BB5" w14:paraId="312EA234" w14:textId="77777777" w:rsidTr="00EF7760">
        <w:trPr>
          <w:trHeight w:val="300"/>
          <w:tblHead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0B15DA41" w14:textId="77777777" w:rsidR="005F0BB5" w:rsidRPr="005F0BB5" w:rsidRDefault="005F0BB5" w:rsidP="005F0BB5">
            <w:pPr>
              <w:spacing w:after="0" w:line="240" w:lineRule="auto"/>
              <w:rPr>
                <w:rFonts w:ascii="Calibri" w:eastAsia="Times New Roman" w:hAnsi="Calibri" w:cs="Times New Roman"/>
                <w:color w:val="000000"/>
                <w:sz w:val="22"/>
                <w:szCs w:val="22"/>
              </w:rPr>
            </w:pPr>
            <w:r w:rsidRPr="005F0BB5">
              <w:rPr>
                <w:rFonts w:ascii="Calibri" w:eastAsia="Times New Roman" w:hAnsi="Calibri" w:cs="Times New Roman"/>
                <w:color w:val="000000"/>
                <w:sz w:val="22"/>
                <w:szCs w:val="22"/>
              </w:rPr>
              <w:t>Student Salary</w:t>
            </w:r>
          </w:p>
        </w:tc>
        <w:tc>
          <w:tcPr>
            <w:tcW w:w="960" w:type="dxa"/>
            <w:tcBorders>
              <w:top w:val="nil"/>
              <w:left w:val="nil"/>
              <w:bottom w:val="single" w:sz="4" w:space="0" w:color="auto"/>
              <w:right w:val="single" w:sz="4" w:space="0" w:color="auto"/>
            </w:tcBorders>
            <w:shd w:val="clear" w:color="auto" w:fill="auto"/>
            <w:noWrap/>
            <w:vAlign w:val="bottom"/>
            <w:hideMark/>
          </w:tcPr>
          <w:p w14:paraId="606296F3" w14:textId="77777777" w:rsidR="005F0BB5" w:rsidRPr="005F0BB5" w:rsidRDefault="005F0BB5" w:rsidP="005F0BB5">
            <w:pPr>
              <w:spacing w:after="0" w:line="240" w:lineRule="auto"/>
              <w:jc w:val="right"/>
              <w:rPr>
                <w:rFonts w:ascii="Calibri" w:eastAsia="Times New Roman" w:hAnsi="Calibri" w:cs="Times New Roman"/>
                <w:color w:val="000000"/>
                <w:sz w:val="22"/>
                <w:szCs w:val="22"/>
              </w:rPr>
            </w:pPr>
            <w:r w:rsidRPr="005F0BB5">
              <w:rPr>
                <w:rFonts w:ascii="Calibri" w:eastAsia="Times New Roman" w:hAnsi="Calibri" w:cs="Times New Roman"/>
                <w:color w:val="000000"/>
                <w:sz w:val="22"/>
                <w:szCs w:val="22"/>
              </w:rPr>
              <w:t>30,437</w:t>
            </w:r>
          </w:p>
        </w:tc>
        <w:tc>
          <w:tcPr>
            <w:tcW w:w="960" w:type="dxa"/>
            <w:tcBorders>
              <w:top w:val="nil"/>
              <w:left w:val="nil"/>
              <w:bottom w:val="single" w:sz="4" w:space="0" w:color="auto"/>
              <w:right w:val="single" w:sz="4" w:space="0" w:color="auto"/>
            </w:tcBorders>
            <w:shd w:val="clear" w:color="auto" w:fill="auto"/>
            <w:noWrap/>
            <w:vAlign w:val="bottom"/>
            <w:hideMark/>
          </w:tcPr>
          <w:p w14:paraId="4145CFFA" w14:textId="77777777" w:rsidR="005F0BB5" w:rsidRPr="005F0BB5" w:rsidRDefault="005F0BB5" w:rsidP="005F0BB5">
            <w:pPr>
              <w:spacing w:after="0" w:line="240" w:lineRule="auto"/>
              <w:jc w:val="right"/>
              <w:rPr>
                <w:rFonts w:ascii="Calibri" w:eastAsia="Times New Roman" w:hAnsi="Calibri" w:cs="Times New Roman"/>
                <w:color w:val="000000"/>
                <w:sz w:val="22"/>
                <w:szCs w:val="22"/>
              </w:rPr>
            </w:pPr>
            <w:r w:rsidRPr="005F0BB5">
              <w:rPr>
                <w:rFonts w:ascii="Calibri" w:eastAsia="Times New Roman" w:hAnsi="Calibri" w:cs="Times New Roman"/>
                <w:color w:val="000000"/>
                <w:sz w:val="22"/>
                <w:szCs w:val="22"/>
              </w:rPr>
              <w:t>32,828</w:t>
            </w:r>
          </w:p>
        </w:tc>
        <w:tc>
          <w:tcPr>
            <w:tcW w:w="1180" w:type="dxa"/>
            <w:tcBorders>
              <w:top w:val="nil"/>
              <w:left w:val="nil"/>
              <w:bottom w:val="single" w:sz="4" w:space="0" w:color="auto"/>
              <w:right w:val="single" w:sz="4" w:space="0" w:color="auto"/>
            </w:tcBorders>
            <w:shd w:val="clear" w:color="auto" w:fill="auto"/>
            <w:noWrap/>
            <w:vAlign w:val="bottom"/>
            <w:hideMark/>
          </w:tcPr>
          <w:p w14:paraId="2E4892A5" w14:textId="77777777" w:rsidR="005F0BB5" w:rsidRPr="005F0BB5" w:rsidRDefault="005F0BB5" w:rsidP="005F0BB5">
            <w:pPr>
              <w:spacing w:after="0" w:line="240" w:lineRule="auto"/>
              <w:jc w:val="right"/>
              <w:rPr>
                <w:rFonts w:ascii="Calibri" w:eastAsia="Times New Roman" w:hAnsi="Calibri" w:cs="Times New Roman"/>
                <w:color w:val="000000"/>
                <w:sz w:val="22"/>
                <w:szCs w:val="22"/>
              </w:rPr>
            </w:pPr>
            <w:r w:rsidRPr="005F0BB5">
              <w:rPr>
                <w:rFonts w:ascii="Calibri" w:eastAsia="Times New Roman" w:hAnsi="Calibri" w:cs="Times New Roman"/>
                <w:color w:val="000000"/>
                <w:sz w:val="22"/>
                <w:szCs w:val="22"/>
              </w:rPr>
              <w:t>63,265</w:t>
            </w:r>
          </w:p>
        </w:tc>
      </w:tr>
      <w:tr w:rsidR="005F0BB5" w:rsidRPr="005F0BB5" w14:paraId="56E452A4" w14:textId="77777777" w:rsidTr="00EF7760">
        <w:trPr>
          <w:trHeight w:val="300"/>
          <w:tblHead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65116BB2" w14:textId="77777777" w:rsidR="005F0BB5" w:rsidRPr="005F0BB5" w:rsidRDefault="005F0BB5" w:rsidP="005F0BB5">
            <w:pPr>
              <w:spacing w:after="0" w:line="240" w:lineRule="auto"/>
              <w:rPr>
                <w:rFonts w:ascii="Calibri" w:eastAsia="Times New Roman" w:hAnsi="Calibri" w:cs="Times New Roman"/>
                <w:color w:val="000000"/>
                <w:sz w:val="22"/>
                <w:szCs w:val="22"/>
              </w:rPr>
            </w:pPr>
            <w:r w:rsidRPr="005F0BB5">
              <w:rPr>
                <w:rFonts w:ascii="Calibri" w:eastAsia="Times New Roman" w:hAnsi="Calibri" w:cs="Times New Roman"/>
                <w:color w:val="000000"/>
                <w:sz w:val="22"/>
                <w:szCs w:val="22"/>
              </w:rPr>
              <w:t>Laboratory Technician</w:t>
            </w:r>
          </w:p>
        </w:tc>
        <w:tc>
          <w:tcPr>
            <w:tcW w:w="960" w:type="dxa"/>
            <w:tcBorders>
              <w:top w:val="nil"/>
              <w:left w:val="nil"/>
              <w:bottom w:val="single" w:sz="4" w:space="0" w:color="auto"/>
              <w:right w:val="single" w:sz="4" w:space="0" w:color="auto"/>
            </w:tcBorders>
            <w:shd w:val="clear" w:color="auto" w:fill="auto"/>
            <w:noWrap/>
            <w:vAlign w:val="bottom"/>
            <w:hideMark/>
          </w:tcPr>
          <w:p w14:paraId="685D7E74" w14:textId="77777777" w:rsidR="005F0BB5" w:rsidRPr="005F0BB5" w:rsidRDefault="005F0BB5" w:rsidP="005F0BB5">
            <w:pPr>
              <w:spacing w:after="0" w:line="240" w:lineRule="auto"/>
              <w:jc w:val="right"/>
              <w:rPr>
                <w:rFonts w:ascii="Calibri" w:eastAsia="Times New Roman" w:hAnsi="Calibri" w:cs="Times New Roman"/>
                <w:color w:val="000000"/>
                <w:sz w:val="22"/>
                <w:szCs w:val="22"/>
              </w:rPr>
            </w:pPr>
            <w:r w:rsidRPr="005F0BB5">
              <w:rPr>
                <w:rFonts w:ascii="Calibri" w:eastAsia="Times New Roman" w:hAnsi="Calibri" w:cs="Times New Roman"/>
                <w:color w:val="000000"/>
                <w:sz w:val="22"/>
                <w:szCs w:val="22"/>
              </w:rPr>
              <w:t>20,375</w:t>
            </w:r>
          </w:p>
        </w:tc>
        <w:tc>
          <w:tcPr>
            <w:tcW w:w="960" w:type="dxa"/>
            <w:tcBorders>
              <w:top w:val="nil"/>
              <w:left w:val="nil"/>
              <w:bottom w:val="single" w:sz="4" w:space="0" w:color="auto"/>
              <w:right w:val="single" w:sz="4" w:space="0" w:color="auto"/>
            </w:tcBorders>
            <w:shd w:val="clear" w:color="auto" w:fill="auto"/>
            <w:noWrap/>
            <w:vAlign w:val="bottom"/>
            <w:hideMark/>
          </w:tcPr>
          <w:p w14:paraId="65C90C78" w14:textId="77777777" w:rsidR="005F0BB5" w:rsidRPr="005F0BB5" w:rsidRDefault="005F0BB5" w:rsidP="005F0BB5">
            <w:pPr>
              <w:spacing w:after="0" w:line="240" w:lineRule="auto"/>
              <w:jc w:val="right"/>
              <w:rPr>
                <w:rFonts w:ascii="Calibri" w:eastAsia="Times New Roman" w:hAnsi="Calibri" w:cs="Times New Roman"/>
                <w:color w:val="000000"/>
                <w:sz w:val="22"/>
                <w:szCs w:val="22"/>
              </w:rPr>
            </w:pPr>
            <w:r w:rsidRPr="005F0BB5">
              <w:rPr>
                <w:rFonts w:ascii="Calibri" w:eastAsia="Times New Roman" w:hAnsi="Calibri" w:cs="Times New Roman"/>
                <w:color w:val="000000"/>
                <w:sz w:val="22"/>
                <w:szCs w:val="22"/>
              </w:rPr>
              <w:t>21,209</w:t>
            </w:r>
          </w:p>
        </w:tc>
        <w:tc>
          <w:tcPr>
            <w:tcW w:w="1180" w:type="dxa"/>
            <w:tcBorders>
              <w:top w:val="nil"/>
              <w:left w:val="nil"/>
              <w:bottom w:val="single" w:sz="4" w:space="0" w:color="auto"/>
              <w:right w:val="single" w:sz="4" w:space="0" w:color="auto"/>
            </w:tcBorders>
            <w:shd w:val="clear" w:color="auto" w:fill="auto"/>
            <w:noWrap/>
            <w:vAlign w:val="bottom"/>
            <w:hideMark/>
          </w:tcPr>
          <w:p w14:paraId="6CF039BF" w14:textId="77777777" w:rsidR="005F0BB5" w:rsidRPr="005F0BB5" w:rsidRDefault="005F0BB5" w:rsidP="005F0BB5">
            <w:pPr>
              <w:spacing w:after="0" w:line="240" w:lineRule="auto"/>
              <w:jc w:val="right"/>
              <w:rPr>
                <w:rFonts w:ascii="Calibri" w:eastAsia="Times New Roman" w:hAnsi="Calibri" w:cs="Times New Roman"/>
                <w:color w:val="000000"/>
                <w:sz w:val="22"/>
                <w:szCs w:val="22"/>
              </w:rPr>
            </w:pPr>
            <w:r w:rsidRPr="005F0BB5">
              <w:rPr>
                <w:rFonts w:ascii="Calibri" w:eastAsia="Times New Roman" w:hAnsi="Calibri" w:cs="Times New Roman"/>
                <w:color w:val="000000"/>
                <w:sz w:val="22"/>
                <w:szCs w:val="22"/>
              </w:rPr>
              <w:t>41,584</w:t>
            </w:r>
          </w:p>
        </w:tc>
      </w:tr>
      <w:tr w:rsidR="005F0BB5" w:rsidRPr="005F0BB5" w14:paraId="7EC01477" w14:textId="77777777" w:rsidTr="00EF7760">
        <w:trPr>
          <w:trHeight w:val="300"/>
          <w:tblHead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104339F8" w14:textId="77777777" w:rsidR="005F0BB5" w:rsidRPr="005F0BB5" w:rsidRDefault="005F0BB5" w:rsidP="005F0BB5">
            <w:pPr>
              <w:spacing w:after="0" w:line="240" w:lineRule="auto"/>
              <w:rPr>
                <w:rFonts w:ascii="Calibri" w:eastAsia="Times New Roman" w:hAnsi="Calibri" w:cs="Times New Roman"/>
                <w:color w:val="000000"/>
                <w:sz w:val="22"/>
                <w:szCs w:val="22"/>
              </w:rPr>
            </w:pPr>
            <w:r w:rsidRPr="005F0BB5">
              <w:rPr>
                <w:rFonts w:ascii="Calibri" w:eastAsia="Times New Roman" w:hAnsi="Calibri" w:cs="Times New Roman"/>
                <w:color w:val="000000"/>
                <w:sz w:val="22"/>
                <w:szCs w:val="22"/>
              </w:rPr>
              <w:t>Travel</w:t>
            </w:r>
          </w:p>
        </w:tc>
        <w:tc>
          <w:tcPr>
            <w:tcW w:w="960" w:type="dxa"/>
            <w:tcBorders>
              <w:top w:val="nil"/>
              <w:left w:val="nil"/>
              <w:bottom w:val="single" w:sz="4" w:space="0" w:color="auto"/>
              <w:right w:val="single" w:sz="4" w:space="0" w:color="auto"/>
            </w:tcBorders>
            <w:shd w:val="clear" w:color="auto" w:fill="auto"/>
            <w:noWrap/>
            <w:vAlign w:val="bottom"/>
            <w:hideMark/>
          </w:tcPr>
          <w:p w14:paraId="7E139124" w14:textId="77777777" w:rsidR="005F0BB5" w:rsidRPr="005F0BB5" w:rsidRDefault="005F0BB5" w:rsidP="005F0BB5">
            <w:pPr>
              <w:spacing w:after="0" w:line="240" w:lineRule="auto"/>
              <w:jc w:val="right"/>
              <w:rPr>
                <w:rFonts w:ascii="Calibri" w:eastAsia="Times New Roman" w:hAnsi="Calibri" w:cs="Times New Roman"/>
                <w:color w:val="000000"/>
                <w:sz w:val="22"/>
                <w:szCs w:val="22"/>
              </w:rPr>
            </w:pPr>
            <w:r w:rsidRPr="005F0BB5">
              <w:rPr>
                <w:rFonts w:ascii="Calibri" w:eastAsia="Times New Roman" w:hAnsi="Calibri" w:cs="Times New Roman"/>
                <w:color w:val="000000"/>
                <w:sz w:val="22"/>
                <w:szCs w:val="22"/>
              </w:rPr>
              <w:t>3,500</w:t>
            </w:r>
          </w:p>
        </w:tc>
        <w:tc>
          <w:tcPr>
            <w:tcW w:w="960" w:type="dxa"/>
            <w:tcBorders>
              <w:top w:val="nil"/>
              <w:left w:val="nil"/>
              <w:bottom w:val="single" w:sz="4" w:space="0" w:color="auto"/>
              <w:right w:val="single" w:sz="4" w:space="0" w:color="auto"/>
            </w:tcBorders>
            <w:shd w:val="clear" w:color="auto" w:fill="auto"/>
            <w:noWrap/>
            <w:vAlign w:val="bottom"/>
            <w:hideMark/>
          </w:tcPr>
          <w:p w14:paraId="4FB41F2B" w14:textId="77777777" w:rsidR="005F0BB5" w:rsidRPr="005F0BB5" w:rsidRDefault="005F0BB5" w:rsidP="005F0BB5">
            <w:pPr>
              <w:spacing w:after="0" w:line="240" w:lineRule="auto"/>
              <w:jc w:val="right"/>
              <w:rPr>
                <w:rFonts w:ascii="Calibri" w:eastAsia="Times New Roman" w:hAnsi="Calibri" w:cs="Times New Roman"/>
                <w:color w:val="000000"/>
                <w:sz w:val="22"/>
                <w:szCs w:val="22"/>
              </w:rPr>
            </w:pPr>
            <w:r w:rsidRPr="005F0BB5">
              <w:rPr>
                <w:rFonts w:ascii="Calibri" w:eastAsia="Times New Roman" w:hAnsi="Calibri" w:cs="Times New Roman"/>
                <w:color w:val="000000"/>
                <w:sz w:val="22"/>
                <w:szCs w:val="22"/>
              </w:rPr>
              <w:t>3,500</w:t>
            </w:r>
          </w:p>
        </w:tc>
        <w:tc>
          <w:tcPr>
            <w:tcW w:w="1180" w:type="dxa"/>
            <w:tcBorders>
              <w:top w:val="nil"/>
              <w:left w:val="nil"/>
              <w:bottom w:val="single" w:sz="4" w:space="0" w:color="auto"/>
              <w:right w:val="single" w:sz="4" w:space="0" w:color="auto"/>
            </w:tcBorders>
            <w:shd w:val="clear" w:color="auto" w:fill="auto"/>
            <w:noWrap/>
            <w:vAlign w:val="bottom"/>
            <w:hideMark/>
          </w:tcPr>
          <w:p w14:paraId="4C1C8FA9" w14:textId="77777777" w:rsidR="005F0BB5" w:rsidRPr="005F0BB5" w:rsidRDefault="005F0BB5" w:rsidP="005F0BB5">
            <w:pPr>
              <w:spacing w:after="0" w:line="240" w:lineRule="auto"/>
              <w:jc w:val="right"/>
              <w:rPr>
                <w:rFonts w:ascii="Calibri" w:eastAsia="Times New Roman" w:hAnsi="Calibri" w:cs="Times New Roman"/>
                <w:color w:val="000000"/>
                <w:sz w:val="22"/>
                <w:szCs w:val="22"/>
              </w:rPr>
            </w:pPr>
            <w:r w:rsidRPr="005F0BB5">
              <w:rPr>
                <w:rFonts w:ascii="Calibri" w:eastAsia="Times New Roman" w:hAnsi="Calibri" w:cs="Times New Roman"/>
                <w:color w:val="000000"/>
                <w:sz w:val="22"/>
                <w:szCs w:val="22"/>
              </w:rPr>
              <w:t>7,000</w:t>
            </w:r>
          </w:p>
        </w:tc>
      </w:tr>
      <w:tr w:rsidR="005F0BB5" w:rsidRPr="005F0BB5" w14:paraId="0E432472" w14:textId="77777777" w:rsidTr="00EF7760">
        <w:trPr>
          <w:trHeight w:val="300"/>
          <w:tblHead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29DE23C6" w14:textId="77777777" w:rsidR="005F0BB5" w:rsidRPr="005F0BB5" w:rsidRDefault="005F0BB5" w:rsidP="005F0BB5">
            <w:pPr>
              <w:spacing w:after="0" w:line="240" w:lineRule="auto"/>
              <w:rPr>
                <w:rFonts w:ascii="Calibri" w:eastAsia="Times New Roman" w:hAnsi="Calibri" w:cs="Times New Roman"/>
                <w:color w:val="000000"/>
                <w:sz w:val="22"/>
                <w:szCs w:val="22"/>
              </w:rPr>
            </w:pPr>
            <w:r w:rsidRPr="005F0BB5">
              <w:rPr>
                <w:rFonts w:ascii="Calibri" w:eastAsia="Times New Roman" w:hAnsi="Calibri" w:cs="Times New Roman"/>
                <w:color w:val="000000"/>
                <w:sz w:val="22"/>
                <w:szCs w:val="22"/>
              </w:rPr>
              <w:t>Supplies</w:t>
            </w:r>
          </w:p>
        </w:tc>
        <w:tc>
          <w:tcPr>
            <w:tcW w:w="960" w:type="dxa"/>
            <w:tcBorders>
              <w:top w:val="nil"/>
              <w:left w:val="nil"/>
              <w:bottom w:val="single" w:sz="4" w:space="0" w:color="auto"/>
              <w:right w:val="single" w:sz="4" w:space="0" w:color="auto"/>
            </w:tcBorders>
            <w:shd w:val="clear" w:color="auto" w:fill="auto"/>
            <w:noWrap/>
            <w:vAlign w:val="bottom"/>
            <w:hideMark/>
          </w:tcPr>
          <w:p w14:paraId="4A0F3739" w14:textId="77777777" w:rsidR="005F0BB5" w:rsidRPr="005F0BB5" w:rsidRDefault="005F0BB5" w:rsidP="005F0BB5">
            <w:pPr>
              <w:spacing w:after="0" w:line="240" w:lineRule="auto"/>
              <w:jc w:val="right"/>
              <w:rPr>
                <w:rFonts w:ascii="Calibri" w:eastAsia="Times New Roman" w:hAnsi="Calibri" w:cs="Times New Roman"/>
                <w:color w:val="000000"/>
                <w:sz w:val="22"/>
                <w:szCs w:val="22"/>
              </w:rPr>
            </w:pPr>
            <w:r w:rsidRPr="005F0BB5">
              <w:rPr>
                <w:rFonts w:ascii="Calibri" w:eastAsia="Times New Roman" w:hAnsi="Calibri" w:cs="Times New Roman"/>
                <w:color w:val="000000"/>
                <w:sz w:val="22"/>
                <w:szCs w:val="22"/>
              </w:rPr>
              <w:t>3,500</w:t>
            </w:r>
          </w:p>
        </w:tc>
        <w:tc>
          <w:tcPr>
            <w:tcW w:w="960" w:type="dxa"/>
            <w:tcBorders>
              <w:top w:val="nil"/>
              <w:left w:val="nil"/>
              <w:bottom w:val="single" w:sz="4" w:space="0" w:color="auto"/>
              <w:right w:val="single" w:sz="4" w:space="0" w:color="auto"/>
            </w:tcBorders>
            <w:shd w:val="clear" w:color="auto" w:fill="auto"/>
            <w:noWrap/>
            <w:vAlign w:val="bottom"/>
            <w:hideMark/>
          </w:tcPr>
          <w:p w14:paraId="44C66CCF" w14:textId="77777777" w:rsidR="005F0BB5" w:rsidRPr="005F0BB5" w:rsidRDefault="005F0BB5" w:rsidP="005F0BB5">
            <w:pPr>
              <w:spacing w:after="0" w:line="240" w:lineRule="auto"/>
              <w:jc w:val="right"/>
              <w:rPr>
                <w:rFonts w:ascii="Calibri" w:eastAsia="Times New Roman" w:hAnsi="Calibri" w:cs="Times New Roman"/>
                <w:color w:val="000000"/>
                <w:sz w:val="22"/>
                <w:szCs w:val="22"/>
              </w:rPr>
            </w:pPr>
            <w:r w:rsidRPr="005F0BB5">
              <w:rPr>
                <w:rFonts w:ascii="Calibri" w:eastAsia="Times New Roman" w:hAnsi="Calibri" w:cs="Times New Roman"/>
                <w:color w:val="000000"/>
                <w:sz w:val="22"/>
                <w:szCs w:val="22"/>
              </w:rPr>
              <w:t>3,500</w:t>
            </w:r>
          </w:p>
        </w:tc>
        <w:tc>
          <w:tcPr>
            <w:tcW w:w="1180" w:type="dxa"/>
            <w:tcBorders>
              <w:top w:val="nil"/>
              <w:left w:val="nil"/>
              <w:bottom w:val="single" w:sz="4" w:space="0" w:color="auto"/>
              <w:right w:val="single" w:sz="4" w:space="0" w:color="auto"/>
            </w:tcBorders>
            <w:shd w:val="clear" w:color="auto" w:fill="auto"/>
            <w:noWrap/>
            <w:vAlign w:val="bottom"/>
            <w:hideMark/>
          </w:tcPr>
          <w:p w14:paraId="0B4918A5" w14:textId="77777777" w:rsidR="005F0BB5" w:rsidRPr="005F0BB5" w:rsidRDefault="005F0BB5" w:rsidP="005F0BB5">
            <w:pPr>
              <w:spacing w:after="0" w:line="240" w:lineRule="auto"/>
              <w:jc w:val="right"/>
              <w:rPr>
                <w:rFonts w:ascii="Calibri" w:eastAsia="Times New Roman" w:hAnsi="Calibri" w:cs="Times New Roman"/>
                <w:color w:val="000000"/>
                <w:sz w:val="22"/>
                <w:szCs w:val="22"/>
              </w:rPr>
            </w:pPr>
            <w:r w:rsidRPr="005F0BB5">
              <w:rPr>
                <w:rFonts w:ascii="Calibri" w:eastAsia="Times New Roman" w:hAnsi="Calibri" w:cs="Times New Roman"/>
                <w:color w:val="000000"/>
                <w:sz w:val="22"/>
                <w:szCs w:val="22"/>
              </w:rPr>
              <w:t>7,000</w:t>
            </w:r>
          </w:p>
        </w:tc>
      </w:tr>
      <w:tr w:rsidR="005F0BB5" w:rsidRPr="005F0BB5" w14:paraId="4D88C747" w14:textId="77777777" w:rsidTr="00EF7760">
        <w:trPr>
          <w:trHeight w:val="300"/>
          <w:tblHead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40D9ED39" w14:textId="77777777" w:rsidR="005F0BB5" w:rsidRPr="005F0BB5" w:rsidRDefault="005F0BB5" w:rsidP="005F0BB5">
            <w:pPr>
              <w:spacing w:after="0" w:line="240" w:lineRule="auto"/>
              <w:rPr>
                <w:rFonts w:ascii="Calibri" w:eastAsia="Times New Roman" w:hAnsi="Calibri" w:cs="Times New Roman"/>
                <w:color w:val="000000"/>
                <w:sz w:val="22"/>
                <w:szCs w:val="22"/>
              </w:rPr>
            </w:pPr>
            <w:r w:rsidRPr="005F0BB5">
              <w:rPr>
                <w:rFonts w:ascii="Calibri" w:eastAsia="Times New Roman" w:hAnsi="Calibri" w:cs="Times New Roman"/>
                <w:color w:val="000000"/>
                <w:sz w:val="22"/>
                <w:szCs w:val="22"/>
              </w:rPr>
              <w:t>Tuition and Fees</w:t>
            </w:r>
          </w:p>
        </w:tc>
        <w:tc>
          <w:tcPr>
            <w:tcW w:w="960" w:type="dxa"/>
            <w:tcBorders>
              <w:top w:val="nil"/>
              <w:left w:val="nil"/>
              <w:bottom w:val="single" w:sz="4" w:space="0" w:color="auto"/>
              <w:right w:val="single" w:sz="4" w:space="0" w:color="auto"/>
            </w:tcBorders>
            <w:shd w:val="clear" w:color="auto" w:fill="auto"/>
            <w:noWrap/>
            <w:vAlign w:val="bottom"/>
            <w:hideMark/>
          </w:tcPr>
          <w:p w14:paraId="036E8C50" w14:textId="77777777" w:rsidR="005F0BB5" w:rsidRPr="005F0BB5" w:rsidRDefault="005F0BB5" w:rsidP="005F0BB5">
            <w:pPr>
              <w:spacing w:after="0" w:line="240" w:lineRule="auto"/>
              <w:jc w:val="right"/>
              <w:rPr>
                <w:rFonts w:ascii="Calibri" w:eastAsia="Times New Roman" w:hAnsi="Calibri" w:cs="Times New Roman"/>
                <w:color w:val="000000"/>
                <w:sz w:val="22"/>
                <w:szCs w:val="22"/>
              </w:rPr>
            </w:pPr>
            <w:r w:rsidRPr="005F0BB5">
              <w:rPr>
                <w:rFonts w:ascii="Calibri" w:eastAsia="Times New Roman" w:hAnsi="Calibri" w:cs="Times New Roman"/>
                <w:color w:val="000000"/>
                <w:sz w:val="22"/>
                <w:szCs w:val="22"/>
              </w:rPr>
              <w:t>16,053</w:t>
            </w:r>
          </w:p>
        </w:tc>
        <w:tc>
          <w:tcPr>
            <w:tcW w:w="960" w:type="dxa"/>
            <w:tcBorders>
              <w:top w:val="nil"/>
              <w:left w:val="nil"/>
              <w:bottom w:val="single" w:sz="4" w:space="0" w:color="auto"/>
              <w:right w:val="single" w:sz="4" w:space="0" w:color="auto"/>
            </w:tcBorders>
            <w:shd w:val="clear" w:color="auto" w:fill="auto"/>
            <w:noWrap/>
            <w:vAlign w:val="bottom"/>
            <w:hideMark/>
          </w:tcPr>
          <w:p w14:paraId="43097C0E" w14:textId="77777777" w:rsidR="005F0BB5" w:rsidRPr="005F0BB5" w:rsidRDefault="005F0BB5" w:rsidP="005F0BB5">
            <w:pPr>
              <w:spacing w:after="0" w:line="240" w:lineRule="auto"/>
              <w:jc w:val="right"/>
              <w:rPr>
                <w:rFonts w:ascii="Calibri" w:eastAsia="Times New Roman" w:hAnsi="Calibri" w:cs="Times New Roman"/>
                <w:color w:val="000000"/>
                <w:sz w:val="22"/>
                <w:szCs w:val="22"/>
              </w:rPr>
            </w:pPr>
            <w:r w:rsidRPr="005F0BB5">
              <w:rPr>
                <w:rFonts w:ascii="Calibri" w:eastAsia="Times New Roman" w:hAnsi="Calibri" w:cs="Times New Roman"/>
                <w:color w:val="000000"/>
                <w:sz w:val="22"/>
                <w:szCs w:val="22"/>
              </w:rPr>
              <w:t>17,658</w:t>
            </w:r>
          </w:p>
        </w:tc>
        <w:tc>
          <w:tcPr>
            <w:tcW w:w="1180" w:type="dxa"/>
            <w:tcBorders>
              <w:top w:val="nil"/>
              <w:left w:val="nil"/>
              <w:bottom w:val="single" w:sz="4" w:space="0" w:color="auto"/>
              <w:right w:val="single" w:sz="4" w:space="0" w:color="auto"/>
            </w:tcBorders>
            <w:shd w:val="clear" w:color="auto" w:fill="auto"/>
            <w:noWrap/>
            <w:vAlign w:val="bottom"/>
            <w:hideMark/>
          </w:tcPr>
          <w:p w14:paraId="5DE8F841" w14:textId="77777777" w:rsidR="005F0BB5" w:rsidRPr="005F0BB5" w:rsidRDefault="005F0BB5" w:rsidP="005F0BB5">
            <w:pPr>
              <w:spacing w:after="0" w:line="240" w:lineRule="auto"/>
              <w:jc w:val="right"/>
              <w:rPr>
                <w:rFonts w:ascii="Calibri" w:eastAsia="Times New Roman" w:hAnsi="Calibri" w:cs="Times New Roman"/>
                <w:color w:val="000000"/>
                <w:sz w:val="22"/>
                <w:szCs w:val="22"/>
              </w:rPr>
            </w:pPr>
            <w:r w:rsidRPr="005F0BB5">
              <w:rPr>
                <w:rFonts w:ascii="Calibri" w:eastAsia="Times New Roman" w:hAnsi="Calibri" w:cs="Times New Roman"/>
                <w:color w:val="000000"/>
                <w:sz w:val="22"/>
                <w:szCs w:val="22"/>
              </w:rPr>
              <w:t>33,711</w:t>
            </w:r>
          </w:p>
        </w:tc>
      </w:tr>
      <w:tr w:rsidR="005F0BB5" w:rsidRPr="005F0BB5" w14:paraId="299EAFA5" w14:textId="77777777" w:rsidTr="00EF7760">
        <w:trPr>
          <w:trHeight w:val="300"/>
          <w:tblHead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1351DDB1" w14:textId="77777777" w:rsidR="005F0BB5" w:rsidRPr="005F0BB5" w:rsidRDefault="005F0BB5" w:rsidP="005F0BB5">
            <w:pPr>
              <w:spacing w:after="0" w:line="240" w:lineRule="auto"/>
              <w:rPr>
                <w:rFonts w:ascii="Calibri" w:eastAsia="Times New Roman" w:hAnsi="Calibri" w:cs="Times New Roman"/>
                <w:color w:val="000000"/>
                <w:sz w:val="22"/>
                <w:szCs w:val="22"/>
              </w:rPr>
            </w:pPr>
            <w:r w:rsidRPr="005F0BB5">
              <w:rPr>
                <w:rFonts w:ascii="Calibri" w:eastAsia="Times New Roman" w:hAnsi="Calibri" w:cs="Times New Roman"/>
                <w:color w:val="000000"/>
                <w:sz w:val="22"/>
                <w:szCs w:val="22"/>
              </w:rPr>
              <w:t>Indirect Costs</w:t>
            </w:r>
          </w:p>
        </w:tc>
        <w:tc>
          <w:tcPr>
            <w:tcW w:w="960" w:type="dxa"/>
            <w:tcBorders>
              <w:top w:val="nil"/>
              <w:left w:val="nil"/>
              <w:bottom w:val="single" w:sz="4" w:space="0" w:color="auto"/>
              <w:right w:val="single" w:sz="4" w:space="0" w:color="auto"/>
            </w:tcBorders>
            <w:shd w:val="clear" w:color="auto" w:fill="auto"/>
            <w:noWrap/>
            <w:vAlign w:val="bottom"/>
            <w:hideMark/>
          </w:tcPr>
          <w:p w14:paraId="46B27C2F" w14:textId="77777777" w:rsidR="005F0BB5" w:rsidRPr="005F0BB5" w:rsidRDefault="005F0BB5" w:rsidP="005F0BB5">
            <w:pPr>
              <w:spacing w:after="0" w:line="240" w:lineRule="auto"/>
              <w:jc w:val="right"/>
              <w:rPr>
                <w:rFonts w:ascii="Calibri" w:eastAsia="Times New Roman" w:hAnsi="Calibri" w:cs="Times New Roman"/>
                <w:color w:val="000000"/>
                <w:sz w:val="22"/>
                <w:szCs w:val="22"/>
              </w:rPr>
            </w:pPr>
            <w:r w:rsidRPr="005F0BB5">
              <w:rPr>
                <w:rFonts w:ascii="Calibri" w:eastAsia="Times New Roman" w:hAnsi="Calibri" w:cs="Times New Roman"/>
                <w:color w:val="000000"/>
                <w:sz w:val="22"/>
                <w:szCs w:val="22"/>
              </w:rPr>
              <w:t>17,344</w:t>
            </w:r>
          </w:p>
        </w:tc>
        <w:tc>
          <w:tcPr>
            <w:tcW w:w="960" w:type="dxa"/>
            <w:tcBorders>
              <w:top w:val="nil"/>
              <w:left w:val="nil"/>
              <w:bottom w:val="single" w:sz="4" w:space="0" w:color="auto"/>
              <w:right w:val="single" w:sz="4" w:space="0" w:color="auto"/>
            </w:tcBorders>
            <w:shd w:val="clear" w:color="auto" w:fill="auto"/>
            <w:noWrap/>
            <w:vAlign w:val="bottom"/>
            <w:hideMark/>
          </w:tcPr>
          <w:p w14:paraId="4852E958" w14:textId="77777777" w:rsidR="005F0BB5" w:rsidRPr="005F0BB5" w:rsidRDefault="005F0BB5" w:rsidP="005F0BB5">
            <w:pPr>
              <w:spacing w:after="0" w:line="240" w:lineRule="auto"/>
              <w:jc w:val="right"/>
              <w:rPr>
                <w:rFonts w:ascii="Calibri" w:eastAsia="Times New Roman" w:hAnsi="Calibri" w:cs="Times New Roman"/>
                <w:color w:val="000000"/>
                <w:sz w:val="22"/>
                <w:szCs w:val="22"/>
              </w:rPr>
            </w:pPr>
            <w:r w:rsidRPr="005F0BB5">
              <w:rPr>
                <w:rFonts w:ascii="Calibri" w:eastAsia="Times New Roman" w:hAnsi="Calibri" w:cs="Times New Roman"/>
                <w:color w:val="000000"/>
                <w:sz w:val="22"/>
                <w:szCs w:val="22"/>
              </w:rPr>
              <w:t>18,311</w:t>
            </w:r>
          </w:p>
        </w:tc>
        <w:tc>
          <w:tcPr>
            <w:tcW w:w="1180" w:type="dxa"/>
            <w:tcBorders>
              <w:top w:val="nil"/>
              <w:left w:val="nil"/>
              <w:bottom w:val="single" w:sz="4" w:space="0" w:color="auto"/>
              <w:right w:val="single" w:sz="4" w:space="0" w:color="auto"/>
            </w:tcBorders>
            <w:shd w:val="clear" w:color="auto" w:fill="auto"/>
            <w:noWrap/>
            <w:vAlign w:val="bottom"/>
            <w:hideMark/>
          </w:tcPr>
          <w:p w14:paraId="2FCEBFBE" w14:textId="77777777" w:rsidR="005F0BB5" w:rsidRPr="005F0BB5" w:rsidRDefault="005F0BB5" w:rsidP="005F0BB5">
            <w:pPr>
              <w:spacing w:after="0" w:line="240" w:lineRule="auto"/>
              <w:jc w:val="right"/>
              <w:rPr>
                <w:rFonts w:ascii="Calibri" w:eastAsia="Times New Roman" w:hAnsi="Calibri" w:cs="Times New Roman"/>
                <w:color w:val="000000"/>
                <w:sz w:val="22"/>
                <w:szCs w:val="22"/>
              </w:rPr>
            </w:pPr>
            <w:r w:rsidRPr="005F0BB5">
              <w:rPr>
                <w:rFonts w:ascii="Calibri" w:eastAsia="Times New Roman" w:hAnsi="Calibri" w:cs="Times New Roman"/>
                <w:color w:val="000000"/>
                <w:sz w:val="22"/>
                <w:szCs w:val="22"/>
              </w:rPr>
              <w:t>35,655</w:t>
            </w:r>
          </w:p>
        </w:tc>
      </w:tr>
      <w:tr w:rsidR="005F0BB5" w:rsidRPr="005F0BB5" w14:paraId="32E9CD3D" w14:textId="77777777" w:rsidTr="00EF7760">
        <w:trPr>
          <w:trHeight w:val="300"/>
          <w:tblHead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47C51BB1" w14:textId="77777777" w:rsidR="005F0BB5" w:rsidRPr="005F0BB5" w:rsidRDefault="005F0BB5" w:rsidP="005F0BB5">
            <w:pPr>
              <w:spacing w:after="0" w:line="240" w:lineRule="auto"/>
              <w:rPr>
                <w:rFonts w:ascii="Calibri" w:eastAsia="Times New Roman" w:hAnsi="Calibri" w:cs="Times New Roman"/>
                <w:color w:val="000000"/>
                <w:sz w:val="22"/>
                <w:szCs w:val="22"/>
              </w:rPr>
            </w:pPr>
            <w:r w:rsidRPr="005F0BB5">
              <w:rPr>
                <w:rFonts w:ascii="Calibri" w:eastAsia="Times New Roman" w:hAnsi="Calibri" w:cs="Times New Roman"/>
                <w:color w:val="000000"/>
                <w:sz w:val="22"/>
                <w:szCs w:val="22"/>
              </w:rPr>
              <w:t>Total</w:t>
            </w:r>
          </w:p>
        </w:tc>
        <w:tc>
          <w:tcPr>
            <w:tcW w:w="960" w:type="dxa"/>
            <w:tcBorders>
              <w:top w:val="nil"/>
              <w:left w:val="nil"/>
              <w:bottom w:val="single" w:sz="4" w:space="0" w:color="auto"/>
              <w:right w:val="single" w:sz="4" w:space="0" w:color="auto"/>
            </w:tcBorders>
            <w:shd w:val="clear" w:color="auto" w:fill="auto"/>
            <w:noWrap/>
            <w:vAlign w:val="bottom"/>
            <w:hideMark/>
          </w:tcPr>
          <w:p w14:paraId="6FC42B77" w14:textId="77777777" w:rsidR="005F0BB5" w:rsidRPr="005F0BB5" w:rsidRDefault="005F0BB5" w:rsidP="005F0BB5">
            <w:pPr>
              <w:spacing w:after="0" w:line="240" w:lineRule="auto"/>
              <w:jc w:val="right"/>
              <w:rPr>
                <w:rFonts w:ascii="Calibri" w:eastAsia="Times New Roman" w:hAnsi="Calibri" w:cs="Times New Roman"/>
                <w:color w:val="000000"/>
                <w:sz w:val="22"/>
                <w:szCs w:val="22"/>
              </w:rPr>
            </w:pPr>
            <w:r w:rsidRPr="005F0BB5">
              <w:rPr>
                <w:rFonts w:ascii="Calibri" w:eastAsia="Times New Roman" w:hAnsi="Calibri" w:cs="Times New Roman"/>
                <w:color w:val="000000"/>
                <w:sz w:val="22"/>
                <w:szCs w:val="22"/>
              </w:rPr>
              <w:t>93227</w:t>
            </w:r>
          </w:p>
        </w:tc>
        <w:tc>
          <w:tcPr>
            <w:tcW w:w="960" w:type="dxa"/>
            <w:tcBorders>
              <w:top w:val="nil"/>
              <w:left w:val="nil"/>
              <w:bottom w:val="single" w:sz="4" w:space="0" w:color="auto"/>
              <w:right w:val="single" w:sz="4" w:space="0" w:color="auto"/>
            </w:tcBorders>
            <w:shd w:val="clear" w:color="auto" w:fill="auto"/>
            <w:noWrap/>
            <w:vAlign w:val="bottom"/>
            <w:hideMark/>
          </w:tcPr>
          <w:p w14:paraId="53C47016" w14:textId="77777777" w:rsidR="005F0BB5" w:rsidRPr="005F0BB5" w:rsidRDefault="005F0BB5" w:rsidP="005F0BB5">
            <w:pPr>
              <w:spacing w:after="0" w:line="240" w:lineRule="auto"/>
              <w:jc w:val="right"/>
              <w:rPr>
                <w:rFonts w:ascii="Calibri" w:eastAsia="Times New Roman" w:hAnsi="Calibri" w:cs="Times New Roman"/>
                <w:color w:val="000000"/>
                <w:sz w:val="22"/>
                <w:szCs w:val="22"/>
              </w:rPr>
            </w:pPr>
            <w:r w:rsidRPr="005F0BB5">
              <w:rPr>
                <w:rFonts w:ascii="Calibri" w:eastAsia="Times New Roman" w:hAnsi="Calibri" w:cs="Times New Roman"/>
                <w:color w:val="000000"/>
                <w:sz w:val="22"/>
                <w:szCs w:val="22"/>
              </w:rPr>
              <w:t>99025</w:t>
            </w:r>
          </w:p>
        </w:tc>
        <w:tc>
          <w:tcPr>
            <w:tcW w:w="1180" w:type="dxa"/>
            <w:tcBorders>
              <w:top w:val="nil"/>
              <w:left w:val="nil"/>
              <w:bottom w:val="single" w:sz="4" w:space="0" w:color="auto"/>
              <w:right w:val="single" w:sz="4" w:space="0" w:color="auto"/>
            </w:tcBorders>
            <w:shd w:val="clear" w:color="auto" w:fill="auto"/>
            <w:noWrap/>
            <w:vAlign w:val="bottom"/>
            <w:hideMark/>
          </w:tcPr>
          <w:p w14:paraId="320CDF93" w14:textId="77777777" w:rsidR="005F0BB5" w:rsidRPr="005F0BB5" w:rsidRDefault="005F0BB5" w:rsidP="005F0BB5">
            <w:pPr>
              <w:spacing w:after="0" w:line="240" w:lineRule="auto"/>
              <w:jc w:val="right"/>
              <w:rPr>
                <w:rFonts w:ascii="Calibri" w:eastAsia="Times New Roman" w:hAnsi="Calibri" w:cs="Times New Roman"/>
                <w:color w:val="000000"/>
                <w:sz w:val="22"/>
                <w:szCs w:val="22"/>
              </w:rPr>
            </w:pPr>
            <w:r w:rsidRPr="005F0BB5">
              <w:rPr>
                <w:rFonts w:ascii="Calibri" w:eastAsia="Times New Roman" w:hAnsi="Calibri" w:cs="Times New Roman"/>
                <w:color w:val="000000"/>
                <w:sz w:val="22"/>
                <w:szCs w:val="22"/>
              </w:rPr>
              <w:t>192,252</w:t>
            </w:r>
          </w:p>
        </w:tc>
      </w:tr>
    </w:tbl>
    <w:p w14:paraId="4E7377E6" w14:textId="77777777" w:rsidR="003B6A8C" w:rsidRDefault="003B6A8C" w:rsidP="00EA3E17">
      <w:pPr>
        <w:autoSpaceDE w:val="0"/>
        <w:autoSpaceDN w:val="0"/>
        <w:adjustRightInd w:val="0"/>
        <w:rPr>
          <w:b/>
          <w:u w:val="single"/>
        </w:rPr>
      </w:pPr>
    </w:p>
    <w:p w14:paraId="3ECB8B1F" w14:textId="77777777" w:rsidR="003B6A8C" w:rsidRPr="003B6A8C" w:rsidRDefault="003B6A8C" w:rsidP="00EF7760">
      <w:pPr>
        <w:pStyle w:val="Heading2"/>
      </w:pPr>
      <w:r w:rsidRPr="003B6A8C">
        <w:t>References</w:t>
      </w:r>
    </w:p>
    <w:p w14:paraId="21A4F290" w14:textId="77777777" w:rsidR="00115326" w:rsidRPr="00F406CF" w:rsidRDefault="00115326" w:rsidP="00115326">
      <w:pPr>
        <w:autoSpaceDE w:val="0"/>
        <w:autoSpaceDN w:val="0"/>
        <w:adjustRightInd w:val="0"/>
        <w:spacing w:after="0" w:line="240" w:lineRule="auto"/>
        <w:ind w:left="432" w:hanging="432"/>
        <w:rPr>
          <w:rFonts w:cs="Times New Roman"/>
        </w:rPr>
      </w:pPr>
      <w:r w:rsidRPr="00F406CF">
        <w:rPr>
          <w:rFonts w:cs="Times New Roman"/>
        </w:rPr>
        <w:t xml:space="preserve">Aber JD, </w:t>
      </w:r>
      <w:proofErr w:type="spellStart"/>
      <w:r w:rsidRPr="00F406CF">
        <w:rPr>
          <w:rFonts w:cs="Times New Roman"/>
        </w:rPr>
        <w:t>Ollinger</w:t>
      </w:r>
      <w:proofErr w:type="spellEnd"/>
      <w:r w:rsidRPr="00F406CF">
        <w:rPr>
          <w:rFonts w:cs="Times New Roman"/>
        </w:rPr>
        <w:t xml:space="preserve"> SV, Driscoll CT, Likens GE, Holmes RT, </w:t>
      </w:r>
      <w:proofErr w:type="spellStart"/>
      <w:r w:rsidRPr="00F406CF">
        <w:rPr>
          <w:rFonts w:cs="Times New Roman"/>
        </w:rPr>
        <w:t>Freuder</w:t>
      </w:r>
      <w:proofErr w:type="spellEnd"/>
      <w:r w:rsidRPr="00F406CF">
        <w:rPr>
          <w:rFonts w:cs="Times New Roman"/>
        </w:rPr>
        <w:t xml:space="preserve"> RJ, </w:t>
      </w:r>
      <w:proofErr w:type="spellStart"/>
      <w:r w:rsidRPr="00F406CF">
        <w:rPr>
          <w:rFonts w:cs="Times New Roman"/>
        </w:rPr>
        <w:t>Goodale</w:t>
      </w:r>
      <w:proofErr w:type="spellEnd"/>
      <w:r w:rsidRPr="00F406CF">
        <w:rPr>
          <w:rFonts w:cs="Times New Roman"/>
        </w:rPr>
        <w:t xml:space="preserve"> CL. 2002. Inorganic nitrogen losses from a forested ecosystem in response to physical, chemical, biotic, and climatic perturbations. Ecosystems 5: 648–658.</w:t>
      </w:r>
    </w:p>
    <w:p w14:paraId="4FFA5108" w14:textId="77777777" w:rsidR="00115326" w:rsidRPr="00F406CF" w:rsidRDefault="00115326" w:rsidP="00115326">
      <w:pPr>
        <w:autoSpaceDE w:val="0"/>
        <w:autoSpaceDN w:val="0"/>
        <w:adjustRightInd w:val="0"/>
        <w:spacing w:after="0" w:line="240" w:lineRule="auto"/>
        <w:ind w:left="432" w:hanging="432"/>
        <w:rPr>
          <w:rFonts w:cs="Times New Roman"/>
        </w:rPr>
      </w:pPr>
      <w:r w:rsidRPr="00F406CF">
        <w:rPr>
          <w:rFonts w:cs="Times New Roman"/>
        </w:rPr>
        <w:t xml:space="preserve">Bernhardt, E.S., Likens, G.E., Hall, R.O., </w:t>
      </w:r>
      <w:proofErr w:type="spellStart"/>
      <w:r w:rsidRPr="00F406CF">
        <w:rPr>
          <w:rFonts w:cs="Times New Roman"/>
        </w:rPr>
        <w:t>Buso</w:t>
      </w:r>
      <w:proofErr w:type="spellEnd"/>
      <w:r w:rsidRPr="00F406CF">
        <w:rPr>
          <w:rFonts w:cs="Times New Roman"/>
        </w:rPr>
        <w:t>, D.C., Fisher, S.G., Burton, T.M., Meyer, J.L., McDowell, W.H., Mayer, M.S., Bowden, W.B. and Findlay, S.E., 2005. Can't see the forest for the stream? In-stream processing and terrestrial nitrogen exports. Bioscience, 55(3), pp.219-230.</w:t>
      </w:r>
    </w:p>
    <w:p w14:paraId="51038E20" w14:textId="77777777" w:rsidR="00115326" w:rsidRPr="00F406CF" w:rsidRDefault="00115326" w:rsidP="00115326">
      <w:pPr>
        <w:autoSpaceDE w:val="0"/>
        <w:autoSpaceDN w:val="0"/>
        <w:adjustRightInd w:val="0"/>
        <w:spacing w:after="0" w:line="240" w:lineRule="auto"/>
        <w:ind w:left="432" w:hanging="432"/>
        <w:rPr>
          <w:rFonts w:cs="Times New Roman"/>
        </w:rPr>
      </w:pPr>
      <w:proofErr w:type="spellStart"/>
      <w:r w:rsidRPr="00F406CF">
        <w:rPr>
          <w:rFonts w:cs="Times New Roman"/>
        </w:rPr>
        <w:t>Clesceri</w:t>
      </w:r>
      <w:proofErr w:type="spellEnd"/>
      <w:r w:rsidRPr="00F406CF">
        <w:rPr>
          <w:rFonts w:cs="Times New Roman"/>
        </w:rPr>
        <w:t>, L.S., Greenberg, A.E., Eaton, A.D., 1998. Standard methods for the examination of water and wastewater, American Public Health Assoc., American Water Works Assoc., and Water Environment Assoc., Washington, DC, 20th Ed.</w:t>
      </w:r>
    </w:p>
    <w:p w14:paraId="107042E3" w14:textId="77777777" w:rsidR="00115326" w:rsidRPr="00F406CF" w:rsidRDefault="00115326" w:rsidP="00115326">
      <w:pPr>
        <w:spacing w:after="0" w:line="240" w:lineRule="auto"/>
        <w:ind w:left="432" w:hanging="432"/>
        <w:rPr>
          <w:rFonts w:eastAsia="Times New Roman" w:cs="Times New Roman"/>
        </w:rPr>
      </w:pPr>
      <w:r w:rsidRPr="00F406CF">
        <w:rPr>
          <w:rFonts w:eastAsia="Times New Roman" w:cs="Times New Roman"/>
        </w:rPr>
        <w:t>Dahlgren, R.A., 1998. Effects of forest harvest on stream-water quality and nitrogen cycling in the Caspar Creek watershed.</w:t>
      </w:r>
    </w:p>
    <w:p w14:paraId="3DC2A919" w14:textId="77777777" w:rsidR="00115326" w:rsidRPr="00F406CF" w:rsidRDefault="00115326" w:rsidP="00115326">
      <w:pPr>
        <w:autoSpaceDE w:val="0"/>
        <w:autoSpaceDN w:val="0"/>
        <w:adjustRightInd w:val="0"/>
        <w:spacing w:after="0" w:line="240" w:lineRule="auto"/>
        <w:ind w:left="432" w:hanging="432"/>
        <w:rPr>
          <w:rFonts w:cs="Times New Roman"/>
        </w:rPr>
      </w:pPr>
      <w:proofErr w:type="spellStart"/>
      <w:r w:rsidRPr="00F406CF">
        <w:rPr>
          <w:rFonts w:cs="Times New Roman"/>
        </w:rPr>
        <w:t>Doane</w:t>
      </w:r>
      <w:proofErr w:type="spellEnd"/>
      <w:r w:rsidRPr="00F406CF">
        <w:rPr>
          <w:rFonts w:cs="Times New Roman"/>
        </w:rPr>
        <w:t xml:space="preserve">, T.A., Horwath, W.R., 2003. Spectrophotometric determination of nitrate with a single reagent. </w:t>
      </w:r>
      <w:r w:rsidRPr="00F406CF">
        <w:rPr>
          <w:rFonts w:cs="Times New Roman"/>
          <w:i/>
        </w:rPr>
        <w:t>Anal. Lett.</w:t>
      </w:r>
      <w:r w:rsidRPr="00F406CF">
        <w:rPr>
          <w:rFonts w:cs="Times New Roman"/>
        </w:rPr>
        <w:t xml:space="preserve"> 36, 2713–2722.</w:t>
      </w:r>
    </w:p>
    <w:p w14:paraId="6FDE0B7B" w14:textId="77777777" w:rsidR="00E5250F" w:rsidRDefault="00E5250F" w:rsidP="00115326">
      <w:pPr>
        <w:spacing w:after="0" w:line="240" w:lineRule="auto"/>
        <w:ind w:left="432" w:hanging="432"/>
        <w:rPr>
          <w:rFonts w:eastAsia="Times New Roman" w:cs="Times New Roman"/>
        </w:rPr>
      </w:pPr>
      <w:proofErr w:type="spellStart"/>
      <w:r>
        <w:rPr>
          <w:rFonts w:eastAsia="Times New Roman" w:cs="Times New Roman"/>
        </w:rPr>
        <w:t>Dymond</w:t>
      </w:r>
      <w:proofErr w:type="spellEnd"/>
      <w:r>
        <w:rPr>
          <w:rFonts w:eastAsia="Times New Roman" w:cs="Times New Roman"/>
        </w:rPr>
        <w:t xml:space="preserve">, S.F. 2016.  Caspar Creek Experimental Watersheds experiment three study plan: the influence of forest stand density reduction on watershed processes in the South Fork.  USDA Forest Service Pacific Southwest Research Station, Arcata, CA.  28 p.  </w:t>
      </w:r>
    </w:p>
    <w:p w14:paraId="346B6100" w14:textId="77777777" w:rsidR="00115326" w:rsidRPr="00F406CF" w:rsidRDefault="00115326" w:rsidP="00115326">
      <w:pPr>
        <w:spacing w:after="0" w:line="240" w:lineRule="auto"/>
        <w:ind w:left="432" w:hanging="432"/>
        <w:rPr>
          <w:rFonts w:eastAsia="Times New Roman" w:cs="Times New Roman"/>
        </w:rPr>
      </w:pPr>
      <w:r w:rsidRPr="00F406CF">
        <w:rPr>
          <w:rFonts w:eastAsia="Times New Roman" w:cs="Times New Roman"/>
        </w:rPr>
        <w:t xml:space="preserve">Fenn ME, Poth MA, Aber JD, Baron JS, Bormann BT, Johnson DW, </w:t>
      </w:r>
      <w:proofErr w:type="spellStart"/>
      <w:r w:rsidRPr="00F406CF">
        <w:rPr>
          <w:rFonts w:eastAsia="Times New Roman" w:cs="Times New Roman"/>
        </w:rPr>
        <w:t>Lemly</w:t>
      </w:r>
      <w:proofErr w:type="spellEnd"/>
      <w:r w:rsidRPr="00F406CF">
        <w:rPr>
          <w:rFonts w:eastAsia="Times New Roman" w:cs="Times New Roman"/>
        </w:rPr>
        <w:t xml:space="preserve"> AD, McNulty SG, Ryan DF, </w:t>
      </w:r>
      <w:proofErr w:type="spellStart"/>
      <w:r w:rsidRPr="00F406CF">
        <w:rPr>
          <w:rFonts w:eastAsia="Times New Roman" w:cs="Times New Roman"/>
        </w:rPr>
        <w:t>Stottlemeyer</w:t>
      </w:r>
      <w:proofErr w:type="spellEnd"/>
      <w:r w:rsidRPr="00F406CF">
        <w:rPr>
          <w:rFonts w:eastAsia="Times New Roman" w:cs="Times New Roman"/>
        </w:rPr>
        <w:t xml:space="preserve"> R. 1998. Nitrogen excess in North American ecosystems: predisposing factors, ecosystem responses and management strategies. </w:t>
      </w:r>
      <w:proofErr w:type="spellStart"/>
      <w:r w:rsidRPr="00F406CF">
        <w:rPr>
          <w:rFonts w:eastAsia="Times New Roman" w:cs="Times New Roman"/>
        </w:rPr>
        <w:t>Ecol</w:t>
      </w:r>
      <w:proofErr w:type="spellEnd"/>
      <w:r w:rsidRPr="00F406CF">
        <w:rPr>
          <w:rFonts w:eastAsia="Times New Roman" w:cs="Times New Roman"/>
        </w:rPr>
        <w:t xml:space="preserve"> </w:t>
      </w:r>
      <w:proofErr w:type="spellStart"/>
      <w:r w:rsidRPr="00F406CF">
        <w:rPr>
          <w:rFonts w:eastAsia="Times New Roman" w:cs="Times New Roman"/>
        </w:rPr>
        <w:t>Appl</w:t>
      </w:r>
      <w:proofErr w:type="spellEnd"/>
      <w:r w:rsidRPr="00F406CF">
        <w:rPr>
          <w:rFonts w:eastAsia="Times New Roman" w:cs="Times New Roman"/>
        </w:rPr>
        <w:t xml:space="preserve"> 8:706–33.</w:t>
      </w:r>
    </w:p>
    <w:p w14:paraId="16750575" w14:textId="77777777" w:rsidR="00115326" w:rsidRPr="00F406CF" w:rsidRDefault="00115326" w:rsidP="00115326">
      <w:pPr>
        <w:autoSpaceDE w:val="0"/>
        <w:autoSpaceDN w:val="0"/>
        <w:adjustRightInd w:val="0"/>
        <w:spacing w:after="0" w:line="240" w:lineRule="auto"/>
        <w:ind w:left="432" w:hanging="432"/>
        <w:rPr>
          <w:rFonts w:cs="Times New Roman"/>
        </w:rPr>
      </w:pPr>
      <w:r w:rsidRPr="00F406CF">
        <w:rPr>
          <w:rFonts w:cs="Times New Roman"/>
        </w:rPr>
        <w:lastRenderedPageBreak/>
        <w:t xml:space="preserve">Forster, J.C., 1995. Soil nitrogen. In: </w:t>
      </w:r>
      <w:proofErr w:type="spellStart"/>
      <w:r w:rsidRPr="00F406CF">
        <w:rPr>
          <w:rFonts w:cs="Times New Roman"/>
        </w:rPr>
        <w:t>Alef</w:t>
      </w:r>
      <w:proofErr w:type="spellEnd"/>
      <w:r w:rsidRPr="00F406CF">
        <w:rPr>
          <w:rFonts w:cs="Times New Roman"/>
        </w:rPr>
        <w:t xml:space="preserve">, K., </w:t>
      </w:r>
      <w:proofErr w:type="spellStart"/>
      <w:r w:rsidRPr="00F406CF">
        <w:rPr>
          <w:rFonts w:cs="Times New Roman"/>
        </w:rPr>
        <w:t>Nannipieri</w:t>
      </w:r>
      <w:proofErr w:type="spellEnd"/>
      <w:r w:rsidRPr="00F406CF">
        <w:rPr>
          <w:rFonts w:cs="Times New Roman"/>
        </w:rPr>
        <w:t xml:space="preserve">, P. (Eds.), Methods in Applied Soil Microbiology and Biochemistry. </w:t>
      </w:r>
      <w:r w:rsidRPr="00F406CF">
        <w:rPr>
          <w:rFonts w:cs="Times New Roman"/>
          <w:i/>
        </w:rPr>
        <w:t>Academic Press</w:t>
      </w:r>
      <w:r w:rsidRPr="00F406CF">
        <w:rPr>
          <w:rFonts w:cs="Times New Roman"/>
        </w:rPr>
        <w:t>, San Diego, pp. 79–87.</w:t>
      </w:r>
    </w:p>
    <w:p w14:paraId="7EB9479D" w14:textId="77777777" w:rsidR="00E519CB" w:rsidRPr="00E519CB" w:rsidRDefault="00E519CB" w:rsidP="00E519CB">
      <w:pPr>
        <w:autoSpaceDE w:val="0"/>
        <w:autoSpaceDN w:val="0"/>
        <w:adjustRightInd w:val="0"/>
        <w:spacing w:after="0" w:line="240" w:lineRule="auto"/>
        <w:ind w:left="432" w:hanging="432"/>
        <w:rPr>
          <w:rFonts w:cs="Times New Roman"/>
          <w:lang w:val="de-DE"/>
        </w:rPr>
      </w:pPr>
      <w:r w:rsidRPr="00E519CB">
        <w:rPr>
          <w:rFonts w:cs="Times New Roman"/>
          <w:lang w:val="de-DE"/>
        </w:rPr>
        <w:t>Johnson, D.W.; Cole,D.W.; Bledsoe, C.S.; Cromack, K.; Edmonds, Robert L.; Gessel, S.P.; Grier, C.C.; Richards, B.N.; Vogt, K. A. 19</w:t>
      </w:r>
      <w:r>
        <w:rPr>
          <w:rFonts w:cs="Times New Roman"/>
          <w:lang w:val="de-DE"/>
        </w:rPr>
        <w:t>82</w:t>
      </w:r>
      <w:r w:rsidRPr="00E519CB">
        <w:rPr>
          <w:rFonts w:cs="Times New Roman"/>
          <w:lang w:val="de-DE"/>
        </w:rPr>
        <w:t>. Nutrient cycling in forests of the Pacific Northwest</w:t>
      </w:r>
      <w:r>
        <w:rPr>
          <w:rFonts w:cs="Times New Roman"/>
          <w:lang w:val="de-DE"/>
        </w:rPr>
        <w:t>. Pgs 186-232 in: (RL Edmonds, ed.)</w:t>
      </w:r>
      <w:r w:rsidRPr="00E519CB">
        <w:rPr>
          <w:rFonts w:cs="Times New Roman"/>
          <w:lang w:val="de-DE"/>
        </w:rPr>
        <w:t xml:space="preserve"> Analysis of </w:t>
      </w:r>
      <w:r>
        <w:rPr>
          <w:rFonts w:cs="Times New Roman"/>
          <w:lang w:val="de-DE"/>
        </w:rPr>
        <w:t>C</w:t>
      </w:r>
      <w:r w:rsidRPr="00E519CB">
        <w:rPr>
          <w:rFonts w:cs="Times New Roman"/>
          <w:lang w:val="de-DE"/>
        </w:rPr>
        <w:t xml:space="preserve">oniferous </w:t>
      </w:r>
      <w:r>
        <w:rPr>
          <w:rFonts w:cs="Times New Roman"/>
          <w:lang w:val="de-DE"/>
        </w:rPr>
        <w:t>F</w:t>
      </w:r>
      <w:r w:rsidRPr="00E519CB">
        <w:rPr>
          <w:rFonts w:cs="Times New Roman"/>
          <w:lang w:val="de-DE"/>
        </w:rPr>
        <w:t xml:space="preserve">orest </w:t>
      </w:r>
      <w:r>
        <w:rPr>
          <w:rFonts w:cs="Times New Roman"/>
          <w:lang w:val="de-DE"/>
        </w:rPr>
        <w:t>E</w:t>
      </w:r>
      <w:r w:rsidRPr="00E519CB">
        <w:rPr>
          <w:rFonts w:cs="Times New Roman"/>
          <w:lang w:val="de-DE"/>
        </w:rPr>
        <w:t>cosystems in the Western United States.</w:t>
      </w:r>
      <w:r>
        <w:rPr>
          <w:rFonts w:cs="Times New Roman"/>
          <w:lang w:val="de-DE"/>
        </w:rPr>
        <w:t xml:space="preserve"> </w:t>
      </w:r>
      <w:r>
        <w:t>Hutchinson and Ross, Inc., Stroudsburg, PA.</w:t>
      </w:r>
    </w:p>
    <w:p w14:paraId="26B5CF8F" w14:textId="77777777" w:rsidR="00115326" w:rsidRPr="00F406CF" w:rsidRDefault="00115326" w:rsidP="00115326">
      <w:pPr>
        <w:spacing w:after="0" w:line="240" w:lineRule="auto"/>
        <w:ind w:left="432" w:hanging="432"/>
        <w:rPr>
          <w:rFonts w:eastAsia="Times New Roman" w:cs="Times New Roman"/>
        </w:rPr>
      </w:pPr>
      <w:r w:rsidRPr="00F406CF">
        <w:rPr>
          <w:rFonts w:eastAsia="Times New Roman" w:cs="Times New Roman"/>
        </w:rPr>
        <w:t xml:space="preserve">Lovett GM, Weathers KC, </w:t>
      </w:r>
      <w:proofErr w:type="spellStart"/>
      <w:r w:rsidRPr="00F406CF">
        <w:rPr>
          <w:rFonts w:eastAsia="Times New Roman" w:cs="Times New Roman"/>
        </w:rPr>
        <w:t>Sobczak</w:t>
      </w:r>
      <w:proofErr w:type="spellEnd"/>
      <w:r w:rsidRPr="00F406CF">
        <w:rPr>
          <w:rFonts w:eastAsia="Times New Roman" w:cs="Times New Roman"/>
        </w:rPr>
        <w:t xml:space="preserve"> W. 2000. Nitrogen saturation and retention in forested watersheds of the Catskill Mountains, NY. </w:t>
      </w:r>
      <w:proofErr w:type="spellStart"/>
      <w:r w:rsidRPr="00F406CF">
        <w:rPr>
          <w:rFonts w:eastAsia="Times New Roman" w:cs="Times New Roman"/>
        </w:rPr>
        <w:t>Ecol</w:t>
      </w:r>
      <w:proofErr w:type="spellEnd"/>
      <w:r w:rsidRPr="00F406CF">
        <w:rPr>
          <w:rFonts w:eastAsia="Times New Roman" w:cs="Times New Roman"/>
        </w:rPr>
        <w:t xml:space="preserve"> </w:t>
      </w:r>
      <w:proofErr w:type="spellStart"/>
      <w:r w:rsidRPr="00F406CF">
        <w:rPr>
          <w:rFonts w:eastAsia="Times New Roman" w:cs="Times New Roman"/>
        </w:rPr>
        <w:t>Appl</w:t>
      </w:r>
      <w:proofErr w:type="spellEnd"/>
      <w:r w:rsidRPr="00F406CF">
        <w:rPr>
          <w:rFonts w:eastAsia="Times New Roman" w:cs="Times New Roman"/>
        </w:rPr>
        <w:t xml:space="preserve"> 10:73–84.</w:t>
      </w:r>
    </w:p>
    <w:p w14:paraId="7703EA33" w14:textId="6DBEFC7E" w:rsidR="005A29D1" w:rsidRDefault="005A29D1" w:rsidP="005A29D1">
      <w:pPr>
        <w:spacing w:after="0" w:line="240" w:lineRule="auto"/>
        <w:ind w:left="432" w:hanging="432"/>
        <w:rPr>
          <w:rFonts w:eastAsia="Times New Roman" w:cs="Times New Roman"/>
        </w:rPr>
      </w:pPr>
      <w:r>
        <w:rPr>
          <w:rFonts w:eastAsia="Times New Roman" w:cs="Times New Roman"/>
        </w:rPr>
        <w:t>MacDonald, L.M.,</w:t>
      </w:r>
      <w:r w:rsidRPr="005A29D1">
        <w:rPr>
          <w:rFonts w:eastAsia="Times New Roman" w:cs="Times New Roman"/>
        </w:rPr>
        <w:t xml:space="preserve"> Smart, A., and </w:t>
      </w:r>
      <w:proofErr w:type="spellStart"/>
      <w:r w:rsidRPr="005A29D1">
        <w:rPr>
          <w:rFonts w:eastAsia="Times New Roman" w:cs="Times New Roman"/>
        </w:rPr>
        <w:t>Wissmar</w:t>
      </w:r>
      <w:proofErr w:type="spellEnd"/>
      <w:r w:rsidRPr="005A29D1">
        <w:rPr>
          <w:rFonts w:eastAsia="Times New Roman" w:cs="Times New Roman"/>
        </w:rPr>
        <w:t>, R.C. 1991. Monitoring guidelines to evaluate the effects of</w:t>
      </w:r>
      <w:r>
        <w:rPr>
          <w:rFonts w:eastAsia="Times New Roman" w:cs="Times New Roman"/>
        </w:rPr>
        <w:t xml:space="preserve"> </w:t>
      </w:r>
      <w:r w:rsidRPr="005A29D1">
        <w:rPr>
          <w:rFonts w:eastAsia="Times New Roman" w:cs="Times New Roman"/>
        </w:rPr>
        <w:t>forestry activities on streams in the Pacific Northwest and Alaska. EPA/910/9-91-OO1, U.S.</w:t>
      </w:r>
      <w:r>
        <w:rPr>
          <w:rFonts w:eastAsia="Times New Roman" w:cs="Times New Roman"/>
        </w:rPr>
        <w:t xml:space="preserve"> </w:t>
      </w:r>
      <w:r w:rsidRPr="005A29D1">
        <w:rPr>
          <w:rFonts w:eastAsia="Times New Roman" w:cs="Times New Roman"/>
        </w:rPr>
        <w:t>Environmental Protection Agency Region 10, Seattle, WA, 166 p.</w:t>
      </w:r>
    </w:p>
    <w:p w14:paraId="27E86FA0" w14:textId="6E9F7978" w:rsidR="00115326" w:rsidRPr="00F406CF" w:rsidRDefault="00115326" w:rsidP="00115326">
      <w:pPr>
        <w:spacing w:after="0" w:line="240" w:lineRule="auto"/>
        <w:ind w:left="432" w:hanging="432"/>
        <w:rPr>
          <w:rFonts w:eastAsia="Times New Roman" w:cs="Times New Roman"/>
        </w:rPr>
      </w:pPr>
      <w:r w:rsidRPr="00F406CF">
        <w:rPr>
          <w:rFonts w:eastAsia="Times New Roman" w:cs="Times New Roman"/>
        </w:rPr>
        <w:t>Murdoch PS, Stoddard JL. 1992. The role of nitrate in the acidification of streams in the Catskill Mountains of New York. Water Resources Res 28:2707–20.</w:t>
      </w:r>
    </w:p>
    <w:p w14:paraId="1B0F1C54" w14:textId="77777777" w:rsidR="00115326" w:rsidRPr="00F406CF" w:rsidRDefault="00115326" w:rsidP="00115326">
      <w:pPr>
        <w:autoSpaceDE w:val="0"/>
        <w:autoSpaceDN w:val="0"/>
        <w:adjustRightInd w:val="0"/>
        <w:spacing w:after="0" w:line="240" w:lineRule="auto"/>
        <w:ind w:left="432" w:hanging="432"/>
        <w:rPr>
          <w:rFonts w:eastAsia="MS Mincho" w:cs="Times New Roman"/>
          <w:lang w:eastAsia="ja-JP"/>
        </w:rPr>
      </w:pPr>
      <w:r w:rsidRPr="00F406CF">
        <w:rPr>
          <w:rFonts w:eastAsia="MS Mincho" w:cs="Times New Roman"/>
          <w:lang w:eastAsia="ja-JP"/>
        </w:rPr>
        <w:t>Puckett, M. 2002. Quality Assurance Management Plan for the State of California's Surface Water Ambient Monitoring Program ("SWAMP"). California Department of Fish and Game, Monterey, CA. Prepared for the State Water Resources Control Board, Sacramento, CA. 145 pages plus Appendices.</w:t>
      </w:r>
    </w:p>
    <w:p w14:paraId="7EB8C354" w14:textId="77777777" w:rsidR="00115326" w:rsidRPr="00F406CF" w:rsidRDefault="00115326" w:rsidP="00115326">
      <w:pPr>
        <w:spacing w:after="0" w:line="240" w:lineRule="auto"/>
        <w:ind w:left="432" w:hanging="432"/>
        <w:rPr>
          <w:rFonts w:eastAsia="Times New Roman" w:cs="Times New Roman"/>
        </w:rPr>
      </w:pPr>
      <w:r w:rsidRPr="00F406CF">
        <w:rPr>
          <w:rFonts w:eastAsia="Times New Roman" w:cs="Times New Roman"/>
        </w:rPr>
        <w:t xml:space="preserve">Sugimoto, R. and </w:t>
      </w:r>
      <w:proofErr w:type="spellStart"/>
      <w:r w:rsidRPr="00F406CF">
        <w:rPr>
          <w:rFonts w:eastAsia="Times New Roman" w:cs="Times New Roman"/>
        </w:rPr>
        <w:t>Tsuboi</w:t>
      </w:r>
      <w:proofErr w:type="spellEnd"/>
      <w:r w:rsidRPr="00F406CF">
        <w:rPr>
          <w:rFonts w:eastAsia="Times New Roman" w:cs="Times New Roman"/>
        </w:rPr>
        <w:t xml:space="preserve">, T., 2016. Seasonal and annual fluxes of atmospheric nitrogen deposition and riverine nitrogen export in two adjacent contrasting rivers in central Japan facing the Sea of Japan. </w:t>
      </w:r>
      <w:r w:rsidRPr="00F406CF">
        <w:rPr>
          <w:rFonts w:eastAsia="Times New Roman" w:cs="Times New Roman"/>
          <w:i/>
          <w:iCs/>
        </w:rPr>
        <w:t>Journal of Hydrology: Regional Studies</w:t>
      </w:r>
      <w:r w:rsidRPr="00F406CF">
        <w:rPr>
          <w:rFonts w:eastAsia="Times New Roman" w:cs="Times New Roman"/>
        </w:rPr>
        <w:t>.</w:t>
      </w:r>
    </w:p>
    <w:p w14:paraId="112A79A2" w14:textId="77777777" w:rsidR="00115326" w:rsidRPr="00F406CF" w:rsidRDefault="00115326" w:rsidP="00115326">
      <w:pPr>
        <w:autoSpaceDE w:val="0"/>
        <w:autoSpaceDN w:val="0"/>
        <w:adjustRightInd w:val="0"/>
        <w:spacing w:after="0" w:line="240" w:lineRule="auto"/>
        <w:ind w:left="432" w:hanging="432"/>
        <w:rPr>
          <w:rFonts w:eastAsia="Times New Roman" w:cs="Times New Roman"/>
        </w:rPr>
      </w:pPr>
      <w:proofErr w:type="spellStart"/>
      <w:r w:rsidRPr="00BB4521">
        <w:rPr>
          <w:rFonts w:cs="Times New Roman"/>
        </w:rPr>
        <w:t>Vitousek</w:t>
      </w:r>
      <w:proofErr w:type="spellEnd"/>
      <w:r w:rsidRPr="00BB4521">
        <w:rPr>
          <w:rFonts w:cs="Times New Roman"/>
        </w:rPr>
        <w:t xml:space="preserve"> PM, Aber J, </w:t>
      </w:r>
      <w:proofErr w:type="spellStart"/>
      <w:r w:rsidRPr="00BB4521">
        <w:rPr>
          <w:rFonts w:cs="Times New Roman"/>
        </w:rPr>
        <w:t>Howarth</w:t>
      </w:r>
      <w:proofErr w:type="spellEnd"/>
      <w:r w:rsidRPr="00BB4521">
        <w:rPr>
          <w:rFonts w:cs="Times New Roman"/>
        </w:rPr>
        <w:t xml:space="preserve"> RW, Likens GE, Matson PA, Schindler DW, Schlesinger WH, </w:t>
      </w:r>
      <w:proofErr w:type="spellStart"/>
      <w:r w:rsidRPr="00BB4521">
        <w:rPr>
          <w:rFonts w:cs="Times New Roman"/>
        </w:rPr>
        <w:t>Tilman</w:t>
      </w:r>
      <w:proofErr w:type="spellEnd"/>
      <w:r w:rsidRPr="00BB4521">
        <w:rPr>
          <w:rFonts w:cs="Times New Roman"/>
        </w:rPr>
        <w:t xml:space="preserve"> GD. 1997. </w:t>
      </w:r>
      <w:r w:rsidRPr="00F406CF">
        <w:rPr>
          <w:rFonts w:cs="Times New Roman"/>
        </w:rPr>
        <w:t xml:space="preserve">Human alteration of the global nitrogen cycle: causes and consequences. </w:t>
      </w:r>
      <w:proofErr w:type="spellStart"/>
      <w:r w:rsidRPr="00F406CF">
        <w:rPr>
          <w:rFonts w:cs="Times New Roman"/>
        </w:rPr>
        <w:t>Ecol</w:t>
      </w:r>
      <w:proofErr w:type="spellEnd"/>
      <w:r w:rsidRPr="00F406CF">
        <w:rPr>
          <w:rFonts w:cs="Times New Roman"/>
        </w:rPr>
        <w:t xml:space="preserve"> </w:t>
      </w:r>
      <w:proofErr w:type="spellStart"/>
      <w:r w:rsidRPr="00F406CF">
        <w:rPr>
          <w:rFonts w:cs="Times New Roman"/>
        </w:rPr>
        <w:t>Appl</w:t>
      </w:r>
      <w:proofErr w:type="spellEnd"/>
      <w:r w:rsidRPr="00F406CF">
        <w:rPr>
          <w:rFonts w:cs="Times New Roman"/>
        </w:rPr>
        <w:t xml:space="preserve"> 7:737–50.</w:t>
      </w:r>
    </w:p>
    <w:p w14:paraId="3A0BE536" w14:textId="52E14715" w:rsidR="003155A5" w:rsidRPr="00483E13" w:rsidRDefault="00115326" w:rsidP="00483E13">
      <w:pPr>
        <w:autoSpaceDE w:val="0"/>
        <w:autoSpaceDN w:val="0"/>
        <w:adjustRightInd w:val="0"/>
        <w:spacing w:after="0" w:line="240" w:lineRule="auto"/>
        <w:ind w:left="432" w:hanging="432"/>
        <w:rPr>
          <w:rFonts w:eastAsia="Times New Roman" w:cs="Times New Roman"/>
        </w:rPr>
      </w:pPr>
      <w:proofErr w:type="spellStart"/>
      <w:r w:rsidRPr="00F406CF">
        <w:rPr>
          <w:rFonts w:cs="Times New Roman"/>
        </w:rPr>
        <w:t>Williard</w:t>
      </w:r>
      <w:proofErr w:type="spellEnd"/>
      <w:r w:rsidRPr="00F406CF">
        <w:rPr>
          <w:rFonts w:cs="Times New Roman"/>
        </w:rPr>
        <w:t xml:space="preserve"> KWJ, </w:t>
      </w:r>
      <w:proofErr w:type="spellStart"/>
      <w:r w:rsidRPr="00F406CF">
        <w:rPr>
          <w:rFonts w:cs="Times New Roman"/>
        </w:rPr>
        <w:t>DeWalle</w:t>
      </w:r>
      <w:proofErr w:type="spellEnd"/>
      <w:r w:rsidRPr="00F406CF">
        <w:rPr>
          <w:rFonts w:cs="Times New Roman"/>
        </w:rPr>
        <w:t xml:space="preserve"> DR, Edwards PJ, Schnabel RR. 1997. Indicators of nitrate export from forested watersheds in the mid-Appalachians, United States of America. Global </w:t>
      </w:r>
      <w:proofErr w:type="spellStart"/>
      <w:r w:rsidRPr="00F406CF">
        <w:rPr>
          <w:rFonts w:cs="Times New Roman"/>
        </w:rPr>
        <w:t>Biogeochem</w:t>
      </w:r>
      <w:proofErr w:type="spellEnd"/>
      <w:r w:rsidRPr="00F406CF">
        <w:rPr>
          <w:rFonts w:cs="Times New Roman"/>
        </w:rPr>
        <w:t xml:space="preserve"> Cycles 11:649–56.</w:t>
      </w:r>
    </w:p>
    <w:sectPr w:rsidR="003155A5" w:rsidRPr="00483E13">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27F3D6" w14:textId="77777777" w:rsidR="00837E3C" w:rsidRDefault="00837E3C" w:rsidP="003B6A8C">
      <w:pPr>
        <w:spacing w:after="0" w:line="240" w:lineRule="auto"/>
      </w:pPr>
      <w:r>
        <w:separator/>
      </w:r>
    </w:p>
  </w:endnote>
  <w:endnote w:type="continuationSeparator" w:id="0">
    <w:p w14:paraId="2AA5F7A2" w14:textId="77777777" w:rsidR="00837E3C" w:rsidRDefault="00837E3C" w:rsidP="003B6A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3966804"/>
      <w:docPartObj>
        <w:docPartGallery w:val="Page Numbers (Bottom of Page)"/>
        <w:docPartUnique/>
      </w:docPartObj>
    </w:sdtPr>
    <w:sdtEndPr>
      <w:rPr>
        <w:noProof/>
      </w:rPr>
    </w:sdtEndPr>
    <w:sdtContent>
      <w:p w14:paraId="4268A3F7" w14:textId="12334D12" w:rsidR="00F955D5" w:rsidRDefault="00F955D5">
        <w:pPr>
          <w:pStyle w:val="Footer"/>
          <w:jc w:val="center"/>
        </w:pPr>
        <w:r>
          <w:fldChar w:fldCharType="begin"/>
        </w:r>
        <w:r>
          <w:instrText xml:space="preserve"> PAGE   \* MERGEFORMAT </w:instrText>
        </w:r>
        <w:r>
          <w:fldChar w:fldCharType="separate"/>
        </w:r>
        <w:r w:rsidR="004B1D5A">
          <w:rPr>
            <w:noProof/>
          </w:rPr>
          <w:t>2</w:t>
        </w:r>
        <w:r>
          <w:rPr>
            <w:noProof/>
          </w:rPr>
          <w:fldChar w:fldCharType="end"/>
        </w:r>
      </w:p>
    </w:sdtContent>
  </w:sdt>
  <w:p w14:paraId="2D317E25" w14:textId="77777777" w:rsidR="00F955D5" w:rsidRDefault="00F955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6D62B2" w14:textId="77777777" w:rsidR="00837E3C" w:rsidRDefault="00837E3C" w:rsidP="003B6A8C">
      <w:pPr>
        <w:spacing w:after="0" w:line="240" w:lineRule="auto"/>
      </w:pPr>
      <w:r>
        <w:separator/>
      </w:r>
    </w:p>
  </w:footnote>
  <w:footnote w:type="continuationSeparator" w:id="0">
    <w:p w14:paraId="3DD2E69C" w14:textId="77777777" w:rsidR="00837E3C" w:rsidRDefault="00837E3C" w:rsidP="003B6A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5D184" w14:textId="1C25188A" w:rsidR="003B6A8C" w:rsidRDefault="003B6A8C" w:rsidP="003B6A8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6070E"/>
    <w:multiLevelType w:val="hybridMultilevel"/>
    <w:tmpl w:val="C5304E8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DC782D"/>
    <w:multiLevelType w:val="hybridMultilevel"/>
    <w:tmpl w:val="66B6D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C6180A"/>
    <w:multiLevelType w:val="hybridMultilevel"/>
    <w:tmpl w:val="F506828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4F14812"/>
    <w:multiLevelType w:val="multilevel"/>
    <w:tmpl w:val="A824FBEC"/>
    <w:lvl w:ilvl="0">
      <w:start w:val="5"/>
      <w:numFmt w:val="decimal"/>
      <w:lvlText w:val="%1.0."/>
      <w:lvlJc w:val="left"/>
      <w:pPr>
        <w:ind w:left="720" w:hanging="720"/>
      </w:pPr>
      <w:rPr>
        <w:rFonts w:ascii="Arial" w:hAnsi="Arial" w:cs="Arial" w:hint="default"/>
        <w:sz w:val="24"/>
        <w:szCs w:val="24"/>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78E670B6"/>
    <w:multiLevelType w:val="multilevel"/>
    <w:tmpl w:val="1152D232"/>
    <w:lvl w:ilvl="0">
      <w:start w:val="1"/>
      <w:numFmt w:val="decimal"/>
      <w:pStyle w:val="Heading2"/>
      <w:lvlText w:val="%1.0."/>
      <w:lvlJc w:val="left"/>
      <w:pPr>
        <w:ind w:left="720" w:hanging="72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ocumentProtection w:edit="readOnly" w:enforcement="1" w:cryptProviderType="rsaAES" w:cryptAlgorithmClass="hash" w:cryptAlgorithmType="typeAny" w:cryptAlgorithmSid="14" w:cryptSpinCount="100000" w:hash="d/Rgf2Ommk5Kezea4fOTpzHg9p5DhK0C7lhaF8isDkDAAMrVY6TsJHDMmYldg3UgV7+dhD92OesoJ8/XZV1wDA==" w:salt="esZLE3OrtAHKPopkA5iRa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E17"/>
    <w:rsid w:val="000244EA"/>
    <w:rsid w:val="000E3147"/>
    <w:rsid w:val="001062AD"/>
    <w:rsid w:val="00115326"/>
    <w:rsid w:val="00177859"/>
    <w:rsid w:val="001C093A"/>
    <w:rsid w:val="00253042"/>
    <w:rsid w:val="003155A5"/>
    <w:rsid w:val="003A6417"/>
    <w:rsid w:val="003B6A8C"/>
    <w:rsid w:val="003F10C0"/>
    <w:rsid w:val="0040221B"/>
    <w:rsid w:val="00483E13"/>
    <w:rsid w:val="004A2EFE"/>
    <w:rsid w:val="004B1D5A"/>
    <w:rsid w:val="004C01B0"/>
    <w:rsid w:val="004E12DA"/>
    <w:rsid w:val="004F67DB"/>
    <w:rsid w:val="005671AE"/>
    <w:rsid w:val="005A29D1"/>
    <w:rsid w:val="005F0BB5"/>
    <w:rsid w:val="00617A65"/>
    <w:rsid w:val="006C141D"/>
    <w:rsid w:val="006C2BB0"/>
    <w:rsid w:val="006D4A9D"/>
    <w:rsid w:val="00800D8C"/>
    <w:rsid w:val="00837E3C"/>
    <w:rsid w:val="008669DB"/>
    <w:rsid w:val="00895095"/>
    <w:rsid w:val="008D23DC"/>
    <w:rsid w:val="0093652F"/>
    <w:rsid w:val="009C26FF"/>
    <w:rsid w:val="00AB32E4"/>
    <w:rsid w:val="00AF2BBF"/>
    <w:rsid w:val="00C378DB"/>
    <w:rsid w:val="00C459A7"/>
    <w:rsid w:val="00C94265"/>
    <w:rsid w:val="00CB083A"/>
    <w:rsid w:val="00CF26BD"/>
    <w:rsid w:val="00CF48CD"/>
    <w:rsid w:val="00D15C2D"/>
    <w:rsid w:val="00D21210"/>
    <w:rsid w:val="00D6236D"/>
    <w:rsid w:val="00DA6671"/>
    <w:rsid w:val="00E519CB"/>
    <w:rsid w:val="00E5250F"/>
    <w:rsid w:val="00E67A10"/>
    <w:rsid w:val="00EA3E17"/>
    <w:rsid w:val="00EB732F"/>
    <w:rsid w:val="00EF7760"/>
    <w:rsid w:val="00F20AE8"/>
    <w:rsid w:val="00F617C3"/>
    <w:rsid w:val="00F955D5"/>
    <w:rsid w:val="00FF2B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DE220"/>
  <w15:docId w15:val="{131038AA-D0F2-49B9-B9EC-12ABDDED8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7760"/>
    <w:pPr>
      <w:outlineLvl w:val="0"/>
    </w:pPr>
    <w:rPr>
      <w:rFonts w:eastAsia="Calibri"/>
      <w:b/>
      <w:sz w:val="26"/>
      <w:szCs w:val="26"/>
      <w:u w:val="single"/>
    </w:rPr>
  </w:style>
  <w:style w:type="paragraph" w:styleId="Heading2">
    <w:name w:val="heading 2"/>
    <w:basedOn w:val="ListParagraph"/>
    <w:next w:val="Normal"/>
    <w:link w:val="Heading2Char"/>
    <w:uiPriority w:val="9"/>
    <w:unhideWhenUsed/>
    <w:qFormat/>
    <w:rsid w:val="00EF7760"/>
    <w:pPr>
      <w:numPr>
        <w:numId w:val="2"/>
      </w:numPr>
      <w:spacing w:after="200"/>
      <w:outlineLvl w:val="1"/>
    </w:pPr>
    <w:rPr>
      <w:rFonts w:ascii="Arial" w:hAnsi="Arial" w:cs="Arial"/>
      <w:b/>
      <w:sz w:val="24"/>
      <w:szCs w:val="24"/>
      <w:u w:val="single"/>
    </w:rPr>
  </w:style>
  <w:style w:type="paragraph" w:styleId="Heading3">
    <w:name w:val="heading 3"/>
    <w:basedOn w:val="Normal"/>
    <w:next w:val="Normal"/>
    <w:link w:val="Heading3Char"/>
    <w:uiPriority w:val="9"/>
    <w:unhideWhenUsed/>
    <w:qFormat/>
    <w:rsid w:val="00EF7760"/>
    <w:pPr>
      <w:outlineLvl w:val="2"/>
    </w:pPr>
    <w:rPr>
      <w:rFonts w:eastAsia="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3E17"/>
    <w:pPr>
      <w:spacing w:after="0" w:line="240" w:lineRule="auto"/>
      <w:ind w:left="720"/>
      <w:contextualSpacing/>
    </w:pPr>
    <w:rPr>
      <w:rFonts w:asciiTheme="minorHAnsi" w:hAnsiTheme="minorHAnsi" w:cstheme="minorBidi"/>
      <w:sz w:val="22"/>
      <w:szCs w:val="22"/>
    </w:rPr>
  </w:style>
  <w:style w:type="paragraph" w:customStyle="1" w:styleId="Default">
    <w:name w:val="Default"/>
    <w:rsid w:val="003B6A8C"/>
    <w:pPr>
      <w:autoSpaceDE w:val="0"/>
      <w:autoSpaceDN w:val="0"/>
      <w:adjustRightInd w:val="0"/>
      <w:spacing w:after="0" w:line="240" w:lineRule="auto"/>
    </w:pPr>
    <w:rPr>
      <w:rFonts w:ascii="Calibri" w:eastAsia="Times New Roman" w:hAnsi="Calibri" w:cs="Calibri"/>
      <w:color w:val="000000"/>
    </w:rPr>
  </w:style>
  <w:style w:type="paragraph" w:styleId="Header">
    <w:name w:val="header"/>
    <w:basedOn w:val="Normal"/>
    <w:link w:val="HeaderChar"/>
    <w:uiPriority w:val="99"/>
    <w:unhideWhenUsed/>
    <w:rsid w:val="003B6A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6A8C"/>
  </w:style>
  <w:style w:type="paragraph" w:styleId="Footer">
    <w:name w:val="footer"/>
    <w:basedOn w:val="Normal"/>
    <w:link w:val="FooterChar"/>
    <w:uiPriority w:val="99"/>
    <w:unhideWhenUsed/>
    <w:rsid w:val="003B6A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6A8C"/>
  </w:style>
  <w:style w:type="paragraph" w:styleId="CommentText">
    <w:name w:val="annotation text"/>
    <w:basedOn w:val="Normal"/>
    <w:link w:val="CommentTextChar"/>
    <w:uiPriority w:val="99"/>
    <w:semiHidden/>
    <w:unhideWhenUsed/>
    <w:rsid w:val="00C378DB"/>
    <w:pPr>
      <w:spacing w:after="120" w:line="240" w:lineRule="auto"/>
    </w:pPr>
    <w:rPr>
      <w:rFonts w:ascii="Times New Roman" w:hAnsi="Times New Roman" w:cstheme="minorBidi"/>
      <w:sz w:val="20"/>
      <w:szCs w:val="20"/>
    </w:rPr>
  </w:style>
  <w:style w:type="character" w:customStyle="1" w:styleId="CommentTextChar">
    <w:name w:val="Comment Text Char"/>
    <w:basedOn w:val="DefaultParagraphFont"/>
    <w:link w:val="CommentText"/>
    <w:uiPriority w:val="99"/>
    <w:semiHidden/>
    <w:rsid w:val="00C378DB"/>
    <w:rPr>
      <w:rFonts w:ascii="Times New Roman" w:hAnsi="Times New Roman" w:cstheme="minorBidi"/>
      <w:sz w:val="20"/>
      <w:szCs w:val="20"/>
    </w:rPr>
  </w:style>
  <w:style w:type="character" w:customStyle="1" w:styleId="Heading1Char">
    <w:name w:val="Heading 1 Char"/>
    <w:basedOn w:val="DefaultParagraphFont"/>
    <w:link w:val="Heading1"/>
    <w:uiPriority w:val="9"/>
    <w:rsid w:val="00EF7760"/>
    <w:rPr>
      <w:rFonts w:eastAsia="Calibri"/>
      <w:b/>
      <w:sz w:val="26"/>
      <w:szCs w:val="26"/>
      <w:u w:val="single"/>
    </w:rPr>
  </w:style>
  <w:style w:type="character" w:styleId="Hyperlink">
    <w:name w:val="Hyperlink"/>
    <w:uiPriority w:val="99"/>
    <w:unhideWhenUsed/>
    <w:rsid w:val="004C01B0"/>
    <w:rPr>
      <w:color w:val="0000FF"/>
      <w:u w:val="single"/>
    </w:rPr>
  </w:style>
  <w:style w:type="character" w:styleId="CommentReference">
    <w:name w:val="annotation reference"/>
    <w:basedOn w:val="DefaultParagraphFont"/>
    <w:uiPriority w:val="99"/>
    <w:semiHidden/>
    <w:unhideWhenUsed/>
    <w:rsid w:val="006C2BB0"/>
    <w:rPr>
      <w:sz w:val="16"/>
      <w:szCs w:val="16"/>
    </w:rPr>
  </w:style>
  <w:style w:type="paragraph" w:styleId="CommentSubject">
    <w:name w:val="annotation subject"/>
    <w:basedOn w:val="CommentText"/>
    <w:next w:val="CommentText"/>
    <w:link w:val="CommentSubjectChar"/>
    <w:uiPriority w:val="99"/>
    <w:semiHidden/>
    <w:unhideWhenUsed/>
    <w:rsid w:val="006C2BB0"/>
    <w:pPr>
      <w:spacing w:after="200"/>
    </w:pPr>
    <w:rPr>
      <w:rFonts w:ascii="Arial" w:hAnsi="Arial" w:cs="Arial"/>
      <w:b/>
      <w:bCs/>
    </w:rPr>
  </w:style>
  <w:style w:type="character" w:customStyle="1" w:styleId="CommentSubjectChar">
    <w:name w:val="Comment Subject Char"/>
    <w:basedOn w:val="CommentTextChar"/>
    <w:link w:val="CommentSubject"/>
    <w:uiPriority w:val="99"/>
    <w:semiHidden/>
    <w:rsid w:val="006C2BB0"/>
    <w:rPr>
      <w:rFonts w:ascii="Times New Roman" w:hAnsi="Times New Roman" w:cstheme="minorBidi"/>
      <w:b/>
      <w:bCs/>
      <w:sz w:val="20"/>
      <w:szCs w:val="20"/>
    </w:rPr>
  </w:style>
  <w:style w:type="paragraph" w:styleId="BalloonText">
    <w:name w:val="Balloon Text"/>
    <w:basedOn w:val="Normal"/>
    <w:link w:val="BalloonTextChar"/>
    <w:uiPriority w:val="99"/>
    <w:semiHidden/>
    <w:unhideWhenUsed/>
    <w:rsid w:val="006C2B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2BB0"/>
    <w:rPr>
      <w:rFonts w:ascii="Segoe UI" w:hAnsi="Segoe UI" w:cs="Segoe UI"/>
      <w:sz w:val="18"/>
      <w:szCs w:val="18"/>
    </w:rPr>
  </w:style>
  <w:style w:type="character" w:customStyle="1" w:styleId="Heading2Char">
    <w:name w:val="Heading 2 Char"/>
    <w:basedOn w:val="DefaultParagraphFont"/>
    <w:link w:val="Heading2"/>
    <w:uiPriority w:val="9"/>
    <w:rsid w:val="00EF7760"/>
    <w:rPr>
      <w:b/>
      <w:u w:val="single"/>
    </w:rPr>
  </w:style>
  <w:style w:type="character" w:customStyle="1" w:styleId="Heading3Char">
    <w:name w:val="Heading 3 Char"/>
    <w:basedOn w:val="DefaultParagraphFont"/>
    <w:link w:val="Heading3"/>
    <w:uiPriority w:val="9"/>
    <w:rsid w:val="00EF7760"/>
    <w:rPr>
      <w:rFonts w:eastAsia="Calibr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2271241">
      <w:bodyDiv w:val="1"/>
      <w:marLeft w:val="0"/>
      <w:marRight w:val="0"/>
      <w:marTop w:val="0"/>
      <w:marBottom w:val="0"/>
      <w:divBdr>
        <w:top w:val="none" w:sz="0" w:space="0" w:color="auto"/>
        <w:left w:val="none" w:sz="0" w:space="0" w:color="auto"/>
        <w:bottom w:val="none" w:sz="0" w:space="0" w:color="auto"/>
        <w:right w:val="none" w:sz="0" w:space="0" w:color="auto"/>
      </w:divBdr>
      <w:divsChild>
        <w:div w:id="1951349772">
          <w:marLeft w:val="0"/>
          <w:marRight w:val="0"/>
          <w:marTop w:val="0"/>
          <w:marBottom w:val="0"/>
          <w:divBdr>
            <w:top w:val="none" w:sz="0" w:space="0" w:color="auto"/>
            <w:left w:val="none" w:sz="0" w:space="0" w:color="auto"/>
            <w:bottom w:val="single" w:sz="6" w:space="2" w:color="561F4B"/>
            <w:right w:val="none" w:sz="0" w:space="0" w:color="auto"/>
          </w:divBdr>
        </w:div>
      </w:divsChild>
    </w:div>
    <w:div w:id="1424061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3284</Words>
  <Characters>18722</Characters>
  <Application>Microsoft Office Word</Application>
  <DocSecurity>8</DocSecurity>
  <Lines>156</Lines>
  <Paragraphs>43</Paragraphs>
  <ScaleCrop>false</ScaleCrop>
  <HeadingPairs>
    <vt:vector size="2" baseType="variant">
      <vt:variant>
        <vt:lpstr>Title</vt:lpstr>
      </vt:variant>
      <vt:variant>
        <vt:i4>1</vt:i4>
      </vt:variant>
    </vt:vector>
  </HeadingPairs>
  <TitlesOfParts>
    <vt:vector size="1" baseType="lpstr">
      <vt:lpstr>Effects of Forest Stand Density Reduction on Nutrient Cycling and Nutrient Transport at the Caspar Creek Experimental Watersheds</vt:lpstr>
    </vt:vector>
  </TitlesOfParts>
  <Manager/>
  <Company>LAWR</Company>
  <LinksUpToDate>false</LinksUpToDate>
  <CharactersWithSpaces>21963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Effects of Forest Stand Density Reduction on Nutrient Cycling and Nutrient Transport at the Caspar Creek Experimental Watersheds</dc:title>
  <dc:subject/>
  <dc:creator>Cafferata, Pete@CALFIRE</dc:creator>
  <cp:keywords/>
  <dc:description/>
  <cp:lastModifiedBy>Kemp, Mazonika@BOF</cp:lastModifiedBy>
  <cp:revision>3</cp:revision>
  <dcterms:created xsi:type="dcterms:W3CDTF">2019-08-28T18:24:00Z</dcterms:created>
  <dcterms:modified xsi:type="dcterms:W3CDTF">2021-12-16T19:10:00Z</dcterms:modified>
  <cp:category/>
</cp:coreProperties>
</file>