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ECC94" w14:textId="77777777" w:rsidR="00C528C1" w:rsidRDefault="00C528C1" w:rsidP="00C528C1">
      <w:pPr>
        <w:rPr>
          <w:color w:val="FFFFFF" w:themeColor="background1"/>
        </w:rPr>
      </w:pPr>
      <w:bookmarkStart w:id="0" w:name="_Toc476816310"/>
      <w:bookmarkStart w:id="1" w:name="_Toc11741678"/>
      <w:bookmarkStart w:id="2" w:name="_Toc355175665"/>
      <w:bookmarkStart w:id="3" w:name="_Toc370462613"/>
      <w:bookmarkStart w:id="4" w:name="_GoBack"/>
      <w:bookmarkEnd w:id="4"/>
      <w:r>
        <w:rPr>
          <w:color w:val="FFFFFF" w:themeColor="background1"/>
        </w:rPr>
        <w:t>Please adjust your screen reader settings to recognize underline and strikethrough text.</w:t>
      </w:r>
    </w:p>
    <w:p w14:paraId="0509312F" w14:textId="7DFC8F79" w:rsidR="00EE4CC8" w:rsidRPr="00D52526" w:rsidRDefault="00BA0C05" w:rsidP="00BA0C05">
      <w:pPr>
        <w:pStyle w:val="Heading1"/>
      </w:pPr>
      <w:r w:rsidRPr="00D52526">
        <w:t xml:space="preserve">Environmental </w:t>
      </w:r>
      <w:r w:rsidR="009475E5">
        <w:t>Setting, Impacts,</w:t>
      </w:r>
      <w:r w:rsidR="00B5592F">
        <w:t xml:space="preserve"> </w:t>
      </w:r>
      <w:r w:rsidRPr="00D52526">
        <w:t>and</w:t>
      </w:r>
      <w:r w:rsidR="009475E5">
        <w:br/>
      </w:r>
      <w:r w:rsidR="00C65C38">
        <w:t> </w:t>
      </w:r>
      <w:r w:rsidRPr="00D52526">
        <w:t>Mitigation Measures</w:t>
      </w:r>
      <w:bookmarkEnd w:id="0"/>
      <w:bookmarkEnd w:id="1"/>
    </w:p>
    <w:p w14:paraId="418A25E2" w14:textId="33B2B7E9" w:rsidR="00D52526" w:rsidRDefault="00D52526" w:rsidP="009475E5">
      <w:pPr>
        <w:pStyle w:val="Heading2"/>
      </w:pPr>
      <w:bookmarkStart w:id="5" w:name="_Toc476816311"/>
      <w:bookmarkStart w:id="6" w:name="_Toc11741679"/>
      <w:r w:rsidRPr="00D52526">
        <w:t>Approac</w:t>
      </w:r>
      <w:r>
        <w:t>h to the Environmental Analysis</w:t>
      </w:r>
      <w:bookmarkEnd w:id="5"/>
      <w:bookmarkEnd w:id="6"/>
    </w:p>
    <w:p w14:paraId="64EE2CFB" w14:textId="1A8F9DDF" w:rsidR="00625B7C" w:rsidRPr="00645E2B" w:rsidRDefault="009D2D1D" w:rsidP="00235813">
      <w:pPr>
        <w:pStyle w:val="BodyText"/>
      </w:pPr>
      <w:r w:rsidRPr="00054F81">
        <w:t xml:space="preserve">As required by California Environmental Quality Act (CEQA) (State CEQA Guidelines Section 15126.2), this </w:t>
      </w:r>
      <w:r>
        <w:t>P</w:t>
      </w:r>
      <w:r w:rsidRPr="00054F81">
        <w:t xml:space="preserve">EIR identifies and focuses on the </w:t>
      </w:r>
      <w:r w:rsidR="00F512F2">
        <w:t xml:space="preserve">potentially </w:t>
      </w:r>
      <w:r w:rsidRPr="00054F81">
        <w:t xml:space="preserve">significant direct and indirect environmental effects of the </w:t>
      </w:r>
      <w:r w:rsidR="00700F97">
        <w:t xml:space="preserve">proposed </w:t>
      </w:r>
      <w:r w:rsidR="007B3BA8">
        <w:t>CalVTP</w:t>
      </w:r>
      <w:r w:rsidRPr="00054F81">
        <w:t xml:space="preserve">. </w:t>
      </w:r>
      <w:r w:rsidR="00387F16" w:rsidRPr="00645E2B">
        <w:t xml:space="preserve">This </w:t>
      </w:r>
      <w:r w:rsidR="00645E2B">
        <w:t>P</w:t>
      </w:r>
      <w:r w:rsidR="00387F16" w:rsidRPr="00645E2B">
        <w:t>EIR</w:t>
      </w:r>
      <w:r w:rsidR="00645E2B">
        <w:t xml:space="preserve"> </w:t>
      </w:r>
      <w:r w:rsidR="00387F16" w:rsidRPr="00645E2B">
        <w:t xml:space="preserve">considers </w:t>
      </w:r>
      <w:r w:rsidR="00733AA3">
        <w:t xml:space="preserve">the full range </w:t>
      </w:r>
      <w:r w:rsidR="00FD03AC">
        <w:t xml:space="preserve">of </w:t>
      </w:r>
      <w:r w:rsidR="00733AA3">
        <w:t xml:space="preserve">treatment </w:t>
      </w:r>
      <w:r w:rsidR="007608C9">
        <w:t xml:space="preserve">types and </w:t>
      </w:r>
      <w:r w:rsidR="00733AA3">
        <w:t xml:space="preserve">activities included in the proposed CalVTP to provide a </w:t>
      </w:r>
      <w:r w:rsidR="00387F16" w:rsidRPr="00645E2B">
        <w:t>broad</w:t>
      </w:r>
      <w:r w:rsidR="00733AA3">
        <w:t>,</w:t>
      </w:r>
      <w:r w:rsidR="00387F16" w:rsidRPr="00645E2B">
        <w:t xml:space="preserve"> </w:t>
      </w:r>
      <w:r w:rsidR="00733AA3">
        <w:t>comprehensive analysis of environmental impact</w:t>
      </w:r>
      <w:r w:rsidR="00733AA3" w:rsidRPr="00645E2B">
        <w:t xml:space="preserve"> </w:t>
      </w:r>
      <w:r w:rsidR="00387F16" w:rsidRPr="00645E2B">
        <w:t>issues</w:t>
      </w:r>
      <w:r w:rsidR="00733AA3">
        <w:t>.</w:t>
      </w:r>
      <w:r w:rsidR="00235813">
        <w:t xml:space="preserve"> </w:t>
      </w:r>
      <w:r w:rsidR="00733AA3">
        <w:t>Where relevant to address variations in resources in different parts of California, the existing conditions and impact analysis are organized by ecoregion.</w:t>
      </w:r>
      <w:r w:rsidR="00235813">
        <w:t xml:space="preserve"> </w:t>
      </w:r>
      <w:r w:rsidR="00733AA3">
        <w:t xml:space="preserve">This approach is designed to </w:t>
      </w:r>
      <w:r w:rsidR="00387F16" w:rsidRPr="00645E2B">
        <w:t>provide</w:t>
      </w:r>
      <w:r w:rsidR="00645E2B">
        <w:t xml:space="preserve"> </w:t>
      </w:r>
      <w:r w:rsidR="00733AA3">
        <w:t>CEQA review streamlining by planning for</w:t>
      </w:r>
      <w:r w:rsidR="00733AA3" w:rsidRPr="00645E2B">
        <w:t xml:space="preserve"> </w:t>
      </w:r>
      <w:r w:rsidR="00387F16" w:rsidRPr="00645E2B">
        <w:t xml:space="preserve">future use of the </w:t>
      </w:r>
      <w:r w:rsidR="00645E2B">
        <w:t>P</w:t>
      </w:r>
      <w:r w:rsidR="00387F16" w:rsidRPr="00645E2B">
        <w:t xml:space="preserve">EIR in connection with later </w:t>
      </w:r>
      <w:r w:rsidR="00645E2B">
        <w:t>vegetation treatment activities</w:t>
      </w:r>
      <w:r w:rsidR="00387F16" w:rsidRPr="00645E2B">
        <w:t>. This</w:t>
      </w:r>
      <w:r w:rsidR="00645E2B">
        <w:t xml:space="preserve"> </w:t>
      </w:r>
      <w:r w:rsidR="00387F16" w:rsidRPr="00645E2B">
        <w:t xml:space="preserve">approach is consistent with State CEQA Guidelines Section 15168, </w:t>
      </w:r>
      <w:r w:rsidR="00733AA3">
        <w:t xml:space="preserve">“Program EIR,” </w:t>
      </w:r>
      <w:r w:rsidR="00387F16" w:rsidRPr="00645E2B">
        <w:t>which allows for the use of a Program</w:t>
      </w:r>
      <w:r w:rsidR="00645E2B" w:rsidRPr="00645E2B">
        <w:t xml:space="preserve"> </w:t>
      </w:r>
      <w:r w:rsidR="00387F16" w:rsidRPr="00645E2B">
        <w:t xml:space="preserve">EIR in connection with </w:t>
      </w:r>
      <w:r w:rsidR="00625B7C" w:rsidRPr="00C34C52">
        <w:t>a series of actions that can be characterized as one large project and are related to, among other things, the issuance of general criteria to govern the conduct of a continuing program or individual activities having generally similar environmental effects that can be mitigated in similar ways.</w:t>
      </w:r>
      <w:r w:rsidR="00625B7C">
        <w:t xml:space="preserve"> </w:t>
      </w:r>
    </w:p>
    <w:p w14:paraId="64E9954E" w14:textId="77DE99F9" w:rsidR="00DD1EB2" w:rsidRDefault="00387F16" w:rsidP="00235813">
      <w:pPr>
        <w:pStyle w:val="BodyText"/>
        <w:rPr>
          <w:w w:val="105"/>
          <w:szCs w:val="20"/>
        </w:rPr>
      </w:pPr>
      <w:r w:rsidRPr="00645E2B">
        <w:t xml:space="preserve">As contemplated by State CEQA Guidelines Section </w:t>
      </w:r>
      <w:r w:rsidRPr="003C42D4">
        <w:t>15168(c)</w:t>
      </w:r>
      <w:r w:rsidR="00700F97" w:rsidRPr="003C42D4">
        <w:t>,</w:t>
      </w:r>
      <w:r w:rsidRPr="003C42D4">
        <w:t xml:space="preserve"> </w:t>
      </w:r>
      <w:r w:rsidR="00552E14" w:rsidRPr="003C42D4">
        <w:t>CAL FIRE</w:t>
      </w:r>
      <w:r w:rsidR="007B3BA8" w:rsidRPr="003C42D4">
        <w:t xml:space="preserve"> </w:t>
      </w:r>
      <w:r w:rsidR="00700F97" w:rsidRPr="003C42D4">
        <w:t xml:space="preserve">and other </w:t>
      </w:r>
      <w:r w:rsidR="00733AA3" w:rsidRPr="003C42D4">
        <w:t>public agencies proposing treatment activities</w:t>
      </w:r>
      <w:r w:rsidR="00FD03AC" w:rsidRPr="003C42D4">
        <w:t xml:space="preserve"> (i.e., project proponents) </w:t>
      </w:r>
      <w:r w:rsidRPr="003C42D4">
        <w:t>will</w:t>
      </w:r>
      <w:r w:rsidR="00137ED7" w:rsidRPr="003C42D4">
        <w:t xml:space="preserve"> </w:t>
      </w:r>
      <w:r w:rsidRPr="003C42D4">
        <w:t xml:space="preserve">examine proposed </w:t>
      </w:r>
      <w:r w:rsidR="00137ED7" w:rsidRPr="003C42D4">
        <w:t>vegetation treatment</w:t>
      </w:r>
      <w:r w:rsidR="00700F97" w:rsidRPr="003C42D4">
        <w:t>s</w:t>
      </w:r>
      <w:r w:rsidRPr="003C42D4">
        <w:t xml:space="preserve"> in light of this </w:t>
      </w:r>
      <w:r w:rsidR="00137ED7" w:rsidRPr="003C42D4">
        <w:t>P</w:t>
      </w:r>
      <w:r w:rsidRPr="003C42D4">
        <w:t>EIR to determine whether any additional</w:t>
      </w:r>
      <w:r w:rsidR="00137ED7" w:rsidRPr="003C42D4">
        <w:t xml:space="preserve"> </w:t>
      </w:r>
      <w:r w:rsidRPr="003C42D4">
        <w:t xml:space="preserve">environmental review document(s) must be prepared. </w:t>
      </w:r>
      <w:r w:rsidR="00552E14" w:rsidRPr="003C42D4">
        <w:t xml:space="preserve">CAL FIRE or </w:t>
      </w:r>
      <w:r w:rsidR="003C42D4" w:rsidRPr="003C42D4">
        <w:t>other project</w:t>
      </w:r>
      <w:r w:rsidR="00733AA3" w:rsidRPr="003C42D4">
        <w:t xml:space="preserve"> </w:t>
      </w:r>
      <w:r w:rsidR="00552E14" w:rsidRPr="003C42D4">
        <w:t>proponent</w:t>
      </w:r>
      <w:r w:rsidRPr="003C42D4">
        <w:t xml:space="preserve"> </w:t>
      </w:r>
      <w:r w:rsidR="00257314" w:rsidRPr="003C42D4">
        <w:t xml:space="preserve">may </w:t>
      </w:r>
      <w:r w:rsidRPr="003C42D4">
        <w:t xml:space="preserve">use the </w:t>
      </w:r>
      <w:r w:rsidR="00552E14" w:rsidRPr="003C42D4">
        <w:t>Project</w:t>
      </w:r>
      <w:r w:rsidR="00C06B2B" w:rsidRPr="003C42D4">
        <w:t>-</w:t>
      </w:r>
      <w:r w:rsidR="00552E14" w:rsidRPr="003C42D4">
        <w:t>S</w:t>
      </w:r>
      <w:r w:rsidR="00C06B2B" w:rsidRPr="003C42D4">
        <w:t>pecific</w:t>
      </w:r>
      <w:r w:rsidR="00552E14" w:rsidRPr="003C42D4">
        <w:t xml:space="preserve"> Analysis (PSA) (</w:t>
      </w:r>
      <w:r w:rsidR="00C06B2B" w:rsidRPr="003C42D4">
        <w:t>Appendix PD-3</w:t>
      </w:r>
      <w:r w:rsidR="00552E14" w:rsidRPr="003C42D4">
        <w:t>)</w:t>
      </w:r>
      <w:r w:rsidRPr="003C42D4">
        <w:t xml:space="preserve"> of th</w:t>
      </w:r>
      <w:r w:rsidR="00137ED7" w:rsidRPr="003C42D4">
        <w:t>is P</w:t>
      </w:r>
      <w:r w:rsidRPr="003C42D4">
        <w:t>EIR</w:t>
      </w:r>
      <w:r w:rsidR="00257314" w:rsidRPr="003C42D4">
        <w:t>, or another similar</w:t>
      </w:r>
      <w:r w:rsidR="00257314">
        <w:t xml:space="preserve"> documentation,</w:t>
      </w:r>
      <w:r w:rsidRPr="00645E2B">
        <w:t xml:space="preserve"> to document</w:t>
      </w:r>
      <w:r w:rsidR="00552E14">
        <w:t xml:space="preserve"> </w:t>
      </w:r>
      <w:r w:rsidRPr="00645E2B">
        <w:t xml:space="preserve">evaluation of the site and the proposed </w:t>
      </w:r>
      <w:r w:rsidR="00700F97">
        <w:t>treatments</w:t>
      </w:r>
      <w:r w:rsidR="00700F97" w:rsidRPr="00645E2B">
        <w:t xml:space="preserve"> </w:t>
      </w:r>
      <w:r w:rsidRPr="00645E2B">
        <w:t xml:space="preserve">to determine whether the </w:t>
      </w:r>
      <w:r w:rsidR="00700F97">
        <w:t xml:space="preserve">proposed treatment </w:t>
      </w:r>
      <w:r w:rsidR="00733AA3">
        <w:t>project is</w:t>
      </w:r>
      <w:r w:rsidR="00700F97">
        <w:t xml:space="preserve"> consistent with </w:t>
      </w:r>
      <w:r w:rsidR="00257314">
        <w:t>the descriptions</w:t>
      </w:r>
      <w:r w:rsidR="00235813">
        <w:t xml:space="preserve"> </w:t>
      </w:r>
      <w:r w:rsidR="00700F97">
        <w:t xml:space="preserve">in Chapter 2, “Program Description” and whether the </w:t>
      </w:r>
      <w:r w:rsidRPr="00645E2B">
        <w:t xml:space="preserve">environmental effects of the </w:t>
      </w:r>
      <w:r w:rsidR="00700F97">
        <w:t xml:space="preserve">proposed </w:t>
      </w:r>
      <w:r w:rsidR="00552E14">
        <w:t>treatment</w:t>
      </w:r>
      <w:r w:rsidRPr="00645E2B">
        <w:t xml:space="preserve"> have been sufficiently evaluated in this </w:t>
      </w:r>
      <w:r w:rsidR="00552E14">
        <w:t>P</w:t>
      </w:r>
      <w:r w:rsidRPr="00645E2B">
        <w:t xml:space="preserve">EIR. </w:t>
      </w:r>
      <w:r w:rsidR="00257314">
        <w:rPr>
          <w:w w:val="105"/>
          <w:szCs w:val="20"/>
        </w:rPr>
        <w:t>T</w:t>
      </w:r>
      <w:r w:rsidR="00552E14" w:rsidRPr="007B3BA8">
        <w:rPr>
          <w:w w:val="105"/>
          <w:szCs w:val="20"/>
        </w:rPr>
        <w:t xml:space="preserve">he PSA for a streamlined CEQA review of site-specific, later vegetation treatment </w:t>
      </w:r>
      <w:r w:rsidR="00257314">
        <w:rPr>
          <w:w w:val="105"/>
          <w:szCs w:val="20"/>
        </w:rPr>
        <w:t>activities</w:t>
      </w:r>
      <w:r w:rsidR="00257314" w:rsidRPr="007B3BA8">
        <w:rPr>
          <w:w w:val="105"/>
          <w:szCs w:val="20"/>
        </w:rPr>
        <w:t xml:space="preserve"> </w:t>
      </w:r>
      <w:r w:rsidR="00257314">
        <w:rPr>
          <w:w w:val="105"/>
          <w:szCs w:val="20"/>
        </w:rPr>
        <w:t xml:space="preserve">that are consistent with the proposed program </w:t>
      </w:r>
      <w:r w:rsidR="00552E14" w:rsidRPr="007B3BA8">
        <w:rPr>
          <w:w w:val="105"/>
          <w:szCs w:val="20"/>
        </w:rPr>
        <w:t xml:space="preserve">will document a project’s environmental effects </w:t>
      </w:r>
      <w:r w:rsidR="00700F97">
        <w:rPr>
          <w:w w:val="105"/>
          <w:szCs w:val="20"/>
        </w:rPr>
        <w:t>and how they have been</w:t>
      </w:r>
      <w:r w:rsidR="00700F97" w:rsidRPr="007B3BA8">
        <w:rPr>
          <w:w w:val="105"/>
          <w:szCs w:val="20"/>
        </w:rPr>
        <w:t xml:space="preserve"> </w:t>
      </w:r>
      <w:r w:rsidR="00700F97">
        <w:rPr>
          <w:w w:val="105"/>
          <w:szCs w:val="20"/>
        </w:rPr>
        <w:t>addressed in the PEIR</w:t>
      </w:r>
      <w:r w:rsidR="00257314">
        <w:rPr>
          <w:w w:val="105"/>
          <w:szCs w:val="20"/>
        </w:rPr>
        <w:t>.</w:t>
      </w:r>
      <w:r w:rsidR="00235813">
        <w:rPr>
          <w:w w:val="105"/>
          <w:szCs w:val="20"/>
        </w:rPr>
        <w:t xml:space="preserve"> </w:t>
      </w:r>
      <w:r w:rsidR="00257314">
        <w:rPr>
          <w:w w:val="105"/>
          <w:szCs w:val="20"/>
        </w:rPr>
        <w:t xml:space="preserve">This will include documenting the application of environmentally protective </w:t>
      </w:r>
      <w:r w:rsidR="007B3BA8">
        <w:rPr>
          <w:w w:val="105"/>
          <w:szCs w:val="20"/>
        </w:rPr>
        <w:t>Standard Project Requirements (SPRs) and</w:t>
      </w:r>
      <w:r w:rsidR="00552E14" w:rsidRPr="007B3BA8">
        <w:rPr>
          <w:w w:val="105"/>
          <w:szCs w:val="20"/>
        </w:rPr>
        <w:t xml:space="preserve"> </w:t>
      </w:r>
      <w:r w:rsidR="00257314">
        <w:rPr>
          <w:w w:val="105"/>
          <w:szCs w:val="20"/>
        </w:rPr>
        <w:t xml:space="preserve">relevant </w:t>
      </w:r>
      <w:r w:rsidR="00552E14" w:rsidRPr="007B3BA8">
        <w:rPr>
          <w:w w:val="105"/>
          <w:szCs w:val="20"/>
        </w:rPr>
        <w:t xml:space="preserve">mitigation measures from the PEIR. </w:t>
      </w:r>
      <w:r w:rsidR="00257314">
        <w:rPr>
          <w:w w:val="105"/>
          <w:szCs w:val="20"/>
        </w:rPr>
        <w:t>T</w:t>
      </w:r>
      <w:r w:rsidR="00624EFC">
        <w:t>he PEIR disclose</w:t>
      </w:r>
      <w:r w:rsidR="00257314">
        <w:t>s</w:t>
      </w:r>
      <w:r w:rsidR="00624EFC">
        <w:t xml:space="preserve"> and analyze</w:t>
      </w:r>
      <w:r w:rsidR="00257314">
        <w:t>s</w:t>
      </w:r>
      <w:r w:rsidR="00624EFC">
        <w:t xml:space="preserve"> the </w:t>
      </w:r>
      <w:r w:rsidR="00257314">
        <w:t xml:space="preserve">proposed CalVTP’s </w:t>
      </w:r>
      <w:r w:rsidR="00624EFC">
        <w:t xml:space="preserve">reasonably foreseeable </w:t>
      </w:r>
      <w:r w:rsidR="00257314">
        <w:t>effects on the environment that would</w:t>
      </w:r>
      <w:r w:rsidR="00624EFC">
        <w:t xml:space="preserve"> occur from any of the treatments within the treatable landscape</w:t>
      </w:r>
      <w:r w:rsidR="00257314">
        <w:t xml:space="preserve">. </w:t>
      </w:r>
      <w:r w:rsidR="00624EFC">
        <w:t xml:space="preserve">Through the PSA, the project proponent will document </w:t>
      </w:r>
      <w:r w:rsidR="00257314">
        <w:t>whether and how the proposed treatment would be consistent with the program description and evaluation of impacts in the PEIR</w:t>
      </w:r>
      <w:r w:rsidR="00624EFC">
        <w:t>.</w:t>
      </w:r>
      <w:r w:rsidR="00235813">
        <w:t xml:space="preserve"> </w:t>
      </w:r>
      <w:r w:rsidR="00257314">
        <w:t xml:space="preserve">If the proposed treatment </w:t>
      </w:r>
      <w:r w:rsidR="00DD1EB2">
        <w:t>meets the criteria in State CEQA Guidelines Section 15168(c) to be</w:t>
      </w:r>
      <w:r w:rsidR="00257314">
        <w:t xml:space="preserve"> within the scope of the program description and impact analysis, t</w:t>
      </w:r>
      <w:r w:rsidR="00552E14" w:rsidRPr="007B3BA8">
        <w:rPr>
          <w:w w:val="105"/>
          <w:szCs w:val="20"/>
        </w:rPr>
        <w:t>h</w:t>
      </w:r>
      <w:r w:rsidR="00700F97">
        <w:rPr>
          <w:w w:val="105"/>
          <w:szCs w:val="20"/>
        </w:rPr>
        <w:t>e PSA will document th</w:t>
      </w:r>
      <w:r w:rsidR="00257314">
        <w:rPr>
          <w:w w:val="105"/>
          <w:szCs w:val="20"/>
        </w:rPr>
        <w:t>is</w:t>
      </w:r>
      <w:r w:rsidR="00700F97">
        <w:rPr>
          <w:w w:val="105"/>
          <w:szCs w:val="20"/>
        </w:rPr>
        <w:t xml:space="preserve"> determination</w:t>
      </w:r>
      <w:r w:rsidR="00552E14" w:rsidRPr="007B3BA8">
        <w:rPr>
          <w:w w:val="105"/>
          <w:szCs w:val="20"/>
        </w:rPr>
        <w:t>.</w:t>
      </w:r>
      <w:r w:rsidR="00235813">
        <w:rPr>
          <w:w w:val="105"/>
          <w:szCs w:val="20"/>
        </w:rPr>
        <w:t xml:space="preserve"> </w:t>
      </w:r>
      <w:r w:rsidR="00DD1EB2">
        <w:rPr>
          <w:w w:val="105"/>
          <w:szCs w:val="20"/>
        </w:rPr>
        <w:t>The Guidelines state the criteria this way:</w:t>
      </w:r>
    </w:p>
    <w:p w14:paraId="760AF387" w14:textId="2D489555" w:rsidR="00DD1EB2" w:rsidRPr="00361117" w:rsidRDefault="00DD1EB2" w:rsidP="00235813">
      <w:pPr>
        <w:pStyle w:val="BodyText"/>
        <w:ind w:left="720"/>
        <w:rPr>
          <w:w w:val="105"/>
        </w:rPr>
      </w:pPr>
      <w:r w:rsidRPr="00361117">
        <w:t>If the agency finds that pursuant to Section 15162, no subsequent EIR would be required, the agency can approve the activity</w:t>
      </w:r>
      <w:r>
        <w:t xml:space="preserve"> </w:t>
      </w:r>
      <w:r w:rsidRPr="00361117">
        <w:t>as being within the scope of the project covered by the program EIR, and no new</w:t>
      </w:r>
      <w:r>
        <w:t xml:space="preserve"> </w:t>
      </w:r>
      <w:r w:rsidRPr="00361117">
        <w:t>environmental document would be required. Whether a later activity is within the scope of</w:t>
      </w:r>
      <w:r>
        <w:t xml:space="preserve"> </w:t>
      </w:r>
      <w:r w:rsidRPr="00361117">
        <w:t>a program EIR is a factual question that the lead agency determines based on substantial</w:t>
      </w:r>
      <w:r>
        <w:t xml:space="preserve"> </w:t>
      </w:r>
      <w:r w:rsidRPr="00361117">
        <w:t>evidence in the record. Factors that an agency may consider in making that determination</w:t>
      </w:r>
      <w:r>
        <w:t xml:space="preserve"> </w:t>
      </w:r>
      <w:r w:rsidRPr="00361117">
        <w:t>include, but are not limited to, consistency of the later activity with the type of allowable</w:t>
      </w:r>
      <w:r>
        <w:t xml:space="preserve"> </w:t>
      </w:r>
      <w:r w:rsidRPr="00361117">
        <w:t>land use, overall planned density and building intensity, geographic area analyzed for</w:t>
      </w:r>
      <w:r>
        <w:t xml:space="preserve"> </w:t>
      </w:r>
      <w:r w:rsidRPr="00361117">
        <w:t>environmental impacts, and covered infrastructure, as described in the program EIR.</w:t>
      </w:r>
    </w:p>
    <w:p w14:paraId="1306C810" w14:textId="309E2EF9" w:rsidR="00552E14" w:rsidRDefault="00552E14" w:rsidP="00235813">
      <w:pPr>
        <w:pStyle w:val="BodyText"/>
      </w:pPr>
      <w:r w:rsidRPr="007B3BA8">
        <w:rPr>
          <w:w w:val="105"/>
        </w:rPr>
        <w:t xml:space="preserve">A “within the scope” finding would </w:t>
      </w:r>
      <w:r w:rsidR="00DD1EB2">
        <w:rPr>
          <w:w w:val="105"/>
        </w:rPr>
        <w:t>shorten the time needed for CEQA review of later treatment activities consistent with CalVTP, which would support the objective to</w:t>
      </w:r>
      <w:r w:rsidRPr="007B3BA8">
        <w:rPr>
          <w:w w:val="105"/>
        </w:rPr>
        <w:t xml:space="preserve"> increase in the pace and scale of project approvals in a manner that includes environmental protections. Where </w:t>
      </w:r>
      <w:r w:rsidR="00624EFC">
        <w:rPr>
          <w:w w:val="105"/>
        </w:rPr>
        <w:t xml:space="preserve">a </w:t>
      </w:r>
      <w:r w:rsidRPr="007B3BA8">
        <w:rPr>
          <w:w w:val="105"/>
        </w:rPr>
        <w:t xml:space="preserve">later </w:t>
      </w:r>
      <w:r w:rsidR="00624EFC">
        <w:rPr>
          <w:w w:val="105"/>
        </w:rPr>
        <w:t xml:space="preserve">vegetation treatment project </w:t>
      </w:r>
      <w:r w:rsidRPr="007B3BA8">
        <w:rPr>
          <w:w w:val="105"/>
        </w:rPr>
        <w:t>do</w:t>
      </w:r>
      <w:r w:rsidR="00624EFC">
        <w:rPr>
          <w:w w:val="105"/>
        </w:rPr>
        <w:t>es</w:t>
      </w:r>
      <w:r w:rsidRPr="007B3BA8">
        <w:rPr>
          <w:w w:val="105"/>
        </w:rPr>
        <w:t xml:space="preserve"> not qualify for a “within the scope” finding, </w:t>
      </w:r>
      <w:r w:rsidR="00624EFC">
        <w:rPr>
          <w:w w:val="105"/>
        </w:rPr>
        <w:t>a</w:t>
      </w:r>
      <w:r w:rsidRPr="007B3BA8">
        <w:rPr>
          <w:w w:val="105"/>
        </w:rPr>
        <w:t xml:space="preserve"> </w:t>
      </w:r>
      <w:r w:rsidR="00624EFC">
        <w:rPr>
          <w:w w:val="105"/>
        </w:rPr>
        <w:t xml:space="preserve">negative declaration, </w:t>
      </w:r>
      <w:r w:rsidRPr="007B3BA8">
        <w:rPr>
          <w:w w:val="105"/>
        </w:rPr>
        <w:t xml:space="preserve">mitigated negative declaration or EIR </w:t>
      </w:r>
      <w:r w:rsidR="00DD1EB2">
        <w:rPr>
          <w:w w:val="105"/>
        </w:rPr>
        <w:t>may</w:t>
      </w:r>
      <w:r w:rsidR="00DD1EB2" w:rsidRPr="007B3BA8">
        <w:rPr>
          <w:w w:val="105"/>
        </w:rPr>
        <w:t xml:space="preserve"> </w:t>
      </w:r>
      <w:r w:rsidRPr="007B3BA8">
        <w:rPr>
          <w:w w:val="105"/>
        </w:rPr>
        <w:t>be prepared</w:t>
      </w:r>
      <w:r w:rsidR="00DD1EB2">
        <w:rPr>
          <w:w w:val="105"/>
        </w:rPr>
        <w:t xml:space="preserve"> that focuses on the environmental impact</w:t>
      </w:r>
      <w:r w:rsidR="00616942">
        <w:rPr>
          <w:w w:val="105"/>
        </w:rPr>
        <w:t>s</w:t>
      </w:r>
      <w:r w:rsidR="00DD1EB2">
        <w:rPr>
          <w:w w:val="105"/>
        </w:rPr>
        <w:t xml:space="preserve"> not adequately </w:t>
      </w:r>
      <w:r w:rsidR="00616942">
        <w:rPr>
          <w:w w:val="105"/>
        </w:rPr>
        <w:t>considered</w:t>
      </w:r>
      <w:r w:rsidR="00DD1EB2">
        <w:rPr>
          <w:w w:val="105"/>
        </w:rPr>
        <w:t xml:space="preserve"> in the PEIR</w:t>
      </w:r>
      <w:r w:rsidRPr="007B3BA8">
        <w:t>.</w:t>
      </w:r>
      <w:r>
        <w:t xml:space="preserve"> </w:t>
      </w:r>
    </w:p>
    <w:bookmarkEnd w:id="2"/>
    <w:bookmarkEnd w:id="3"/>
    <w:p w14:paraId="3AAAFCFA" w14:textId="146B570F" w:rsidR="005E196C" w:rsidRPr="0035650C" w:rsidRDefault="00641783" w:rsidP="0035650C">
      <w:pPr>
        <w:pStyle w:val="Heading3"/>
      </w:pPr>
      <w:r w:rsidRPr="0035650C">
        <w:lastRenderedPageBreak/>
        <w:t>S</w:t>
      </w:r>
      <w:r w:rsidR="0035650C">
        <w:t>cope</w:t>
      </w:r>
      <w:r w:rsidRPr="0035650C">
        <w:t xml:space="preserve"> </w:t>
      </w:r>
      <w:r w:rsidR="0035650C" w:rsidRPr="0035650C">
        <w:t>of the Analysis</w:t>
      </w:r>
    </w:p>
    <w:p w14:paraId="0189CF4F" w14:textId="7731E8CE" w:rsidR="008B0F38" w:rsidRDefault="005E196C" w:rsidP="00235813">
      <w:pPr>
        <w:pStyle w:val="BodyText"/>
      </w:pPr>
      <w:r>
        <w:t xml:space="preserve">As noted in Chapter </w:t>
      </w:r>
      <w:r w:rsidR="003E3DE2">
        <w:t>2</w:t>
      </w:r>
      <w:r>
        <w:t xml:space="preserve">, </w:t>
      </w:r>
      <w:r w:rsidR="003E3DE2">
        <w:t>“Program</w:t>
      </w:r>
      <w:r>
        <w:t xml:space="preserve"> Description,</w:t>
      </w:r>
      <w:r w:rsidR="003E3DE2">
        <w:t>”</w:t>
      </w:r>
      <w:r>
        <w:t xml:space="preserve"> the </w:t>
      </w:r>
      <w:r w:rsidR="003E3DE2">
        <w:t>CalVTP</w:t>
      </w:r>
      <w:r>
        <w:t xml:space="preserve"> </w:t>
      </w:r>
      <w:r w:rsidR="000025AE">
        <w:t>would be implemented</w:t>
      </w:r>
      <w:r>
        <w:t xml:space="preserve"> </w:t>
      </w:r>
      <w:r w:rsidR="003E3DE2">
        <w:t xml:space="preserve">within the </w:t>
      </w:r>
      <w:r w:rsidR="00446AC2">
        <w:t>20.3-million-acre</w:t>
      </w:r>
      <w:r w:rsidR="003E3DE2">
        <w:t xml:space="preserve"> treatable landscape</w:t>
      </w:r>
      <w:r>
        <w:t>. Th</w:t>
      </w:r>
      <w:r w:rsidR="00700F97">
        <w:t>is</w:t>
      </w:r>
      <w:r>
        <w:t xml:space="preserve"> </w:t>
      </w:r>
      <w:r w:rsidR="00446AC2">
        <w:t xml:space="preserve">CalVTP </w:t>
      </w:r>
      <w:r w:rsidR="00700F97">
        <w:t xml:space="preserve">PEIR employs </w:t>
      </w:r>
      <w:r>
        <w:t>a progr</w:t>
      </w:r>
      <w:r w:rsidR="00F17C26">
        <w:t>ammatic</w:t>
      </w:r>
      <w:r>
        <w:t xml:space="preserve"> approach to </w:t>
      </w:r>
      <w:r w:rsidR="00700F97">
        <w:t xml:space="preserve">evaluation because </w:t>
      </w:r>
      <w:r>
        <w:t xml:space="preserve">the specific characteristics and locations of </w:t>
      </w:r>
      <w:r w:rsidR="00700F97">
        <w:t>actual treatment projects</w:t>
      </w:r>
      <w:r>
        <w:t xml:space="preserve"> are not known at this time. As such, the level of detail of the environmental impact analysis is also programmatic in that it addresses the full range of potential environmental effects of implementing the </w:t>
      </w:r>
      <w:r w:rsidR="00D22124">
        <w:t>CalVTP</w:t>
      </w:r>
      <w:r>
        <w:t xml:space="preserve">. Environmental impact conclusions </w:t>
      </w:r>
      <w:r w:rsidR="00700F97">
        <w:t>are</w:t>
      </w:r>
      <w:r>
        <w:t xml:space="preserve"> broadly </w:t>
      </w:r>
      <w:r w:rsidR="000025AE">
        <w:t xml:space="preserve">and comprehensively </w:t>
      </w:r>
      <w:r>
        <w:t xml:space="preserve">applied to types of </w:t>
      </w:r>
      <w:r w:rsidR="00D22124">
        <w:t>treatments and</w:t>
      </w:r>
      <w:r w:rsidR="00C9302A">
        <w:t xml:space="preserve"> treatment</w:t>
      </w:r>
      <w:r w:rsidR="00D22124">
        <w:t xml:space="preserve"> </w:t>
      </w:r>
      <w:r>
        <w:t xml:space="preserve">activities that would occur. </w:t>
      </w:r>
      <w:r w:rsidR="00CC60C5">
        <w:t>As described above, t</w:t>
      </w:r>
      <w:r>
        <w:t>his approach is consistent with the State CEQA Guidelines provisions for a Program</w:t>
      </w:r>
      <w:r w:rsidR="000B26E3">
        <w:t xml:space="preserve"> EIR</w:t>
      </w:r>
      <w:r>
        <w:t xml:space="preserve">, as described in Section 15168. </w:t>
      </w:r>
    </w:p>
    <w:p w14:paraId="42AAA750" w14:textId="28107854" w:rsidR="005E196C" w:rsidRPr="0035650C" w:rsidRDefault="0035650C" w:rsidP="00235813">
      <w:pPr>
        <w:pStyle w:val="Heading3"/>
      </w:pPr>
      <w:r>
        <w:rPr>
          <w:rStyle w:val="Heading3Char"/>
          <w:bCs/>
        </w:rPr>
        <w:t>Impact Analysis Approach</w:t>
      </w:r>
    </w:p>
    <w:p w14:paraId="0C346F83" w14:textId="00989E87" w:rsidR="004E7B7D" w:rsidRPr="00935B68" w:rsidRDefault="005E196C" w:rsidP="00235813">
      <w:pPr>
        <w:pStyle w:val="BodyText"/>
        <w:rPr>
          <w:highlight w:val="yellow"/>
        </w:rPr>
      </w:pPr>
      <w:r w:rsidRPr="0025484C">
        <w:t>This section explains the approach for conducting environmental impact analys</w:t>
      </w:r>
      <w:r w:rsidR="00C9302A">
        <w:t>e</w:t>
      </w:r>
      <w:r w:rsidRPr="0025484C">
        <w:t xml:space="preserve">s and determining the significance of environmental effects resulting from implementation of the </w:t>
      </w:r>
      <w:r w:rsidR="000025AE">
        <w:t xml:space="preserve">proposed </w:t>
      </w:r>
      <w:r w:rsidR="00F17C26" w:rsidRPr="0025484C">
        <w:t>CalVTP</w:t>
      </w:r>
      <w:r w:rsidRPr="0025484C">
        <w:t xml:space="preserve">. In doing so, it describes how the SPRs are considered in the impact analysis and when it is appropriate to </w:t>
      </w:r>
      <w:r w:rsidR="000025AE">
        <w:t>identify</w:t>
      </w:r>
      <w:r w:rsidR="000025AE" w:rsidRPr="0025484C">
        <w:t xml:space="preserve"> </w:t>
      </w:r>
      <w:r w:rsidRPr="0025484C">
        <w:t xml:space="preserve">mitigation measures for </w:t>
      </w:r>
      <w:r w:rsidR="000025AE">
        <w:t xml:space="preserve">impacts resulting from </w:t>
      </w:r>
      <w:r w:rsidR="00975329" w:rsidRPr="0025484C">
        <w:t>vegetation treatment</w:t>
      </w:r>
      <w:r w:rsidR="00847F50" w:rsidRPr="0025484C">
        <w:t>s</w:t>
      </w:r>
      <w:r w:rsidRPr="0025484C">
        <w:t>.</w:t>
      </w:r>
    </w:p>
    <w:p w14:paraId="523F096D" w14:textId="29247644" w:rsidR="005E196C" w:rsidRPr="0025484C" w:rsidRDefault="005E196C" w:rsidP="00421B20">
      <w:pPr>
        <w:pStyle w:val="Heading4"/>
      </w:pPr>
      <w:r w:rsidRPr="0025484C">
        <w:t xml:space="preserve">ROLE OF SPRs </w:t>
      </w:r>
      <w:r w:rsidR="00077B75" w:rsidRPr="007B76A5">
        <w:t>AND DETERMINATION OF SIGNIFICANCE IN THE PEIR</w:t>
      </w:r>
    </w:p>
    <w:p w14:paraId="552F2998" w14:textId="26B764FF" w:rsidR="00077B75" w:rsidRDefault="003C74F4" w:rsidP="00235813">
      <w:pPr>
        <w:pStyle w:val="BodyText"/>
      </w:pPr>
      <w:bookmarkStart w:id="7" w:name="_Hlk7603522"/>
      <w:bookmarkStart w:id="8" w:name="_Hlk6837513"/>
      <w:r>
        <w:t xml:space="preserve">Section 2.7 of Chapter 2, “Program Description,” </w:t>
      </w:r>
      <w:r w:rsidR="000025AE" w:rsidRPr="003C42D4">
        <w:t>presents</w:t>
      </w:r>
      <w:r w:rsidRPr="003C42D4">
        <w:t xml:space="preserve"> the SPRs for the CalVTP. The SPRs will be incorporated </w:t>
      </w:r>
      <w:r w:rsidR="000025AE" w:rsidRPr="003C42D4">
        <w:t xml:space="preserve">by CAL FIRE or other </w:t>
      </w:r>
      <w:r w:rsidR="003C42D4" w:rsidRPr="003C42D4">
        <w:t>project</w:t>
      </w:r>
      <w:r w:rsidR="00616942" w:rsidRPr="003C42D4">
        <w:t xml:space="preserve"> </w:t>
      </w:r>
      <w:r w:rsidR="000025AE" w:rsidRPr="003C42D4">
        <w:t>proponent</w:t>
      </w:r>
      <w:r w:rsidR="00616942" w:rsidRPr="003C42D4">
        <w:t>s</w:t>
      </w:r>
      <w:r w:rsidR="000025AE" w:rsidRPr="003C42D4">
        <w:t xml:space="preserve"> </w:t>
      </w:r>
      <w:r w:rsidRPr="003C42D4">
        <w:t xml:space="preserve">into all proposed vegetation treatments </w:t>
      </w:r>
      <w:r w:rsidR="000025AE" w:rsidRPr="003C42D4">
        <w:t xml:space="preserve">seeking to qualify for coverage </w:t>
      </w:r>
      <w:r w:rsidRPr="003C42D4">
        <w:t>under the CalVTP</w:t>
      </w:r>
      <w:r w:rsidR="00616942" w:rsidRPr="003C42D4">
        <w:t xml:space="preserve"> PEIR.</w:t>
      </w:r>
      <w:r w:rsidRPr="003C42D4">
        <w:t xml:space="preserve"> </w:t>
      </w:r>
      <w:r w:rsidR="000025AE" w:rsidRPr="003C42D4">
        <w:t>SPRs would be implemented for all treatments</w:t>
      </w:r>
      <w:r w:rsidR="000025AE">
        <w:t xml:space="preserve"> </w:t>
      </w:r>
      <w:r w:rsidR="00616942">
        <w:t>to the extent they are applicable</w:t>
      </w:r>
      <w:r w:rsidR="000025AE">
        <w:t xml:space="preserve">, analogous to standard operating procedures or best management practices. </w:t>
      </w:r>
      <w:r w:rsidR="00D66508">
        <w:t xml:space="preserve">The applicable </w:t>
      </w:r>
      <w:r w:rsidR="00273962">
        <w:t xml:space="preserve">treatment activities and treatment types </w:t>
      </w:r>
      <w:r w:rsidR="00D66508">
        <w:t xml:space="preserve">are identified within each SPR, typically </w:t>
      </w:r>
      <w:r w:rsidR="00273962">
        <w:t xml:space="preserve">at the end of each SPR. </w:t>
      </w:r>
      <w:r>
        <w:t>SPRs are intended to avoid and minimize environmental impacts and</w:t>
      </w:r>
      <w:r w:rsidR="000025AE">
        <w:t xml:space="preserve">, in some cases, </w:t>
      </w:r>
      <w:r w:rsidR="00616942">
        <w:t xml:space="preserve">promote </w:t>
      </w:r>
      <w:r w:rsidRPr="00F56DE1">
        <w:t>compl</w:t>
      </w:r>
      <w:r w:rsidR="000025AE">
        <w:t>iance</w:t>
      </w:r>
      <w:r>
        <w:t xml:space="preserve"> with </w:t>
      </w:r>
      <w:r w:rsidRPr="00F56DE1">
        <w:t>applicable laws and regulations</w:t>
      </w:r>
      <w:r>
        <w:t xml:space="preserve">. </w:t>
      </w:r>
      <w:bookmarkEnd w:id="7"/>
      <w:r w:rsidR="00077B75" w:rsidRPr="007B76A5">
        <w:t xml:space="preserve">For example, a prescribed burn may cause smoke in the vicinity of a public roadway, raising a potential </w:t>
      </w:r>
      <w:r w:rsidR="00616942">
        <w:t xml:space="preserve">traffic </w:t>
      </w:r>
      <w:r w:rsidR="00616942" w:rsidRPr="007B76A5">
        <w:t xml:space="preserve">safety </w:t>
      </w:r>
      <w:r w:rsidR="00077B75" w:rsidRPr="007B76A5">
        <w:t xml:space="preserve">effect. </w:t>
      </w:r>
      <w:r w:rsidR="00077B75">
        <w:t>Because</w:t>
      </w:r>
      <w:r w:rsidR="00077B75" w:rsidRPr="007B76A5">
        <w:t xml:space="preserve"> </w:t>
      </w:r>
      <w:r w:rsidR="00077B75" w:rsidRPr="00C42C0C">
        <w:t xml:space="preserve">SPR </w:t>
      </w:r>
      <w:r w:rsidR="00077B75">
        <w:t>TRAN-1</w:t>
      </w:r>
      <w:r w:rsidR="00077B75" w:rsidRPr="00C42C0C">
        <w:t xml:space="preserve">, </w:t>
      </w:r>
      <w:r w:rsidR="00077B75">
        <w:t xml:space="preserve">Implement </w:t>
      </w:r>
      <w:r w:rsidR="00077B75" w:rsidRPr="00C42C0C">
        <w:t xml:space="preserve">Traffic Control during </w:t>
      </w:r>
      <w:r w:rsidR="00077B75">
        <w:t>Treatments</w:t>
      </w:r>
      <w:r w:rsidR="00077B75" w:rsidRPr="00C42C0C">
        <w:t xml:space="preserve">, </w:t>
      </w:r>
      <w:r w:rsidR="00077B75">
        <w:t xml:space="preserve">requires </w:t>
      </w:r>
      <w:r w:rsidR="00616942">
        <w:t xml:space="preserve">preparation of </w:t>
      </w:r>
      <w:r w:rsidR="00077B75">
        <w:t xml:space="preserve">a Traffic Management Plan </w:t>
      </w:r>
      <w:r w:rsidR="00616942">
        <w:t>for prescribed burns</w:t>
      </w:r>
      <w:r w:rsidR="00077B75">
        <w:t xml:space="preserve">, </w:t>
      </w:r>
      <w:r w:rsidR="00616942">
        <w:t xml:space="preserve">including temporary </w:t>
      </w:r>
      <w:r w:rsidR="00077B75">
        <w:t>signage</w:t>
      </w:r>
      <w:r w:rsidR="00077B75" w:rsidRPr="007B76A5">
        <w:t>,</w:t>
      </w:r>
      <w:r w:rsidR="00077B75">
        <w:t xml:space="preserve"> traffic controls along public roadways</w:t>
      </w:r>
      <w:r w:rsidR="00077B75" w:rsidRPr="007B76A5">
        <w:t xml:space="preserve">, </w:t>
      </w:r>
      <w:r w:rsidR="00077B75">
        <w:t>and</w:t>
      </w:r>
      <w:r w:rsidR="00077B75" w:rsidRPr="007B76A5">
        <w:t xml:space="preserve"> </w:t>
      </w:r>
      <w:r w:rsidR="00616942">
        <w:t xml:space="preserve">flag personnel for traffic management, </w:t>
      </w:r>
      <w:r w:rsidR="00077B75">
        <w:t>its implementation</w:t>
      </w:r>
      <w:r w:rsidR="00077B75" w:rsidRPr="007B76A5">
        <w:t xml:space="preserve"> would </w:t>
      </w:r>
      <w:r w:rsidR="00077B75">
        <w:t>avoid or minimize</w:t>
      </w:r>
      <w:r w:rsidR="00077B75" w:rsidRPr="007B76A5">
        <w:t xml:space="preserve"> </w:t>
      </w:r>
      <w:r w:rsidR="00B22846">
        <w:t xml:space="preserve">significant </w:t>
      </w:r>
      <w:r w:rsidR="00077B75" w:rsidRPr="007B76A5">
        <w:t>impact</w:t>
      </w:r>
      <w:r w:rsidR="00077B75">
        <w:t>s</w:t>
      </w:r>
      <w:r w:rsidR="00077B75" w:rsidRPr="007B76A5">
        <w:t xml:space="preserve"> to public safety</w:t>
      </w:r>
      <w:r w:rsidR="00077B75">
        <w:t xml:space="preserve"> and</w:t>
      </w:r>
      <w:r w:rsidR="00613B65">
        <w:t xml:space="preserve"> residual</w:t>
      </w:r>
      <w:r w:rsidR="00077B75">
        <w:t xml:space="preserve"> impacts</w:t>
      </w:r>
      <w:r w:rsidR="00613B65">
        <w:t xml:space="preserve"> (with SPRs)</w:t>
      </w:r>
      <w:r w:rsidR="00077B75">
        <w:t xml:space="preserve"> are analyzed </w:t>
      </w:r>
      <w:r w:rsidR="00613B65">
        <w:t xml:space="preserve">against the identified threshold of significance accounting for </w:t>
      </w:r>
      <w:r w:rsidR="00B22846">
        <w:t>the SPR’s environmental protective influences.</w:t>
      </w:r>
      <w:r w:rsidR="00613B65">
        <w:t xml:space="preserve"> </w:t>
      </w:r>
    </w:p>
    <w:p w14:paraId="769BBC27" w14:textId="6DF18BC2" w:rsidR="005E196C" w:rsidRPr="007B76A5" w:rsidRDefault="00E15ABE" w:rsidP="00235813">
      <w:pPr>
        <w:pStyle w:val="BodyText"/>
      </w:pPr>
      <w:r w:rsidRPr="00A41896">
        <w:t>Refer to the</w:t>
      </w:r>
      <w:r w:rsidR="000025AE">
        <w:t xml:space="preserve"> </w:t>
      </w:r>
      <w:r w:rsidR="00613B65">
        <w:t>Section 3.4.1, “Terminology Used in the PEIR” for definitions of these terms used in the impact analysis.</w:t>
      </w:r>
      <w:r w:rsidR="00235813">
        <w:t xml:space="preserve"> </w:t>
      </w:r>
      <w:bookmarkEnd w:id="8"/>
    </w:p>
    <w:p w14:paraId="4815672D" w14:textId="278F8548" w:rsidR="00025FC4" w:rsidRDefault="00025FC4" w:rsidP="008B0F38">
      <w:pPr>
        <w:pStyle w:val="Heading3"/>
        <w:spacing w:after="360"/>
      </w:pPr>
      <w:r>
        <w:t xml:space="preserve">Analysis </w:t>
      </w:r>
      <w:r w:rsidR="00D7023B">
        <w:t>Contents</w:t>
      </w:r>
    </w:p>
    <w:p w14:paraId="2A772047" w14:textId="021FA959" w:rsidR="00DF7890" w:rsidRPr="00DF7890" w:rsidRDefault="00DF7890" w:rsidP="001903A2">
      <w:pPr>
        <w:pStyle w:val="BodyText"/>
      </w:pPr>
      <w:r w:rsidRPr="00F522A5">
        <w:t>Sections 3.</w:t>
      </w:r>
      <w:r>
        <w:t>2</w:t>
      </w:r>
      <w:r w:rsidRPr="00F522A5">
        <w:t xml:space="preserve"> through 3.</w:t>
      </w:r>
      <w:r>
        <w:t>17</w:t>
      </w:r>
      <w:r w:rsidRPr="00F522A5">
        <w:t xml:space="preserve"> of this </w:t>
      </w:r>
      <w:r w:rsidR="006A66C8">
        <w:t>P</w:t>
      </w:r>
      <w:r w:rsidRPr="00F522A5">
        <w:t xml:space="preserve">EIR present a discussion of </w:t>
      </w:r>
      <w:r w:rsidR="00B54B38">
        <w:t xml:space="preserve">existing conditions, </w:t>
      </w:r>
      <w:r w:rsidRPr="00F522A5">
        <w:t>regulatory background,</w:t>
      </w:r>
      <w:r w:rsidR="00B54B38">
        <w:t xml:space="preserve"> </w:t>
      </w:r>
      <w:r w:rsidRPr="00F522A5">
        <w:t xml:space="preserve">environmental impacts associated with </w:t>
      </w:r>
      <w:r w:rsidR="00935B68">
        <w:t>implementation of vegetation treatment</w:t>
      </w:r>
      <w:r w:rsidR="00847F50">
        <w:t>s</w:t>
      </w:r>
      <w:r w:rsidRPr="00F522A5">
        <w:t xml:space="preserve">, </w:t>
      </w:r>
      <w:r w:rsidR="00B7216D">
        <w:t xml:space="preserve">SPRs, </w:t>
      </w:r>
      <w:r w:rsidRPr="00F522A5">
        <w:t xml:space="preserve">mitigation measures to reduce the level of impact, and residual level of significance (i.e., after application of mitigation, including impacts that would remain significant and unavoidable after application of all feasible mitigation measures). </w:t>
      </w:r>
      <w:r w:rsidR="00613B65">
        <w:t>T</w:t>
      </w:r>
      <w:r w:rsidRPr="00F522A5">
        <w:t xml:space="preserve">he environmental </w:t>
      </w:r>
      <w:r w:rsidR="00613B65">
        <w:t xml:space="preserve">resource </w:t>
      </w:r>
      <w:r w:rsidRPr="00F522A5">
        <w:t xml:space="preserve">topics </w:t>
      </w:r>
      <w:r w:rsidR="00613B65">
        <w:t xml:space="preserve">evaluated in Chapter 3 are consistent with those </w:t>
      </w:r>
      <w:r w:rsidRPr="00F522A5">
        <w:t xml:space="preserve">identified in the Notice of Preparation (NOP) prepared for </w:t>
      </w:r>
      <w:r w:rsidR="00613B65">
        <w:t>this PEIR</w:t>
      </w:r>
      <w:r w:rsidRPr="00F522A5">
        <w:t xml:space="preserve"> (see Appendix </w:t>
      </w:r>
      <w:r w:rsidR="0035139B">
        <w:t>A</w:t>
      </w:r>
      <w:r w:rsidRPr="00F522A5">
        <w:t>)</w:t>
      </w:r>
      <w:r w:rsidR="00613B65">
        <w:t xml:space="preserve"> and consider relevant comments provided on by agencies, organizations, and the public during NOP review</w:t>
      </w:r>
      <w:r w:rsidRPr="00F522A5">
        <w:t xml:space="preserve">. </w:t>
      </w:r>
    </w:p>
    <w:p w14:paraId="2AAEA3DF" w14:textId="657B8388" w:rsidR="00D33314" w:rsidRPr="00820C31" w:rsidRDefault="00025FC4" w:rsidP="00235813">
      <w:pPr>
        <w:pStyle w:val="BodyText"/>
      </w:pPr>
      <w:r w:rsidRPr="00054F81">
        <w:t>Sections 3.</w:t>
      </w:r>
      <w:r>
        <w:t>2</w:t>
      </w:r>
      <w:r w:rsidRPr="00054F81">
        <w:t xml:space="preserve"> through 3.17 follow the same general format:</w:t>
      </w:r>
    </w:p>
    <w:p w14:paraId="672A7A1B" w14:textId="78F0F9A6" w:rsidR="009D1C2B" w:rsidRDefault="00025FC4" w:rsidP="00235813">
      <w:pPr>
        <w:pStyle w:val="BodyText"/>
      </w:pPr>
      <w:r w:rsidRPr="00054F81">
        <w:rPr>
          <w:b/>
        </w:rPr>
        <w:t>Environmental Setting</w:t>
      </w:r>
      <w:r w:rsidRPr="00054F81">
        <w:t xml:space="preserve"> </w:t>
      </w:r>
      <w:r w:rsidRPr="008402EE">
        <w:t xml:space="preserve">presents the existing environmental conditions </w:t>
      </w:r>
      <w:r w:rsidR="008402EE" w:rsidRPr="008402EE">
        <w:t>within the treatable landscape</w:t>
      </w:r>
      <w:r w:rsidRPr="008402EE">
        <w:t xml:space="preserve"> in accordance with </w:t>
      </w:r>
      <w:r w:rsidR="008402EE" w:rsidRPr="008402EE">
        <w:t xml:space="preserve">Section 15125 of the </w:t>
      </w:r>
      <w:r w:rsidRPr="008402EE">
        <w:t xml:space="preserve">State CEQA Guidelines. The CalVTP </w:t>
      </w:r>
      <w:r w:rsidRPr="003C42D4">
        <w:t>would apply to all CAL FIRE Administrative Units</w:t>
      </w:r>
      <w:r w:rsidR="00613B65" w:rsidRPr="003C42D4">
        <w:t xml:space="preserve"> and the jurisdictions of other </w:t>
      </w:r>
      <w:r w:rsidR="003C42D4" w:rsidRPr="003C42D4">
        <w:t>project</w:t>
      </w:r>
      <w:r w:rsidR="00B22846" w:rsidRPr="003C42D4">
        <w:t xml:space="preserve"> </w:t>
      </w:r>
      <w:r w:rsidR="00613B65" w:rsidRPr="003C42D4">
        <w:t>proponents</w:t>
      </w:r>
      <w:r w:rsidRPr="003C42D4">
        <w:t xml:space="preserve">. </w:t>
      </w:r>
      <w:r w:rsidR="00BC4B9F" w:rsidRPr="003C42D4">
        <w:t>Th</w:t>
      </w:r>
      <w:r w:rsidR="009D1C2B" w:rsidRPr="003C42D4">
        <w:t>e degree of specificity</w:t>
      </w:r>
      <w:r w:rsidR="009D1C2B" w:rsidRPr="00BC4B9F">
        <w:t xml:space="preserve"> under this EIR’s programmatic</w:t>
      </w:r>
      <w:r w:rsidR="00BC4B9F" w:rsidRPr="00BC4B9F">
        <w:t xml:space="preserve"> </w:t>
      </w:r>
      <w:r w:rsidR="009D1C2B" w:rsidRPr="00BC4B9F">
        <w:t xml:space="preserve">level analysis is </w:t>
      </w:r>
      <w:r w:rsidR="00B22846">
        <w:t>more generalized</w:t>
      </w:r>
      <w:r w:rsidR="009D1C2B" w:rsidRPr="00BC4B9F">
        <w:t xml:space="preserve"> than a site-specific analysis</w:t>
      </w:r>
      <w:r w:rsidR="00B22846">
        <w:t>,</w:t>
      </w:r>
      <w:r w:rsidR="009D1C2B" w:rsidRPr="00BC4B9F">
        <w:t xml:space="preserve"> </w:t>
      </w:r>
      <w:r w:rsidR="00BC4B9F" w:rsidRPr="00BC4B9F">
        <w:t>because</w:t>
      </w:r>
      <w:r w:rsidR="009D1C2B" w:rsidRPr="00BC4B9F">
        <w:t xml:space="preserve"> the exact </w:t>
      </w:r>
      <w:r w:rsidR="00606A12">
        <w:t>locations</w:t>
      </w:r>
      <w:r w:rsidR="009D1C2B" w:rsidRPr="00BC4B9F">
        <w:t xml:space="preserve"> </w:t>
      </w:r>
      <w:r w:rsidR="00B22846">
        <w:t xml:space="preserve">and proposed treatment prescription </w:t>
      </w:r>
      <w:r w:rsidR="00606A12">
        <w:t>of later</w:t>
      </w:r>
      <w:r w:rsidR="009D1C2B" w:rsidRPr="00BC4B9F">
        <w:t xml:space="preserve"> </w:t>
      </w:r>
      <w:r w:rsidR="00BC4B9F" w:rsidRPr="00BC4B9F">
        <w:t>vegetation</w:t>
      </w:r>
      <w:r w:rsidR="009D1C2B" w:rsidRPr="00BC4B9F">
        <w:t xml:space="preserve"> treatments</w:t>
      </w:r>
      <w:r w:rsidR="00B22846">
        <w:t xml:space="preserve"> are not yet known</w:t>
      </w:r>
      <w:r w:rsidR="009D1C2B" w:rsidRPr="00BC4B9F">
        <w:t>.</w:t>
      </w:r>
      <w:r w:rsidR="00613B65">
        <w:t xml:space="preserve"> </w:t>
      </w:r>
      <w:r w:rsidR="00233001">
        <w:t>Nonetheless</w:t>
      </w:r>
      <w:r w:rsidR="00613B65">
        <w:t xml:space="preserve">, </w:t>
      </w:r>
      <w:r w:rsidR="00054AF5">
        <w:t xml:space="preserve">the analysis comprehensively </w:t>
      </w:r>
      <w:r w:rsidR="00B22846">
        <w:t xml:space="preserve">considers </w:t>
      </w:r>
      <w:r w:rsidR="00054AF5">
        <w:t xml:space="preserve">the </w:t>
      </w:r>
      <w:r w:rsidR="00B22846">
        <w:t xml:space="preserve">full range of </w:t>
      </w:r>
      <w:r w:rsidR="00054AF5">
        <w:lastRenderedPageBreak/>
        <w:t>treatments</w:t>
      </w:r>
      <w:r w:rsidR="00B22846">
        <w:t xml:space="preserve"> potentially</w:t>
      </w:r>
      <w:r w:rsidR="00054AF5">
        <w:t xml:space="preserve"> implemented within the</w:t>
      </w:r>
      <w:r w:rsidR="00233001">
        <w:t xml:space="preserve"> modeled treatment areas for each treatment type</w:t>
      </w:r>
      <w:r w:rsidR="00054AF5">
        <w:t xml:space="preserve"> </w:t>
      </w:r>
      <w:r w:rsidR="00233001">
        <w:t>(see maps in Section 2.5.1 of Chapter 2, “Program Description</w:t>
      </w:r>
      <w:r w:rsidR="00235813">
        <w:t xml:space="preserve">.” </w:t>
      </w:r>
    </w:p>
    <w:p w14:paraId="4851A4DC" w14:textId="65B39AC0" w:rsidR="00025FC4" w:rsidRPr="009D1C2B" w:rsidRDefault="00025FC4" w:rsidP="00235813">
      <w:pPr>
        <w:pStyle w:val="BodyText"/>
      </w:pPr>
      <w:r w:rsidRPr="008402EE">
        <w:t xml:space="preserve">Where applicable and helpful for conducting the impact evaluation, the setting description and environmental analysis for the </w:t>
      </w:r>
      <w:r w:rsidR="00847F50">
        <w:t>Cal</w:t>
      </w:r>
      <w:r w:rsidRPr="008402EE">
        <w:t xml:space="preserve">VTP are organized into geographic regions reflecting different environmental characteristics. For instance, the </w:t>
      </w:r>
      <w:r w:rsidRPr="00847F50">
        <w:t xml:space="preserve">ecological regions or “ecoregions” established by the U.S. Forest Service (USFS) are used to organize </w:t>
      </w:r>
      <w:r w:rsidR="00B22846">
        <w:t xml:space="preserve">natural resources </w:t>
      </w:r>
      <w:r w:rsidRPr="00847F50">
        <w:t>information</w:t>
      </w:r>
      <w:r w:rsidR="00B22846">
        <w:t xml:space="preserve"> </w:t>
      </w:r>
      <w:r w:rsidRPr="00847F50">
        <w:t>for biological resources. The USFS Ecoregion system is based on geomorphology, soils, geology, hydrology, and vegetation and classifies California into 19 Ecological Sections and 190 Ecological Subsections</w:t>
      </w:r>
      <w:r w:rsidRPr="008402EE">
        <w:t xml:space="preserve">. Other topics use different geographic region approaches appropriate to the subject (e.g., </w:t>
      </w:r>
      <w:r w:rsidR="00B22846">
        <w:t xml:space="preserve">air basins for </w:t>
      </w:r>
      <w:r w:rsidRPr="008402EE">
        <w:t>air quality</w:t>
      </w:r>
      <w:r w:rsidR="00B22846">
        <w:t xml:space="preserve"> or watersheds for </w:t>
      </w:r>
      <w:r w:rsidRPr="008402EE">
        <w:t xml:space="preserve">water quality), or address the State as a whole, if dividing California into smaller regions does not provide value for the particular environmental issue (e.g., </w:t>
      </w:r>
      <w:r w:rsidR="00B22846">
        <w:t>for greenhouse gas emissions</w:t>
      </w:r>
      <w:r w:rsidRPr="008402EE">
        <w:t>).</w:t>
      </w:r>
      <w:r w:rsidR="00BC7CD3">
        <w:t xml:space="preserve"> </w:t>
      </w:r>
    </w:p>
    <w:p w14:paraId="76E4C621" w14:textId="02D979C5" w:rsidR="008402EE" w:rsidRPr="00054F81" w:rsidRDefault="008402EE" w:rsidP="00235813">
      <w:pPr>
        <w:pStyle w:val="BodyText"/>
      </w:pPr>
      <w:r w:rsidRPr="00054F81">
        <w:rPr>
          <w:b/>
        </w:rPr>
        <w:t>Regulatory Setting</w:t>
      </w:r>
      <w:r w:rsidRPr="00054F81">
        <w:t xml:space="preserve"> presents the laws, regulations, plans, and policies that are relevant to each </w:t>
      </w:r>
      <w:r w:rsidR="00DF1278">
        <w:t>environmental resource</w:t>
      </w:r>
      <w:r w:rsidRPr="00054F81">
        <w:t xml:space="preserve">. Regulations originating from the federal, state, and local levels are each discussed </w:t>
      </w:r>
      <w:r>
        <w:t>where applicable</w:t>
      </w:r>
      <w:r w:rsidRPr="00054F81">
        <w:t xml:space="preserve">. </w:t>
      </w:r>
      <w:r w:rsidR="005208DB">
        <w:t>When state agencies, including CAL FIRE, are conducting governmental activities under the authority of state law or the state Constitution,</w:t>
      </w:r>
      <w:r w:rsidR="00361117">
        <w:t xml:space="preserve"> such as</w:t>
      </w:r>
      <w:r w:rsidR="005208DB">
        <w:t xml:space="preserve"> treatments implemented </w:t>
      </w:r>
      <w:r w:rsidR="00361117">
        <w:t xml:space="preserve">by CAL FIRE </w:t>
      </w:r>
      <w:r w:rsidR="005208DB">
        <w:t xml:space="preserve">under the proposed CalVTP, they are exempt from local government plans, policies, and ordinances (unless a constitutional provision or statute </w:t>
      </w:r>
      <w:r w:rsidR="00F512F2">
        <w:t>directs</w:t>
      </w:r>
      <w:r w:rsidR="005208DB">
        <w:t xml:space="preserve"> otherwise). Nonetheless, CAL FIRE voluntarily seeks to operate consistently with local governance to the extent feasible. Given its statewide extent and the possible number of local and regional responsible agencies, this PEIR does not identify potential</w:t>
      </w:r>
      <w:r w:rsidR="00361117">
        <w:t xml:space="preserve"> individual </w:t>
      </w:r>
      <w:r w:rsidR="005208DB">
        <w:t>local government plan</w:t>
      </w:r>
      <w:r w:rsidR="00233001">
        <w:t>s</w:t>
      </w:r>
      <w:r w:rsidR="005208DB">
        <w:t>, polic</w:t>
      </w:r>
      <w:r w:rsidR="00233001">
        <w:t>ies</w:t>
      </w:r>
      <w:r w:rsidR="005208DB">
        <w:t>, and ordinance</w:t>
      </w:r>
      <w:r w:rsidR="00233001">
        <w:t>s</w:t>
      </w:r>
      <w:r w:rsidR="005208DB">
        <w:t xml:space="preserve">. This PEIR assumes that any vegetation treatments proposed by local or regional agencies under the CalVTP would </w:t>
      </w:r>
      <w:r w:rsidR="00361117">
        <w:t xml:space="preserve">necessarily </w:t>
      </w:r>
      <w:r w:rsidR="005208DB">
        <w:t>be consistent with local plans, policies, and ordinances</w:t>
      </w:r>
      <w:r w:rsidR="005208DB" w:rsidRPr="005208DB">
        <w:t>, as required by SPR AD-</w:t>
      </w:r>
      <w:r w:rsidR="005208DB">
        <w:t>3.</w:t>
      </w:r>
    </w:p>
    <w:p w14:paraId="35493163" w14:textId="08481009" w:rsidR="00025FC4" w:rsidRPr="00054F81" w:rsidRDefault="00025FC4" w:rsidP="00235813">
      <w:pPr>
        <w:pStyle w:val="BodyText"/>
      </w:pPr>
      <w:r w:rsidRPr="00054F81">
        <w:rPr>
          <w:b/>
        </w:rPr>
        <w:t>Impact</w:t>
      </w:r>
      <w:r w:rsidR="003C3BCA">
        <w:rPr>
          <w:b/>
        </w:rPr>
        <w:t xml:space="preserve"> Analysis </w:t>
      </w:r>
      <w:r w:rsidRPr="00054F81">
        <w:rPr>
          <w:b/>
        </w:rPr>
        <w:t>and Mitigation Measures</w:t>
      </w:r>
      <w:r w:rsidRPr="00054F81">
        <w:t xml:space="preserve"> identifies the thresholds of significance used to determine the level of significance of the environmental impacts for each resource topic, in accordance with the State CEQA Guidelines (Sections 15126, 15126.2, and 15143). The thresholds of significance used in this </w:t>
      </w:r>
      <w:r w:rsidR="003C3BCA">
        <w:t>P</w:t>
      </w:r>
      <w:r w:rsidRPr="00054F81">
        <w:t xml:space="preserve">EIR are </w:t>
      </w:r>
      <w:r w:rsidR="00233001">
        <w:t xml:space="preserve">primarily </w:t>
      </w:r>
      <w:r w:rsidRPr="00054F81">
        <w:t>based on the checklist presented in Appendix G of the State CEQA Guidelines</w:t>
      </w:r>
      <w:r w:rsidR="00233001">
        <w:t>,</w:t>
      </w:r>
      <w:r w:rsidRPr="00054F81">
        <w:t xml:space="preserve"> best available data</w:t>
      </w:r>
      <w:r w:rsidR="00233001">
        <w:t>,</w:t>
      </w:r>
      <w:r w:rsidRPr="00054F81">
        <w:t xml:space="preserve"> </w:t>
      </w:r>
      <w:r>
        <w:t xml:space="preserve">applicable </w:t>
      </w:r>
      <w:r w:rsidRPr="00054F81">
        <w:t>regulatory standards of relevant public agencies</w:t>
      </w:r>
      <w:r w:rsidR="00233001">
        <w:t>, and professional judgement</w:t>
      </w:r>
      <w:r w:rsidRPr="00054F81">
        <w:t xml:space="preserve">. The </w:t>
      </w:r>
      <w:r w:rsidR="00233001">
        <w:t>significance</w:t>
      </w:r>
      <w:r w:rsidR="00233001" w:rsidRPr="00054F81">
        <w:t xml:space="preserve"> </w:t>
      </w:r>
      <w:r w:rsidRPr="00054F81">
        <w:t xml:space="preserve">of each impact is determined by </w:t>
      </w:r>
      <w:r w:rsidR="00233001">
        <w:t xml:space="preserve">evaluating the physical changes in the </w:t>
      </w:r>
      <w:r w:rsidRPr="00054F81">
        <w:t>environmental setting</w:t>
      </w:r>
      <w:r>
        <w:t xml:space="preserve"> </w:t>
      </w:r>
      <w:r w:rsidR="00233001">
        <w:t>that would be caused by implementation of treatments under the proposed CalVTP and analyzing those effects against</w:t>
      </w:r>
      <w:r>
        <w:t xml:space="preserve"> </w:t>
      </w:r>
      <w:r w:rsidR="00233001">
        <w:t xml:space="preserve">the identified </w:t>
      </w:r>
      <w:r>
        <w:t>threshold</w:t>
      </w:r>
      <w:r w:rsidRPr="00054F81">
        <w:t xml:space="preserve">. Key methods and assumptions used to frame and conduct the impact analysis as well as issues or potential impacts not discussed further (such issues for which the </w:t>
      </w:r>
      <w:r w:rsidR="003C3BCA">
        <w:t>program</w:t>
      </w:r>
      <w:r w:rsidRPr="00054F81">
        <w:t xml:space="preserve"> would have no impact) are also described. </w:t>
      </w:r>
      <w:r w:rsidR="003127D1">
        <w:t xml:space="preserve">In addition, as discussed above, SPRs applicable to each resource section are </w:t>
      </w:r>
      <w:r w:rsidR="00233001">
        <w:t>identified</w:t>
      </w:r>
      <w:r w:rsidR="003127D1">
        <w:t>.</w:t>
      </w:r>
    </w:p>
    <w:p w14:paraId="53F88079" w14:textId="4F9BD6C0" w:rsidR="00025FC4" w:rsidRPr="00054F81" w:rsidRDefault="003C3BCA" w:rsidP="00235813">
      <w:pPr>
        <w:pStyle w:val="BodyText"/>
      </w:pPr>
      <w:r>
        <w:t>I</w:t>
      </w:r>
      <w:r w:rsidR="00025FC4" w:rsidRPr="00054F81">
        <w:t xml:space="preserve">mpacts are organized </w:t>
      </w:r>
      <w:r>
        <w:t xml:space="preserve">by letter convention for each resource </w:t>
      </w:r>
      <w:r w:rsidR="00025FC4" w:rsidRPr="00054F81">
        <w:t xml:space="preserve">(e.g., </w:t>
      </w:r>
      <w:r w:rsidR="00067DFE">
        <w:t xml:space="preserve">in Section 3.2, “Aesthetics,” impacts are numbered as follows </w:t>
      </w:r>
      <w:r w:rsidR="00025FC4" w:rsidRPr="00054F81">
        <w:t xml:space="preserve">Impact </w:t>
      </w:r>
      <w:r w:rsidR="00067DFE">
        <w:t>AES</w:t>
      </w:r>
      <w:r w:rsidR="00025FC4" w:rsidRPr="00054F81">
        <w:t xml:space="preserve">-1, Impact </w:t>
      </w:r>
      <w:r w:rsidR="00067DFE">
        <w:t>AES-</w:t>
      </w:r>
      <w:r w:rsidR="00025FC4" w:rsidRPr="00054F81">
        <w:t xml:space="preserve">2). A bold-font impact statement, a summary of each impact, and its level of significance </w:t>
      </w:r>
      <w:r w:rsidR="00233001">
        <w:t xml:space="preserve">before application of any necessary mitigation </w:t>
      </w:r>
      <w:r w:rsidR="00025FC4" w:rsidRPr="00054F81">
        <w:t xml:space="preserve">precedes the discussion of each impact. The discussion that follows the impact summary </w:t>
      </w:r>
      <w:r w:rsidR="00233001">
        <w:t>presents</w:t>
      </w:r>
      <w:r w:rsidR="00233001" w:rsidRPr="00054F81">
        <w:t xml:space="preserve"> </w:t>
      </w:r>
      <w:r w:rsidR="00025FC4" w:rsidRPr="00054F81">
        <w:t xml:space="preserve">the substantial evidence supporting the impact significance conclusion. </w:t>
      </w:r>
    </w:p>
    <w:p w14:paraId="1186EDFF" w14:textId="3582B7BC" w:rsidR="00025FC4" w:rsidRDefault="006A7860" w:rsidP="00235813">
      <w:pPr>
        <w:pStyle w:val="BodyText"/>
      </w:pPr>
      <w:r w:rsidRPr="007B76A5">
        <w:t xml:space="preserve">If an environmental impact cannot be avoided or maintained at a less-than-significant level </w:t>
      </w:r>
      <w:r w:rsidR="008746DC">
        <w:t>assuming implementation</w:t>
      </w:r>
      <w:r w:rsidRPr="007B76A5">
        <w:t xml:space="preserve"> of the SPRs, then it would be a potentially significant </w:t>
      </w:r>
      <w:r w:rsidR="008746DC">
        <w:t>impact</w:t>
      </w:r>
      <w:r>
        <w:t>,</w:t>
      </w:r>
      <w:r w:rsidRPr="007B76A5">
        <w:t xml:space="preserve"> and </w:t>
      </w:r>
      <w:r>
        <w:t>t</w:t>
      </w:r>
      <w:r w:rsidR="00025FC4" w:rsidRPr="00054F81">
        <w:t xml:space="preserve">he </w:t>
      </w:r>
      <w:r w:rsidR="00067DFE">
        <w:t>P</w:t>
      </w:r>
      <w:r w:rsidR="00025FC4" w:rsidRPr="00054F81">
        <w:t>EIR must describe any feasible measures that could avoid, minimize, rectify, reduce, or compensate for</w:t>
      </w:r>
      <w:r w:rsidR="00F512F2">
        <w:t xml:space="preserve"> potentially</w:t>
      </w:r>
      <w:r w:rsidR="00025FC4" w:rsidRPr="00054F81">
        <w:t xml:space="preserve"> significant adverse </w:t>
      </w:r>
      <w:r w:rsidR="00D7023B" w:rsidRPr="00054F81">
        <w:t>impacts</w:t>
      </w:r>
      <w:r w:rsidR="00D7023B">
        <w:t>.</w:t>
      </w:r>
      <w:r w:rsidR="00025FC4" w:rsidRPr="00054F81">
        <w:t xml:space="preserve"> </w:t>
      </w:r>
      <w:r>
        <w:t>T</w:t>
      </w:r>
      <w:r w:rsidR="00025FC4" w:rsidRPr="00054F81">
        <w:t xml:space="preserve">he measures are to be fully enforceable </w:t>
      </w:r>
      <w:r>
        <w:t xml:space="preserve">and </w:t>
      </w:r>
      <w:r w:rsidR="007F1AF6">
        <w:t>adopt</w:t>
      </w:r>
      <w:r>
        <w:t>ed</w:t>
      </w:r>
      <w:r w:rsidR="007F1AF6">
        <w:t xml:space="preserve"> as </w:t>
      </w:r>
      <w:r>
        <w:t>a condition of approval</w:t>
      </w:r>
      <w:r w:rsidR="00025FC4" w:rsidRPr="00054F81">
        <w:t xml:space="preserve"> (</w:t>
      </w:r>
      <w:r w:rsidR="008E285C">
        <w:t>PRC</w:t>
      </w:r>
      <w:r w:rsidR="00025FC4" w:rsidRPr="00054F81">
        <w:t xml:space="preserve"> Section 21081.6[b]). Mitigation measures are not required for effects that are </w:t>
      </w:r>
      <w:r w:rsidR="00E72A42">
        <w:t>determined</w:t>
      </w:r>
      <w:r w:rsidR="00E72A42" w:rsidRPr="00054F81">
        <w:t xml:space="preserve"> </w:t>
      </w:r>
      <w:r w:rsidR="00025FC4" w:rsidRPr="00054F81">
        <w:t xml:space="preserve">to be less than significant. Where feasible mitigation for a </w:t>
      </w:r>
      <w:r w:rsidR="00F512F2">
        <w:t xml:space="preserve">potentially </w:t>
      </w:r>
      <w:r w:rsidR="00025FC4" w:rsidRPr="00054F81">
        <w:t>significant impact is available</w:t>
      </w:r>
      <w:r w:rsidR="00E72A42">
        <w:t xml:space="preserve"> the mitigation measures are presented. </w:t>
      </w:r>
      <w:r w:rsidR="00025FC4" w:rsidRPr="00054F81">
        <w:t xml:space="preserve">Each identified mitigation measure is labeled </w:t>
      </w:r>
      <w:r w:rsidR="008E285C">
        <w:t xml:space="preserve">with the same letter convention </w:t>
      </w:r>
      <w:r w:rsidR="00025FC4" w:rsidRPr="00054F81">
        <w:t>to correspond with the number of the impact that would be mitigated by the measure</w:t>
      </w:r>
      <w:r w:rsidR="00E72A42">
        <w:t xml:space="preserve"> (e.g., Mitigation Measure AES-1 for Aesthetics)</w:t>
      </w:r>
      <w:r w:rsidR="00025FC4" w:rsidRPr="00054F81">
        <w:t xml:space="preserve">. </w:t>
      </w:r>
      <w:r w:rsidR="00E72A42">
        <w:t>Following the mitigation measure, the measure’s effectiveness at reducing the impact is described and compared again against the identified threshold to determine the level of significance after mitigation</w:t>
      </w:r>
      <w:r w:rsidR="00E72A42" w:rsidRPr="00054F81">
        <w:t xml:space="preserve">. </w:t>
      </w:r>
      <w:r w:rsidR="00025FC4" w:rsidRPr="00054F81">
        <w:t xml:space="preserve">Where sufficient feasible mitigation is not available to reduce </w:t>
      </w:r>
      <w:r w:rsidR="00E72A42">
        <w:t xml:space="preserve">an </w:t>
      </w:r>
      <w:r w:rsidR="00025FC4" w:rsidRPr="00054F81">
        <w:t xml:space="preserve">impact to a less-than-significant level, or where </w:t>
      </w:r>
      <w:r w:rsidR="008E285C">
        <w:t>CAL FIRE</w:t>
      </w:r>
      <w:r w:rsidR="00025FC4" w:rsidRPr="00054F81">
        <w:t xml:space="preserve"> </w:t>
      </w:r>
      <w:r w:rsidR="00E72A42">
        <w:t xml:space="preserve">or other project proponent may </w:t>
      </w:r>
      <w:r w:rsidR="00025FC4" w:rsidRPr="00054F81">
        <w:t xml:space="preserve">lack the </w:t>
      </w:r>
      <w:r w:rsidR="00025FC4">
        <w:t xml:space="preserve">ability </w:t>
      </w:r>
      <w:r w:rsidR="00025FC4" w:rsidRPr="00054F81">
        <w:t>to ensure that the mitigation is implemented when needed, the impact</w:t>
      </w:r>
      <w:r w:rsidR="00E72A42">
        <w:t xml:space="preserve"> is</w:t>
      </w:r>
      <w:r w:rsidR="00025FC4" w:rsidRPr="00054F81">
        <w:t xml:space="preserve"> identified as remaining “significant and unavoidable.”</w:t>
      </w:r>
    </w:p>
    <w:p w14:paraId="17784F56" w14:textId="26994742" w:rsidR="00B7216D" w:rsidRDefault="00B7216D" w:rsidP="0047233C">
      <w:pPr>
        <w:pStyle w:val="BodyText"/>
        <w:keepLines/>
      </w:pPr>
      <w:r w:rsidRPr="00F522A5">
        <w:lastRenderedPageBreak/>
        <w:t xml:space="preserve">Chapter 4 of this </w:t>
      </w:r>
      <w:r>
        <w:t>P</w:t>
      </w:r>
      <w:r w:rsidRPr="00F522A5">
        <w:t xml:space="preserve">EIR, “Cumulative </w:t>
      </w:r>
      <w:r>
        <w:t>Effect</w:t>
      </w:r>
      <w:r w:rsidRPr="00F522A5">
        <w:t>s</w:t>
      </w:r>
      <w:r>
        <w:t xml:space="preserve"> Analysis</w:t>
      </w:r>
      <w:r w:rsidRPr="00F522A5">
        <w:t xml:space="preserve">,” presents an analysis of </w:t>
      </w:r>
      <w:r>
        <w:t>CalVTP’s</w:t>
      </w:r>
      <w:r w:rsidRPr="00F522A5">
        <w:t xml:space="preserve"> impacts considered together with other past, present, and probable future projects producing related impacts, as required by Section 15130 of the State CEQA Guidelines. Chapter </w:t>
      </w:r>
      <w:r>
        <w:t>5</w:t>
      </w:r>
      <w:r w:rsidRPr="00F522A5">
        <w:t>, “</w:t>
      </w:r>
      <w:r>
        <w:t>Significant Effects and Growth</w:t>
      </w:r>
      <w:r w:rsidR="005208DB">
        <w:t>-</w:t>
      </w:r>
      <w:r>
        <w:t xml:space="preserve">Inducing </w:t>
      </w:r>
      <w:r w:rsidR="005208DB">
        <w:t>Effects</w:t>
      </w:r>
      <w:r w:rsidRPr="00F522A5">
        <w:t xml:space="preserve">,” includes an analysis of the project’s growth-inducing impacts, as required by </w:t>
      </w:r>
      <w:r>
        <w:t>Public Resources Code (</w:t>
      </w:r>
      <w:r w:rsidRPr="00F522A5">
        <w:t>PRC</w:t>
      </w:r>
      <w:r>
        <w:t>)</w:t>
      </w:r>
      <w:r w:rsidRPr="00F522A5">
        <w:t xml:space="preserve"> Section 21100(b)(5).</w:t>
      </w:r>
      <w:r>
        <w:t xml:space="preserve"> </w:t>
      </w:r>
      <w:r w:rsidRPr="00F522A5">
        <w:t xml:space="preserve">Chapter </w:t>
      </w:r>
      <w:r>
        <w:t>6</w:t>
      </w:r>
      <w:r w:rsidRPr="00F522A5">
        <w:t xml:space="preserve">, “Alternatives,” presents a reasonable range of alternatives and evaluates the environmental effects of those alternatives relative to the </w:t>
      </w:r>
      <w:r>
        <w:t>CalVTP</w:t>
      </w:r>
      <w:r w:rsidRPr="00F522A5">
        <w:t>, as required by Section 15126.6 of the State CEQA Guidelines.</w:t>
      </w:r>
    </w:p>
    <w:p w14:paraId="0AA05D23" w14:textId="30391791" w:rsidR="008B0F38" w:rsidRPr="00054F81" w:rsidRDefault="008B0F38" w:rsidP="00235813">
      <w:pPr>
        <w:pStyle w:val="Heading3"/>
      </w:pPr>
      <w:r w:rsidRPr="00054F81">
        <w:t xml:space="preserve">Terminology Used In the </w:t>
      </w:r>
      <w:r w:rsidR="00AC5961">
        <w:t>P</w:t>
      </w:r>
      <w:r w:rsidRPr="00054F81">
        <w:t>EIR</w:t>
      </w:r>
    </w:p>
    <w:p w14:paraId="0AFF2EE3" w14:textId="066D1AB1" w:rsidR="00A878AC" w:rsidRPr="00C34C52" w:rsidRDefault="00A878AC" w:rsidP="00235813">
      <w:pPr>
        <w:pStyle w:val="BodyText"/>
      </w:pPr>
      <w:r>
        <w:t>Following are key terms used in this P</w:t>
      </w:r>
      <w:r w:rsidRPr="00054F81">
        <w:t xml:space="preserve">EIR to describe </w:t>
      </w:r>
      <w:r w:rsidR="0027665E">
        <w:t>important components</w:t>
      </w:r>
      <w:r>
        <w:t xml:space="preserve"> of the CalVTP</w:t>
      </w:r>
      <w:r w:rsidRPr="00054F81">
        <w:t>:</w:t>
      </w:r>
    </w:p>
    <w:p w14:paraId="73B384D7" w14:textId="2337881F" w:rsidR="00A878AC" w:rsidRDefault="00A878AC" w:rsidP="00235813">
      <w:pPr>
        <w:pStyle w:val="BodyText"/>
      </w:pPr>
      <w:r w:rsidRPr="00C34C52">
        <w:rPr>
          <w:b/>
        </w:rPr>
        <w:t>Project proponent:</w:t>
      </w:r>
      <w:r>
        <w:t xml:space="preserve"> Refers to </w:t>
      </w:r>
      <w:r w:rsidR="008813B8" w:rsidRPr="008813B8">
        <w:rPr>
          <w:rFonts w:eastAsia="Times New Roman"/>
          <w:u w:val="single"/>
        </w:rPr>
        <w:t xml:space="preserve">a public agency providing funding for vegetation treatment or with land ownership, land management, or other regulatory responsibility in the treatable landscape and seeking to implement vegetation treatments consistent with this PEIR for CEQA </w:t>
      </w:r>
      <w:proofErr w:type="spellStart"/>
      <w:r w:rsidR="008813B8" w:rsidRPr="008813B8">
        <w:rPr>
          <w:rFonts w:eastAsia="Times New Roman"/>
          <w:u w:val="single"/>
        </w:rPr>
        <w:t>compliance</w:t>
      </w:r>
      <w:r w:rsidRPr="008813B8">
        <w:rPr>
          <w:strike/>
        </w:rPr>
        <w:t>CAL</w:t>
      </w:r>
      <w:proofErr w:type="spellEnd"/>
      <w:r w:rsidRPr="008813B8">
        <w:rPr>
          <w:strike/>
        </w:rPr>
        <w:t xml:space="preserve"> FIRE or other public agency funded by a CAL FIRE grant or with land ownership/management responsibilities in the treatable landscape and seeking to implement vegetation treatments consistent with this PEIR for CEQA compliance</w:t>
      </w:r>
      <w:r>
        <w:t>.</w:t>
      </w:r>
    </w:p>
    <w:p w14:paraId="461A8955" w14:textId="48F26082" w:rsidR="00A878AC" w:rsidRDefault="00A878AC" w:rsidP="00235813">
      <w:pPr>
        <w:pStyle w:val="BodyText"/>
      </w:pPr>
      <w:r w:rsidRPr="00C34C52">
        <w:rPr>
          <w:b/>
        </w:rPr>
        <w:t>Treatable landscape:</w:t>
      </w:r>
      <w:r>
        <w:t xml:space="preserve"> </w:t>
      </w:r>
      <w:r w:rsidR="0027665E">
        <w:t>the approximately 20.3-million-acre area of the State Responsibility Area within which proposed CalVTP treatments could be implemented (refer to Section 2.4 of Chapter 2 “Program Description” for additional description)</w:t>
      </w:r>
    </w:p>
    <w:p w14:paraId="3631C806" w14:textId="395F2364" w:rsidR="00A878AC" w:rsidRDefault="00A878AC" w:rsidP="00235813">
      <w:pPr>
        <w:pStyle w:val="BodyText"/>
      </w:pPr>
      <w:r w:rsidRPr="00C34C52">
        <w:rPr>
          <w:b/>
        </w:rPr>
        <w:t xml:space="preserve">Qualifying treatment </w:t>
      </w:r>
      <w:r w:rsidRPr="0027665E">
        <w:t>(also qualifying project):</w:t>
      </w:r>
      <w:r>
        <w:t xml:space="preserve"> </w:t>
      </w:r>
      <w:r w:rsidR="0027665E">
        <w:t>a later vegetation treatment project that is consistent with the treatment methods described in this PEIR</w:t>
      </w:r>
      <w:r w:rsidR="00AB5F84">
        <w:t xml:space="preserve">, </w:t>
      </w:r>
      <w:r w:rsidR="0027665E">
        <w:t>would not result in new or substantially increased significant effects</w:t>
      </w:r>
      <w:r w:rsidR="00AB5F84">
        <w:t xml:space="preserve"> relative to those identified in this PEIR, and would otherwise be considered within the scope of this EIR pursuant to State CEQA Guidelines Section 15168(c)(2)</w:t>
      </w:r>
      <w:r w:rsidR="00235813">
        <w:t>.</w:t>
      </w:r>
    </w:p>
    <w:p w14:paraId="62B6BE32" w14:textId="264269F2" w:rsidR="00A878AC" w:rsidRDefault="00A878AC" w:rsidP="00235813">
      <w:pPr>
        <w:pStyle w:val="BodyText"/>
      </w:pPr>
      <w:r w:rsidRPr="00C34C52">
        <w:rPr>
          <w:b/>
        </w:rPr>
        <w:t>Treatment type:</w:t>
      </w:r>
      <w:r>
        <w:t xml:space="preserve"> wildland-urban interface fuel reduction, fuel break, ecological restoration (each is described in Section 2.5.1 of Chapter 2 “Program Description”) </w:t>
      </w:r>
    </w:p>
    <w:p w14:paraId="4C5DD5A8" w14:textId="09A7841C" w:rsidR="00A878AC" w:rsidRPr="00C34C52" w:rsidRDefault="00A878AC" w:rsidP="00235813">
      <w:pPr>
        <w:pStyle w:val="BodyText"/>
        <w:rPr>
          <w:highlight w:val="yellow"/>
        </w:rPr>
      </w:pPr>
      <w:r w:rsidRPr="00C34C52">
        <w:rPr>
          <w:b/>
        </w:rPr>
        <w:t>Treatment activity:</w:t>
      </w:r>
      <w:r>
        <w:t xml:space="preserve"> </w:t>
      </w:r>
      <w:r w:rsidR="0027665E">
        <w:t>prescribed burning, manual treatments, mechanical treatments, prescribed herbivory, herbicide application (each is described in Section 2.5.2 of Chapter 2 “Program Description”); any of these activities could be used in various combinations to implement a treatment type</w:t>
      </w:r>
      <w:r w:rsidR="00235813">
        <w:t>.</w:t>
      </w:r>
    </w:p>
    <w:p w14:paraId="4521BE30" w14:textId="47E8E31E" w:rsidR="008B0F38" w:rsidRPr="00054F81" w:rsidRDefault="008B0F38" w:rsidP="00235813">
      <w:pPr>
        <w:pStyle w:val="BodyText"/>
      </w:pPr>
      <w:r w:rsidRPr="00054F81">
        <w:t xml:space="preserve">This </w:t>
      </w:r>
      <w:r w:rsidR="00025FC4">
        <w:t>P</w:t>
      </w:r>
      <w:r w:rsidRPr="00054F81">
        <w:t xml:space="preserve">EIR uses the following terminology to describe environmental effects of the </w:t>
      </w:r>
      <w:r w:rsidR="008E285C">
        <w:t>program</w:t>
      </w:r>
      <w:r w:rsidRPr="00054F81">
        <w:t>:</w:t>
      </w:r>
    </w:p>
    <w:p w14:paraId="3A8A134D" w14:textId="70E44BE6" w:rsidR="008B0F38" w:rsidRPr="00054F81" w:rsidRDefault="008B0F38" w:rsidP="00235813">
      <w:pPr>
        <w:pStyle w:val="BodyText"/>
      </w:pPr>
      <w:r w:rsidRPr="00054F81">
        <w:rPr>
          <w:b/>
          <w:bCs/>
        </w:rPr>
        <w:t>Less-than-Significant Impact</w:t>
      </w:r>
      <w:r w:rsidRPr="00054F81">
        <w:t>: A</w:t>
      </w:r>
      <w:r w:rsidR="006607B3">
        <w:t xml:space="preserve">n </w:t>
      </w:r>
      <w:r w:rsidRPr="00054F81">
        <w:t>impact is considered less than significant when it</w:t>
      </w:r>
      <w:r w:rsidR="00F063A0">
        <w:t>, either on its own or with incorporation of SPRs,</w:t>
      </w:r>
      <w:r w:rsidRPr="00054F81">
        <w:t xml:space="preserve"> does not exceed the </w:t>
      </w:r>
      <w:r w:rsidR="00F063A0">
        <w:t xml:space="preserve">defined </w:t>
      </w:r>
      <w:r w:rsidRPr="00054F81">
        <w:t>threshold</w:t>
      </w:r>
      <w:r w:rsidR="00F063A0">
        <w:t>s</w:t>
      </w:r>
      <w:r w:rsidRPr="00054F81">
        <w:t xml:space="preserve"> of significance (no mitigation required)</w:t>
      </w:r>
      <w:r w:rsidR="00F063A0">
        <w:t xml:space="preserve">, </w:t>
      </w:r>
      <w:r w:rsidR="00F063A0" w:rsidRPr="00F063A0">
        <w:t>or that is potentially significant and can be reduced to less than significant through implementation of feasible mitigation measures</w:t>
      </w:r>
      <w:r w:rsidRPr="00F063A0">
        <w:t>.</w:t>
      </w:r>
    </w:p>
    <w:p w14:paraId="2363B3AB" w14:textId="5BD071F5" w:rsidR="008B0F38" w:rsidRPr="00054F81" w:rsidRDefault="008B0F38" w:rsidP="00235813">
      <w:pPr>
        <w:pStyle w:val="BodyText"/>
      </w:pPr>
      <w:r w:rsidRPr="00054F81">
        <w:rPr>
          <w:b/>
          <w:bCs/>
        </w:rPr>
        <w:t>Potentially Significant Impact</w:t>
      </w:r>
      <w:r w:rsidRPr="00054F81">
        <w:t xml:space="preserve">: A potentially significant impact is an environmental effect that may cause a substantial adverse change in the </w:t>
      </w:r>
      <w:r w:rsidR="00AB5F84">
        <w:t xml:space="preserve">physical conditions of the </w:t>
      </w:r>
      <w:r w:rsidRPr="00054F81">
        <w:t xml:space="preserve">environment. </w:t>
      </w:r>
      <w:r w:rsidR="00AB5F84">
        <w:t>In this PEIR</w:t>
      </w:r>
      <w:r w:rsidRPr="00054F81">
        <w:t>, a potentially significant impact is treated as if it were a significant impact.</w:t>
      </w:r>
      <w:r w:rsidR="00AB5F84">
        <w:t xml:space="preserve"> “Potentially” is used to convey that not every qualifying treatment will result in impacts to the reasonably maximum degree that they are disclosed in this PEIR; it is expected that most treatments would result in effects that are less severe than those disclosed, but some treatments could result in significant impacts consistent with the severity described in this PEIR.</w:t>
      </w:r>
      <w:r w:rsidR="00F512F2">
        <w:t xml:space="preserve"> Potentially</w:t>
      </w:r>
      <w:r w:rsidR="00AB5F84" w:rsidRPr="00AB5F84">
        <w:t xml:space="preserve"> </w:t>
      </w:r>
      <w:r w:rsidR="00F512F2">
        <w:t>s</w:t>
      </w:r>
      <w:r w:rsidR="00AB5F84" w:rsidRPr="00054F81">
        <w:t xml:space="preserve">ignificant impacts are identified by the evaluation of </w:t>
      </w:r>
      <w:r w:rsidR="00AB5F84">
        <w:t>treatment</w:t>
      </w:r>
      <w:r w:rsidR="00AB5F84" w:rsidRPr="00054F81">
        <w:t xml:space="preserve"> effects in the context of </w:t>
      </w:r>
      <w:r w:rsidR="00AB5F84">
        <w:t>specific</w:t>
      </w:r>
      <w:r w:rsidR="00AB5F84" w:rsidRPr="00054F81">
        <w:t xml:space="preserve"> significance </w:t>
      </w:r>
      <w:r w:rsidR="00AB5F84">
        <w:t>thresholds</w:t>
      </w:r>
      <w:r w:rsidR="00AB5F84" w:rsidRPr="00054F81">
        <w:t xml:space="preserve">. Mitigation measures and/or alternatives are identified to reduce these effects to the environment </w:t>
      </w:r>
      <w:r w:rsidR="00AB5F84">
        <w:t xml:space="preserve">below the threshold of significance </w:t>
      </w:r>
      <w:r w:rsidR="00AB5F84" w:rsidRPr="00054F81">
        <w:t>where feasible.</w:t>
      </w:r>
    </w:p>
    <w:p w14:paraId="1F56B1A1" w14:textId="52F3C093" w:rsidR="008B0F38" w:rsidRPr="00054F81" w:rsidRDefault="008B0F38" w:rsidP="00235813">
      <w:pPr>
        <w:pStyle w:val="BodyText"/>
      </w:pPr>
      <w:r w:rsidRPr="00054F81">
        <w:rPr>
          <w:b/>
          <w:bCs/>
        </w:rPr>
        <w:t>Significant and Unavoidable Impact</w:t>
      </w:r>
      <w:r w:rsidRPr="00054F81">
        <w:t>: A</w:t>
      </w:r>
      <w:r w:rsidR="006607B3">
        <w:t xml:space="preserve">n </w:t>
      </w:r>
      <w:r w:rsidRPr="00054F81">
        <w:t xml:space="preserve">impact is considered significant and unavoidable if it would result in a substantial adverse change in the environment that cannot be feasibly avoided or mitigated to a less-than-significant level. If a lead agency </w:t>
      </w:r>
      <w:r w:rsidR="00CD0FF3">
        <w:t>decides</w:t>
      </w:r>
      <w:r w:rsidR="00CD0FF3" w:rsidRPr="00054F81">
        <w:t xml:space="preserve"> </w:t>
      </w:r>
      <w:r w:rsidRPr="00054F81">
        <w:t>to approve a project with significant unavoidable impacts, it must adopt a statement of overriding considerations to explain its actions (</w:t>
      </w:r>
      <w:r w:rsidR="006607B3">
        <w:t xml:space="preserve">State </w:t>
      </w:r>
      <w:r w:rsidRPr="00054F81">
        <w:t>CEQA Guidelines, Section 15093(b)).</w:t>
      </w:r>
    </w:p>
    <w:p w14:paraId="5BE92635" w14:textId="7CC4DC9C" w:rsidR="008B0F38" w:rsidRPr="00054F81" w:rsidRDefault="008B0F38" w:rsidP="003C4025">
      <w:pPr>
        <w:pStyle w:val="BodyText"/>
        <w:keepNext/>
      </w:pPr>
      <w:r w:rsidRPr="00054F81">
        <w:rPr>
          <w:b/>
          <w:bCs/>
        </w:rPr>
        <w:lastRenderedPageBreak/>
        <w:t>Mitigation Measures</w:t>
      </w:r>
      <w:r w:rsidRPr="00054F81">
        <w:t xml:space="preserve">: </w:t>
      </w:r>
      <w:r w:rsidR="006607B3">
        <w:t xml:space="preserve">State </w:t>
      </w:r>
      <w:r w:rsidRPr="00054F81">
        <w:t xml:space="preserve">CEQA Guidelines (Section 15370) define mitigation as: </w:t>
      </w:r>
    </w:p>
    <w:p w14:paraId="1A6BAC5A" w14:textId="4F8CFEA9" w:rsidR="008B0F38" w:rsidRPr="00054F81" w:rsidRDefault="008B0F38" w:rsidP="003C4025">
      <w:pPr>
        <w:pStyle w:val="BodyText"/>
        <w:keepNext/>
        <w:ind w:left="360" w:hanging="360"/>
      </w:pPr>
      <w:r w:rsidRPr="00054F81">
        <w:t>a)</w:t>
      </w:r>
      <w:r w:rsidRPr="00054F81">
        <w:tab/>
        <w:t>avoiding the impact altogether by not taking a certain action or parts of an action;</w:t>
      </w:r>
    </w:p>
    <w:p w14:paraId="2FBFBE28" w14:textId="6F12842A" w:rsidR="008B0F38" w:rsidRPr="00054F81" w:rsidRDefault="008B0F38" w:rsidP="00A654E0">
      <w:pPr>
        <w:pStyle w:val="BodyText"/>
        <w:ind w:left="360" w:hanging="360"/>
      </w:pPr>
      <w:r w:rsidRPr="00054F81">
        <w:t>b)</w:t>
      </w:r>
      <w:r w:rsidRPr="00054F81">
        <w:tab/>
        <w:t>minimizing impacts by limiting the degree of magnitude of the action and its implementation;</w:t>
      </w:r>
    </w:p>
    <w:p w14:paraId="69EEC69E" w14:textId="3465393E" w:rsidR="008B0F38" w:rsidRPr="00054F81" w:rsidRDefault="008B0F38" w:rsidP="00A654E0">
      <w:pPr>
        <w:pStyle w:val="BodyText"/>
        <w:ind w:left="360" w:hanging="360"/>
      </w:pPr>
      <w:r w:rsidRPr="00054F81">
        <w:t>c)</w:t>
      </w:r>
      <w:r w:rsidRPr="00054F81">
        <w:tab/>
        <w:t>rectifying the impact by repairing, rehabilitating, or restoring the affected environment;</w:t>
      </w:r>
    </w:p>
    <w:p w14:paraId="08467D2F" w14:textId="2A51CE46" w:rsidR="008B0F38" w:rsidRPr="00054F81" w:rsidRDefault="008B0F38" w:rsidP="00A654E0">
      <w:pPr>
        <w:pStyle w:val="BodyText"/>
        <w:ind w:left="360" w:hanging="360"/>
      </w:pPr>
      <w:r w:rsidRPr="00054F81">
        <w:t>d)</w:t>
      </w:r>
      <w:r w:rsidRPr="00054F81">
        <w:tab/>
        <w:t>reducing or eliminating the impact over time by preservation and maintenance operations during the life of the action; and</w:t>
      </w:r>
    </w:p>
    <w:p w14:paraId="133D2920" w14:textId="1F632999" w:rsidR="008B0F38" w:rsidRPr="00054F81" w:rsidRDefault="008B0F38" w:rsidP="00A654E0">
      <w:pPr>
        <w:pStyle w:val="BodyText"/>
        <w:ind w:left="360" w:hanging="360"/>
      </w:pPr>
      <w:r w:rsidRPr="00054F81">
        <w:t>e)</w:t>
      </w:r>
      <w:r w:rsidRPr="00054F81">
        <w:tab/>
        <w:t>compensating for the impact by replacing or providing substitute resources or environments.</w:t>
      </w:r>
    </w:p>
    <w:p w14:paraId="71B5626E" w14:textId="77777777" w:rsidR="005A1E1B" w:rsidRDefault="005A1E1B">
      <w:pPr>
        <w:spacing w:after="200" w:line="276" w:lineRule="auto"/>
      </w:pPr>
      <w:r>
        <w:br w:type="page"/>
      </w:r>
    </w:p>
    <w:p w14:paraId="224E8DF1" w14:textId="77777777" w:rsidR="005A1E1B" w:rsidRDefault="005A1E1B" w:rsidP="005A1E1B">
      <w:pPr>
        <w:pStyle w:val="BodyText"/>
      </w:pPr>
    </w:p>
    <w:p w14:paraId="668D31D0" w14:textId="77777777" w:rsidR="005A1E1B" w:rsidRDefault="005A1E1B" w:rsidP="005A1E1B">
      <w:pPr>
        <w:pStyle w:val="BodyText"/>
      </w:pPr>
      <w:r>
        <w:t>This page intentionally left blank.</w:t>
      </w:r>
    </w:p>
    <w:sectPr w:rsidR="005A1E1B" w:rsidSect="0095732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576" w:footer="57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BDA62" w14:textId="77777777" w:rsidR="001256A6" w:rsidRDefault="001256A6" w:rsidP="00865C0A">
      <w:r>
        <w:separator/>
      </w:r>
    </w:p>
  </w:endnote>
  <w:endnote w:type="continuationSeparator" w:id="0">
    <w:p w14:paraId="475241D4" w14:textId="77777777" w:rsidR="001256A6" w:rsidRDefault="001256A6" w:rsidP="0086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E805" w14:textId="0420E7F3" w:rsidR="00E47DA7" w:rsidRPr="00AE4D3F" w:rsidRDefault="00E47DA7" w:rsidP="00E47DA7">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CA3123">
      <w:rPr>
        <w:rFonts w:cs="Segoe UI Semilight"/>
        <w:noProof/>
      </w:rPr>
      <w:t>3-2</w:t>
    </w:r>
    <w:r w:rsidRPr="00AE4D3F">
      <w:rPr>
        <w:rFonts w:cs="Segoe UI Semilight"/>
        <w:noProof/>
      </w:rPr>
      <w:fldChar w:fldCharType="end"/>
    </w:r>
    <w:r>
      <w:rPr>
        <w:rFonts w:cs="Segoe UI Semilight"/>
        <w:noProof/>
      </w:rPr>
      <w:tab/>
    </w:r>
    <w:r w:rsidR="00601CF1">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A9BA" w14:textId="3038C01C" w:rsidR="00E47DA7" w:rsidRPr="00AE4D3F" w:rsidRDefault="00E47DA7" w:rsidP="00E47DA7">
    <w:pPr>
      <w:pStyle w:val="Footer"/>
    </w:pPr>
    <w:r w:rsidRPr="00AE4D3F">
      <w:t>Board of Forestry and Fire Protection</w:t>
    </w:r>
    <w:r w:rsidRPr="00AE4D3F">
      <w:tab/>
    </w:r>
    <w:r>
      <w:br/>
    </w:r>
    <w:r w:rsidR="00601CF1">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CA3123">
      <w:rPr>
        <w:rFonts w:cs="Segoe UI Semilight"/>
        <w:noProof/>
      </w:rPr>
      <w:t>3-5</w:t>
    </w:r>
    <w:r w:rsidRPr="00AE4D3F">
      <w:rPr>
        <w:rFonts w:cs="Segoe UI Semi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D7D6" w14:textId="3AB26A6B" w:rsidR="00E47DA7" w:rsidRPr="00AE4D3F" w:rsidRDefault="00E47DA7" w:rsidP="00E47DA7">
    <w:pPr>
      <w:pStyle w:val="Footer"/>
    </w:pPr>
    <w:r w:rsidRPr="00AE4D3F">
      <w:t>Board of Forestry and Fire Protection</w:t>
    </w:r>
    <w:r w:rsidRPr="00AE4D3F">
      <w:tab/>
    </w:r>
    <w:r>
      <w:br/>
    </w:r>
    <w:r w:rsidR="00601CF1">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CA3123">
      <w:rPr>
        <w:rFonts w:cs="Segoe UI Semilight"/>
        <w:noProof/>
      </w:rPr>
      <w:t>3-1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7E622" w14:textId="77777777" w:rsidR="001256A6" w:rsidRDefault="001256A6" w:rsidP="00865C0A">
      <w:r>
        <w:separator/>
      </w:r>
    </w:p>
  </w:footnote>
  <w:footnote w:type="continuationSeparator" w:id="0">
    <w:p w14:paraId="22D0C460" w14:textId="77777777" w:rsidR="001256A6" w:rsidRDefault="001256A6" w:rsidP="0086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D056" w14:textId="58E77CF6" w:rsidR="001256A6" w:rsidRDefault="001256A6" w:rsidP="00010AE6">
    <w:pPr>
      <w:pStyle w:val="Header"/>
      <w:tabs>
        <w:tab w:val="clear" w:pos="5040"/>
        <w:tab w:val="center" w:pos="5400"/>
      </w:tabs>
    </w:pPr>
    <w:r>
      <w:t>Approach to Environmental Analysis</w:t>
    </w:r>
    <w:r>
      <w:tab/>
    </w:r>
    <w:r>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4EAD" w14:textId="43B1D005" w:rsidR="001256A6" w:rsidRDefault="001256A6" w:rsidP="00010AE6">
    <w:pPr>
      <w:pStyle w:val="Header"/>
      <w:tabs>
        <w:tab w:val="clear" w:pos="5040"/>
        <w:tab w:val="center" w:pos="4500"/>
      </w:tabs>
    </w:pPr>
    <w:r>
      <w:t>Ascent Environmental</w:t>
    </w:r>
    <w:r>
      <w:tab/>
    </w:r>
    <w:r>
      <w:tab/>
      <w:t>Approach to the Environmental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F1EB" w14:textId="522E650D" w:rsidR="00957320" w:rsidRDefault="00957320" w:rsidP="00957320">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DCFC3FEE"/>
    <w:lvl w:ilvl="0">
      <w:start w:val="3"/>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52BC7"/>
    <w:multiLevelType w:val="hybridMultilevel"/>
    <w:tmpl w:val="38D4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B20CCF"/>
    <w:multiLevelType w:val="hybridMultilevel"/>
    <w:tmpl w:val="127C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10"/>
  </w:num>
  <w:num w:numId="4">
    <w:abstractNumId w:val="17"/>
  </w:num>
  <w:num w:numId="5">
    <w:abstractNumId w:val="13"/>
  </w:num>
  <w:num w:numId="6">
    <w:abstractNumId w:val="22"/>
  </w:num>
  <w:num w:numId="7">
    <w:abstractNumId w:val="15"/>
  </w:num>
  <w:num w:numId="8">
    <w:abstractNumId w:val="16"/>
  </w:num>
  <w:num w:numId="9">
    <w:abstractNumId w:val="12"/>
  </w:num>
  <w:num w:numId="10">
    <w:abstractNumId w:val="21"/>
  </w:num>
  <w:num w:numId="11">
    <w:abstractNumId w:val="11"/>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CqHjwImQJqNz34hJS8rijomb4fW1ZuBLIMeF1f5x4zLpxhxboF6zSOneH5UYICw9phEIV3FlesL9q0t+3Pyk9g==" w:salt="zWiqLR5E8mCPURJyVhGA7w=="/>
  <w:defaultTabStop w:val="720"/>
  <w:evenAndOddHeaders/>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A2"/>
    <w:rsid w:val="000025AE"/>
    <w:rsid w:val="00002DBF"/>
    <w:rsid w:val="00010AE6"/>
    <w:rsid w:val="000136E6"/>
    <w:rsid w:val="00016D57"/>
    <w:rsid w:val="00025FC4"/>
    <w:rsid w:val="0003684B"/>
    <w:rsid w:val="0005060C"/>
    <w:rsid w:val="00054AF5"/>
    <w:rsid w:val="000638D7"/>
    <w:rsid w:val="00064E86"/>
    <w:rsid w:val="0006674F"/>
    <w:rsid w:val="00067DFE"/>
    <w:rsid w:val="00073053"/>
    <w:rsid w:val="00074A29"/>
    <w:rsid w:val="00076573"/>
    <w:rsid w:val="00077B75"/>
    <w:rsid w:val="00085FDC"/>
    <w:rsid w:val="00086D6B"/>
    <w:rsid w:val="000932E1"/>
    <w:rsid w:val="00094E70"/>
    <w:rsid w:val="000A3AA3"/>
    <w:rsid w:val="000B26E3"/>
    <w:rsid w:val="000B63BB"/>
    <w:rsid w:val="000C56CB"/>
    <w:rsid w:val="000E5436"/>
    <w:rsid w:val="0010627D"/>
    <w:rsid w:val="0010670F"/>
    <w:rsid w:val="001067EC"/>
    <w:rsid w:val="00116DCB"/>
    <w:rsid w:val="0012042C"/>
    <w:rsid w:val="00120AE5"/>
    <w:rsid w:val="001218C3"/>
    <w:rsid w:val="0012197C"/>
    <w:rsid w:val="00125255"/>
    <w:rsid w:val="001256A6"/>
    <w:rsid w:val="00131B5A"/>
    <w:rsid w:val="00137ED7"/>
    <w:rsid w:val="001462B8"/>
    <w:rsid w:val="00150D50"/>
    <w:rsid w:val="00152C92"/>
    <w:rsid w:val="001640B7"/>
    <w:rsid w:val="00167255"/>
    <w:rsid w:val="00176D9D"/>
    <w:rsid w:val="00180508"/>
    <w:rsid w:val="00180DFE"/>
    <w:rsid w:val="001824AE"/>
    <w:rsid w:val="001903A2"/>
    <w:rsid w:val="00190F8B"/>
    <w:rsid w:val="001A1D7D"/>
    <w:rsid w:val="001A33B9"/>
    <w:rsid w:val="001A64FE"/>
    <w:rsid w:val="001B2D54"/>
    <w:rsid w:val="001B75E9"/>
    <w:rsid w:val="001C0E6D"/>
    <w:rsid w:val="001C6F7C"/>
    <w:rsid w:val="001D066B"/>
    <w:rsid w:val="001F08B1"/>
    <w:rsid w:val="001F2C8F"/>
    <w:rsid w:val="00201C64"/>
    <w:rsid w:val="00202458"/>
    <w:rsid w:val="00233001"/>
    <w:rsid w:val="00235813"/>
    <w:rsid w:val="0024141E"/>
    <w:rsid w:val="00245970"/>
    <w:rsid w:val="002513CC"/>
    <w:rsid w:val="00253881"/>
    <w:rsid w:val="0025484C"/>
    <w:rsid w:val="00255890"/>
    <w:rsid w:val="00255A13"/>
    <w:rsid w:val="00257314"/>
    <w:rsid w:val="00261CE1"/>
    <w:rsid w:val="00273492"/>
    <w:rsid w:val="0027395E"/>
    <w:rsid w:val="00273962"/>
    <w:rsid w:val="0027665E"/>
    <w:rsid w:val="00281647"/>
    <w:rsid w:val="00286968"/>
    <w:rsid w:val="002916BD"/>
    <w:rsid w:val="002A0FA2"/>
    <w:rsid w:val="002A3A3F"/>
    <w:rsid w:val="002A7D5E"/>
    <w:rsid w:val="002B0FA4"/>
    <w:rsid w:val="002C2C26"/>
    <w:rsid w:val="002D2140"/>
    <w:rsid w:val="002D465E"/>
    <w:rsid w:val="002D587C"/>
    <w:rsid w:val="002D65B6"/>
    <w:rsid w:val="002E14DB"/>
    <w:rsid w:val="002E3FB9"/>
    <w:rsid w:val="002F7122"/>
    <w:rsid w:val="002F7E5C"/>
    <w:rsid w:val="00300B20"/>
    <w:rsid w:val="00300D8C"/>
    <w:rsid w:val="0030550B"/>
    <w:rsid w:val="00307DB4"/>
    <w:rsid w:val="003127D1"/>
    <w:rsid w:val="0031627E"/>
    <w:rsid w:val="003200C9"/>
    <w:rsid w:val="00322717"/>
    <w:rsid w:val="00324C84"/>
    <w:rsid w:val="00332409"/>
    <w:rsid w:val="00344EDB"/>
    <w:rsid w:val="00345AB5"/>
    <w:rsid w:val="003472EE"/>
    <w:rsid w:val="003504B2"/>
    <w:rsid w:val="0035139B"/>
    <w:rsid w:val="0035383E"/>
    <w:rsid w:val="0035650C"/>
    <w:rsid w:val="00357807"/>
    <w:rsid w:val="00361117"/>
    <w:rsid w:val="00387390"/>
    <w:rsid w:val="00387F16"/>
    <w:rsid w:val="003904B4"/>
    <w:rsid w:val="003A6D83"/>
    <w:rsid w:val="003B2AE5"/>
    <w:rsid w:val="003B50CA"/>
    <w:rsid w:val="003B6366"/>
    <w:rsid w:val="003C1416"/>
    <w:rsid w:val="003C3BCA"/>
    <w:rsid w:val="003C3FBC"/>
    <w:rsid w:val="003C4025"/>
    <w:rsid w:val="003C42D4"/>
    <w:rsid w:val="003C74F4"/>
    <w:rsid w:val="003D187E"/>
    <w:rsid w:val="003E3DE2"/>
    <w:rsid w:val="003F3636"/>
    <w:rsid w:val="00406F81"/>
    <w:rsid w:val="00421B20"/>
    <w:rsid w:val="00427254"/>
    <w:rsid w:val="00434432"/>
    <w:rsid w:val="0044401A"/>
    <w:rsid w:val="00446AC2"/>
    <w:rsid w:val="00455D7B"/>
    <w:rsid w:val="004611F3"/>
    <w:rsid w:val="00465A1F"/>
    <w:rsid w:val="0047233C"/>
    <w:rsid w:val="00476F87"/>
    <w:rsid w:val="0048665F"/>
    <w:rsid w:val="004945F5"/>
    <w:rsid w:val="004978A4"/>
    <w:rsid w:val="004B78EB"/>
    <w:rsid w:val="004C15E1"/>
    <w:rsid w:val="004C5A85"/>
    <w:rsid w:val="004D1B4B"/>
    <w:rsid w:val="004D2F56"/>
    <w:rsid w:val="004D53C8"/>
    <w:rsid w:val="004E7B7D"/>
    <w:rsid w:val="004F113D"/>
    <w:rsid w:val="004F45BB"/>
    <w:rsid w:val="004F4E51"/>
    <w:rsid w:val="004F7254"/>
    <w:rsid w:val="004F7E5F"/>
    <w:rsid w:val="00501B5A"/>
    <w:rsid w:val="00501D83"/>
    <w:rsid w:val="0051087A"/>
    <w:rsid w:val="005208DB"/>
    <w:rsid w:val="00526237"/>
    <w:rsid w:val="005308C3"/>
    <w:rsid w:val="00544DB1"/>
    <w:rsid w:val="00552E14"/>
    <w:rsid w:val="00556C1A"/>
    <w:rsid w:val="005570F1"/>
    <w:rsid w:val="005646CC"/>
    <w:rsid w:val="005663F5"/>
    <w:rsid w:val="00570483"/>
    <w:rsid w:val="005708FF"/>
    <w:rsid w:val="00576469"/>
    <w:rsid w:val="00576FB8"/>
    <w:rsid w:val="00580AB4"/>
    <w:rsid w:val="0058414F"/>
    <w:rsid w:val="00590826"/>
    <w:rsid w:val="00596C9E"/>
    <w:rsid w:val="005A1E1B"/>
    <w:rsid w:val="005B4A32"/>
    <w:rsid w:val="005B672F"/>
    <w:rsid w:val="005B70F4"/>
    <w:rsid w:val="005B78E9"/>
    <w:rsid w:val="005D300A"/>
    <w:rsid w:val="005E196C"/>
    <w:rsid w:val="005E77FE"/>
    <w:rsid w:val="00601CF1"/>
    <w:rsid w:val="00606A12"/>
    <w:rsid w:val="006111A2"/>
    <w:rsid w:val="00613B65"/>
    <w:rsid w:val="00616942"/>
    <w:rsid w:val="00622FDF"/>
    <w:rsid w:val="006242E5"/>
    <w:rsid w:val="00624EFC"/>
    <w:rsid w:val="00624FF4"/>
    <w:rsid w:val="00625B7C"/>
    <w:rsid w:val="00630C50"/>
    <w:rsid w:val="00634892"/>
    <w:rsid w:val="006375A2"/>
    <w:rsid w:val="00641783"/>
    <w:rsid w:val="00641DAD"/>
    <w:rsid w:val="006447A3"/>
    <w:rsid w:val="00645E2B"/>
    <w:rsid w:val="006607B3"/>
    <w:rsid w:val="00671BEE"/>
    <w:rsid w:val="006770E3"/>
    <w:rsid w:val="00680047"/>
    <w:rsid w:val="006820F7"/>
    <w:rsid w:val="00684579"/>
    <w:rsid w:val="00695655"/>
    <w:rsid w:val="006A1C73"/>
    <w:rsid w:val="006A240F"/>
    <w:rsid w:val="006A66C8"/>
    <w:rsid w:val="006A7860"/>
    <w:rsid w:val="006B408B"/>
    <w:rsid w:val="006C3006"/>
    <w:rsid w:val="006C5E39"/>
    <w:rsid w:val="006D3DA8"/>
    <w:rsid w:val="006D57C2"/>
    <w:rsid w:val="006E712D"/>
    <w:rsid w:val="00700F97"/>
    <w:rsid w:val="007049D3"/>
    <w:rsid w:val="00707E58"/>
    <w:rsid w:val="00720A66"/>
    <w:rsid w:val="00720C9D"/>
    <w:rsid w:val="0072477D"/>
    <w:rsid w:val="00724870"/>
    <w:rsid w:val="00733AA3"/>
    <w:rsid w:val="00744D41"/>
    <w:rsid w:val="00752124"/>
    <w:rsid w:val="00752192"/>
    <w:rsid w:val="007608C9"/>
    <w:rsid w:val="00762361"/>
    <w:rsid w:val="00763C5E"/>
    <w:rsid w:val="007830F3"/>
    <w:rsid w:val="00793AF1"/>
    <w:rsid w:val="007951A1"/>
    <w:rsid w:val="007A5EE0"/>
    <w:rsid w:val="007A6D38"/>
    <w:rsid w:val="007B3BA8"/>
    <w:rsid w:val="007B76A5"/>
    <w:rsid w:val="007C425E"/>
    <w:rsid w:val="007C7F15"/>
    <w:rsid w:val="007D2197"/>
    <w:rsid w:val="007D3F25"/>
    <w:rsid w:val="007D63F5"/>
    <w:rsid w:val="007D791F"/>
    <w:rsid w:val="007E1958"/>
    <w:rsid w:val="007E52B0"/>
    <w:rsid w:val="007F1AF6"/>
    <w:rsid w:val="007F4D1B"/>
    <w:rsid w:val="007F5E45"/>
    <w:rsid w:val="007F62A2"/>
    <w:rsid w:val="00806255"/>
    <w:rsid w:val="00812599"/>
    <w:rsid w:val="008177F3"/>
    <w:rsid w:val="00820C31"/>
    <w:rsid w:val="008402EE"/>
    <w:rsid w:val="00840B6B"/>
    <w:rsid w:val="00847F50"/>
    <w:rsid w:val="00853AE4"/>
    <w:rsid w:val="0086493E"/>
    <w:rsid w:val="00865C0A"/>
    <w:rsid w:val="008746DC"/>
    <w:rsid w:val="00880B21"/>
    <w:rsid w:val="008813B8"/>
    <w:rsid w:val="00884356"/>
    <w:rsid w:val="00891765"/>
    <w:rsid w:val="008939D2"/>
    <w:rsid w:val="008A2B6A"/>
    <w:rsid w:val="008A5599"/>
    <w:rsid w:val="008B0F38"/>
    <w:rsid w:val="008B2500"/>
    <w:rsid w:val="008B79D3"/>
    <w:rsid w:val="008D1B6D"/>
    <w:rsid w:val="008E285C"/>
    <w:rsid w:val="008F6A09"/>
    <w:rsid w:val="008F754B"/>
    <w:rsid w:val="00902B92"/>
    <w:rsid w:val="00903A95"/>
    <w:rsid w:val="00910297"/>
    <w:rsid w:val="00920B5E"/>
    <w:rsid w:val="00930918"/>
    <w:rsid w:val="00930D7C"/>
    <w:rsid w:val="00935B68"/>
    <w:rsid w:val="009370D9"/>
    <w:rsid w:val="009374CC"/>
    <w:rsid w:val="009374DC"/>
    <w:rsid w:val="00945699"/>
    <w:rsid w:val="009475E5"/>
    <w:rsid w:val="00957320"/>
    <w:rsid w:val="0096710E"/>
    <w:rsid w:val="009731E2"/>
    <w:rsid w:val="00975329"/>
    <w:rsid w:val="00975FDB"/>
    <w:rsid w:val="009813E1"/>
    <w:rsid w:val="009913E4"/>
    <w:rsid w:val="00994517"/>
    <w:rsid w:val="009A0C44"/>
    <w:rsid w:val="009A37F8"/>
    <w:rsid w:val="009A78A2"/>
    <w:rsid w:val="009B781C"/>
    <w:rsid w:val="009C69DA"/>
    <w:rsid w:val="009D05A3"/>
    <w:rsid w:val="009D0783"/>
    <w:rsid w:val="009D1C2B"/>
    <w:rsid w:val="009D2D1D"/>
    <w:rsid w:val="00A14080"/>
    <w:rsid w:val="00A20B34"/>
    <w:rsid w:val="00A21E39"/>
    <w:rsid w:val="00A35673"/>
    <w:rsid w:val="00A4081F"/>
    <w:rsid w:val="00A43CAC"/>
    <w:rsid w:val="00A44B1B"/>
    <w:rsid w:val="00A56598"/>
    <w:rsid w:val="00A6218E"/>
    <w:rsid w:val="00A654E0"/>
    <w:rsid w:val="00A70815"/>
    <w:rsid w:val="00A73217"/>
    <w:rsid w:val="00A81275"/>
    <w:rsid w:val="00A878AC"/>
    <w:rsid w:val="00A96FC3"/>
    <w:rsid w:val="00AB5F84"/>
    <w:rsid w:val="00AC14E1"/>
    <w:rsid w:val="00AC5961"/>
    <w:rsid w:val="00AD5D80"/>
    <w:rsid w:val="00AE6B44"/>
    <w:rsid w:val="00AE7E72"/>
    <w:rsid w:val="00AF67F0"/>
    <w:rsid w:val="00AF69B5"/>
    <w:rsid w:val="00B042BF"/>
    <w:rsid w:val="00B13A3B"/>
    <w:rsid w:val="00B22846"/>
    <w:rsid w:val="00B25F9A"/>
    <w:rsid w:val="00B50E0A"/>
    <w:rsid w:val="00B54732"/>
    <w:rsid w:val="00B54B38"/>
    <w:rsid w:val="00B5592F"/>
    <w:rsid w:val="00B609E9"/>
    <w:rsid w:val="00B6201F"/>
    <w:rsid w:val="00B7216D"/>
    <w:rsid w:val="00B80F47"/>
    <w:rsid w:val="00B8164C"/>
    <w:rsid w:val="00B82A03"/>
    <w:rsid w:val="00B858C0"/>
    <w:rsid w:val="00B92BEC"/>
    <w:rsid w:val="00B94CBA"/>
    <w:rsid w:val="00BA0C05"/>
    <w:rsid w:val="00BB61E1"/>
    <w:rsid w:val="00BC1838"/>
    <w:rsid w:val="00BC333A"/>
    <w:rsid w:val="00BC4B9F"/>
    <w:rsid w:val="00BC5417"/>
    <w:rsid w:val="00BC7CD3"/>
    <w:rsid w:val="00BF30B2"/>
    <w:rsid w:val="00BF38AB"/>
    <w:rsid w:val="00C06B2B"/>
    <w:rsid w:val="00C078EC"/>
    <w:rsid w:val="00C11AE6"/>
    <w:rsid w:val="00C15625"/>
    <w:rsid w:val="00C15C33"/>
    <w:rsid w:val="00C168E4"/>
    <w:rsid w:val="00C34C52"/>
    <w:rsid w:val="00C42C0C"/>
    <w:rsid w:val="00C446AE"/>
    <w:rsid w:val="00C46FF8"/>
    <w:rsid w:val="00C528C1"/>
    <w:rsid w:val="00C564BF"/>
    <w:rsid w:val="00C57A9A"/>
    <w:rsid w:val="00C57E35"/>
    <w:rsid w:val="00C65BF1"/>
    <w:rsid w:val="00C65C38"/>
    <w:rsid w:val="00C75CF0"/>
    <w:rsid w:val="00C838C3"/>
    <w:rsid w:val="00C860EE"/>
    <w:rsid w:val="00C8692A"/>
    <w:rsid w:val="00C9302A"/>
    <w:rsid w:val="00C97276"/>
    <w:rsid w:val="00CA3123"/>
    <w:rsid w:val="00CB13AC"/>
    <w:rsid w:val="00CB79DA"/>
    <w:rsid w:val="00CC1990"/>
    <w:rsid w:val="00CC3132"/>
    <w:rsid w:val="00CC48E5"/>
    <w:rsid w:val="00CC542B"/>
    <w:rsid w:val="00CC60C5"/>
    <w:rsid w:val="00CC79B1"/>
    <w:rsid w:val="00CD0D4C"/>
    <w:rsid w:val="00CD0FF3"/>
    <w:rsid w:val="00CD1421"/>
    <w:rsid w:val="00CD47F9"/>
    <w:rsid w:val="00CF0011"/>
    <w:rsid w:val="00CF22B2"/>
    <w:rsid w:val="00CF508E"/>
    <w:rsid w:val="00CF6B2C"/>
    <w:rsid w:val="00D05BFA"/>
    <w:rsid w:val="00D061A4"/>
    <w:rsid w:val="00D15545"/>
    <w:rsid w:val="00D22124"/>
    <w:rsid w:val="00D324D7"/>
    <w:rsid w:val="00D33314"/>
    <w:rsid w:val="00D33D6A"/>
    <w:rsid w:val="00D40484"/>
    <w:rsid w:val="00D52526"/>
    <w:rsid w:val="00D53FB3"/>
    <w:rsid w:val="00D544A6"/>
    <w:rsid w:val="00D54617"/>
    <w:rsid w:val="00D63ABB"/>
    <w:rsid w:val="00D64AA8"/>
    <w:rsid w:val="00D66508"/>
    <w:rsid w:val="00D67633"/>
    <w:rsid w:val="00D7023B"/>
    <w:rsid w:val="00D720F5"/>
    <w:rsid w:val="00D74677"/>
    <w:rsid w:val="00D76E8D"/>
    <w:rsid w:val="00D83AEA"/>
    <w:rsid w:val="00D95DBD"/>
    <w:rsid w:val="00D96AB1"/>
    <w:rsid w:val="00DB3C75"/>
    <w:rsid w:val="00DB5317"/>
    <w:rsid w:val="00DB6788"/>
    <w:rsid w:val="00DD0ED7"/>
    <w:rsid w:val="00DD17D3"/>
    <w:rsid w:val="00DD1EB2"/>
    <w:rsid w:val="00DD79A2"/>
    <w:rsid w:val="00DE37BC"/>
    <w:rsid w:val="00DF1278"/>
    <w:rsid w:val="00DF7890"/>
    <w:rsid w:val="00E000FC"/>
    <w:rsid w:val="00E07D4C"/>
    <w:rsid w:val="00E11F11"/>
    <w:rsid w:val="00E15ABE"/>
    <w:rsid w:val="00E17ECB"/>
    <w:rsid w:val="00E21ABE"/>
    <w:rsid w:val="00E241AB"/>
    <w:rsid w:val="00E24ADA"/>
    <w:rsid w:val="00E256A9"/>
    <w:rsid w:val="00E40C58"/>
    <w:rsid w:val="00E4659C"/>
    <w:rsid w:val="00E47DA7"/>
    <w:rsid w:val="00E5592F"/>
    <w:rsid w:val="00E72A42"/>
    <w:rsid w:val="00E75CC7"/>
    <w:rsid w:val="00E842D8"/>
    <w:rsid w:val="00E97C1A"/>
    <w:rsid w:val="00EA7B86"/>
    <w:rsid w:val="00EB2D22"/>
    <w:rsid w:val="00EB73C9"/>
    <w:rsid w:val="00ED1F16"/>
    <w:rsid w:val="00ED2B60"/>
    <w:rsid w:val="00ED5738"/>
    <w:rsid w:val="00EE3A45"/>
    <w:rsid w:val="00EE4CC8"/>
    <w:rsid w:val="00EE7A0D"/>
    <w:rsid w:val="00EF5A58"/>
    <w:rsid w:val="00F01CB4"/>
    <w:rsid w:val="00F054AF"/>
    <w:rsid w:val="00F063A0"/>
    <w:rsid w:val="00F078CC"/>
    <w:rsid w:val="00F129FE"/>
    <w:rsid w:val="00F145ED"/>
    <w:rsid w:val="00F16B43"/>
    <w:rsid w:val="00F17AF3"/>
    <w:rsid w:val="00F17C26"/>
    <w:rsid w:val="00F32D14"/>
    <w:rsid w:val="00F437AA"/>
    <w:rsid w:val="00F45358"/>
    <w:rsid w:val="00F512F2"/>
    <w:rsid w:val="00F558EA"/>
    <w:rsid w:val="00FB29B4"/>
    <w:rsid w:val="00FC239B"/>
    <w:rsid w:val="00FC2842"/>
    <w:rsid w:val="00FC4430"/>
    <w:rsid w:val="00FD03AC"/>
    <w:rsid w:val="00FD343C"/>
    <w:rsid w:val="00FD3862"/>
    <w:rsid w:val="00FE482C"/>
    <w:rsid w:val="00FE7E6F"/>
    <w:rsid w:val="00FF0586"/>
    <w:rsid w:val="00FF5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4801B8A"/>
  <w15:docId w15:val="{5724B364-F041-430C-BA52-B0D4010A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006"/>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6C3006"/>
    <w:pPr>
      <w:keepNext/>
      <w:keepLines/>
      <w:numPr>
        <w:numId w:val="1"/>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6C3006"/>
    <w:pPr>
      <w:keepNext/>
      <w:keepLines/>
      <w:numPr>
        <w:ilvl w:val="1"/>
        <w:numId w:val="1"/>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6C3006"/>
    <w:pPr>
      <w:keepNext/>
      <w:keepLines/>
      <w:numPr>
        <w:ilvl w:val="2"/>
        <w:numId w:val="1"/>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6C3006"/>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6C3006"/>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6C3006"/>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6C3006"/>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6C3006"/>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6C3006"/>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006"/>
    <w:rPr>
      <w:rFonts w:ascii="Trebuchet MS" w:hAnsi="Trebuchet MS"/>
      <w:bCs/>
      <w:caps/>
      <w:sz w:val="36"/>
      <w:szCs w:val="28"/>
    </w:rPr>
  </w:style>
  <w:style w:type="character" w:customStyle="1" w:styleId="Heading2Char">
    <w:name w:val="Heading 2 Char"/>
    <w:basedOn w:val="DefaultParagraphFont"/>
    <w:link w:val="Heading2"/>
    <w:uiPriority w:val="9"/>
    <w:rsid w:val="006C3006"/>
    <w:rPr>
      <w:rFonts w:ascii="Trebuchet MS" w:hAnsi="Trebuchet MS"/>
      <w:caps/>
      <w:sz w:val="32"/>
      <w:szCs w:val="26"/>
    </w:rPr>
  </w:style>
  <w:style w:type="character" w:customStyle="1" w:styleId="Heading3Char">
    <w:name w:val="Heading 3 Char"/>
    <w:basedOn w:val="DefaultParagraphFont"/>
    <w:link w:val="Heading3"/>
    <w:uiPriority w:val="9"/>
    <w:rsid w:val="006C3006"/>
    <w:rPr>
      <w:rFonts w:ascii="Trebuchet MS" w:hAnsi="Trebuchet MS"/>
      <w:bCs/>
      <w:sz w:val="32"/>
    </w:rPr>
  </w:style>
  <w:style w:type="character" w:customStyle="1" w:styleId="Heading4Char">
    <w:name w:val="Heading 4 Char"/>
    <w:basedOn w:val="DefaultParagraphFont"/>
    <w:link w:val="Heading4"/>
    <w:uiPriority w:val="9"/>
    <w:rsid w:val="006C3006"/>
    <w:rPr>
      <w:rFonts w:ascii="Trebuchet MS" w:hAnsi="Trebuchet MS"/>
      <w:caps/>
      <w:sz w:val="28"/>
    </w:rPr>
  </w:style>
  <w:style w:type="character" w:customStyle="1" w:styleId="Heading5Char">
    <w:name w:val="Heading 5 Char"/>
    <w:basedOn w:val="DefaultParagraphFont"/>
    <w:link w:val="Heading5"/>
    <w:uiPriority w:val="9"/>
    <w:rsid w:val="006C3006"/>
    <w:rPr>
      <w:rFonts w:ascii="Trebuchet MS" w:hAnsi="Trebuchet MS"/>
      <w:sz w:val="24"/>
      <w:szCs w:val="26"/>
    </w:rPr>
  </w:style>
  <w:style w:type="paragraph" w:styleId="BodyText">
    <w:name w:val="Body Text"/>
    <w:aliases w:val="Char Char Char Char Char Char Char Char Char Char Char Char Char Char Char,Char Char Char Char Char,Body Text Char1,Body Text Char Char,bt Char,Body Text Char Char1 Char,(ALT+B),Body Text1,(ALT+B) Char Char1,Char Char,Body Text Char1 Char Char"/>
    <w:basedOn w:val="Normal"/>
    <w:link w:val="BodyTextChar"/>
    <w:rsid w:val="006C3006"/>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bt Char Char,Body Text Char Char1 Char Char,(ALT+B) Char,Body Text1 Char"/>
    <w:basedOn w:val="DefaultParagraphFont"/>
    <w:link w:val="BodyText"/>
    <w:rsid w:val="006C3006"/>
    <w:rPr>
      <w:rFonts w:ascii="Segoe UI Semilight" w:hAnsi="Segoe UI Semilight"/>
      <w:sz w:val="20"/>
    </w:rPr>
  </w:style>
  <w:style w:type="paragraph" w:customStyle="1" w:styleId="Bullet1">
    <w:name w:val="Bullet 1"/>
    <w:basedOn w:val="Normal"/>
    <w:qFormat/>
    <w:rsid w:val="006C3006"/>
    <w:pPr>
      <w:numPr>
        <w:numId w:val="2"/>
      </w:numPr>
      <w:spacing w:after="120"/>
    </w:pPr>
    <w:rPr>
      <w:bCs/>
    </w:rPr>
  </w:style>
  <w:style w:type="paragraph" w:styleId="Footer">
    <w:name w:val="footer"/>
    <w:basedOn w:val="Normal"/>
    <w:link w:val="FooterChar"/>
    <w:uiPriority w:val="99"/>
    <w:rsid w:val="006C3006"/>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6C3006"/>
    <w:rPr>
      <w:rFonts w:ascii="Segoe UI Semilight" w:hAnsi="Segoe UI Semilight"/>
      <w:color w:val="404040" w:themeColor="text1" w:themeTint="BF"/>
      <w:w w:val="90"/>
      <w:sz w:val="18"/>
    </w:rPr>
  </w:style>
  <w:style w:type="paragraph" w:styleId="Header">
    <w:name w:val="header"/>
    <w:basedOn w:val="Normal"/>
    <w:link w:val="HeaderChar"/>
    <w:uiPriority w:val="99"/>
    <w:rsid w:val="006C3006"/>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6C3006"/>
    <w:rPr>
      <w:rFonts w:ascii="Segoe UI Semilight" w:hAnsi="Segoe UI Semilight"/>
      <w:color w:val="404040" w:themeColor="text1" w:themeTint="BF"/>
      <w:w w:val="90"/>
      <w:sz w:val="18"/>
    </w:rPr>
  </w:style>
  <w:style w:type="paragraph" w:customStyle="1" w:styleId="TableSource">
    <w:name w:val="TableSource"/>
    <w:basedOn w:val="Normal"/>
    <w:qFormat/>
    <w:rsid w:val="006C3006"/>
    <w:pPr>
      <w:spacing w:after="120"/>
    </w:pPr>
    <w:rPr>
      <w:bCs/>
      <w:color w:val="262626" w:themeColor="text1" w:themeTint="D9"/>
      <w:sz w:val="16"/>
    </w:rPr>
  </w:style>
  <w:style w:type="paragraph" w:customStyle="1" w:styleId="TableTextL">
    <w:name w:val="TableTextL"/>
    <w:basedOn w:val="TableText"/>
    <w:qFormat/>
    <w:rsid w:val="006C3006"/>
    <w:pPr>
      <w:jc w:val="left"/>
    </w:pPr>
  </w:style>
  <w:style w:type="character" w:styleId="CommentReference">
    <w:name w:val="annotation reference"/>
    <w:basedOn w:val="DefaultParagraphFont"/>
    <w:uiPriority w:val="99"/>
    <w:unhideWhenUsed/>
    <w:rsid w:val="009A78A2"/>
    <w:rPr>
      <w:sz w:val="16"/>
      <w:szCs w:val="16"/>
    </w:rPr>
  </w:style>
  <w:style w:type="paragraph" w:styleId="CommentText">
    <w:name w:val="annotation text"/>
    <w:basedOn w:val="Normal"/>
    <w:link w:val="CommentTextChar"/>
    <w:uiPriority w:val="99"/>
    <w:unhideWhenUsed/>
    <w:rsid w:val="009A78A2"/>
    <w:rPr>
      <w:szCs w:val="20"/>
    </w:rPr>
  </w:style>
  <w:style w:type="character" w:customStyle="1" w:styleId="CommentTextChar">
    <w:name w:val="Comment Text Char"/>
    <w:basedOn w:val="DefaultParagraphFont"/>
    <w:link w:val="CommentText"/>
    <w:uiPriority w:val="99"/>
    <w:rsid w:val="009A78A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6968"/>
    <w:rPr>
      <w:b/>
      <w:bCs/>
    </w:rPr>
  </w:style>
  <w:style w:type="character" w:customStyle="1" w:styleId="CommentSubjectChar">
    <w:name w:val="Comment Subject Char"/>
    <w:basedOn w:val="CommentTextChar"/>
    <w:link w:val="CommentSubject"/>
    <w:uiPriority w:val="99"/>
    <w:semiHidden/>
    <w:rsid w:val="00286968"/>
    <w:rPr>
      <w:rFonts w:ascii="Calibri" w:eastAsia="Times New Roman" w:hAnsi="Calibri" w:cs="Times New Roman"/>
      <w:b/>
      <w:bCs/>
      <w:sz w:val="20"/>
      <w:szCs w:val="20"/>
    </w:rPr>
  </w:style>
  <w:style w:type="paragraph" w:styleId="Revision">
    <w:name w:val="Revision"/>
    <w:hidden/>
    <w:uiPriority w:val="99"/>
    <w:semiHidden/>
    <w:rsid w:val="0086493E"/>
    <w:pPr>
      <w:spacing w:after="0" w:line="240" w:lineRule="auto"/>
    </w:pPr>
    <w:rPr>
      <w:rFonts w:ascii="Calibri" w:eastAsia="Times New Roman" w:hAnsi="Calibri" w:cs="Times New Roman"/>
      <w:szCs w:val="24"/>
    </w:rPr>
  </w:style>
  <w:style w:type="character" w:customStyle="1" w:styleId="Heading6Char">
    <w:name w:val="Heading 6 Char"/>
    <w:basedOn w:val="DefaultParagraphFont"/>
    <w:link w:val="Heading6"/>
    <w:uiPriority w:val="9"/>
    <w:rsid w:val="006C3006"/>
    <w:rPr>
      <w:rFonts w:ascii="Trebuchet MS" w:hAnsi="Trebuchet MS"/>
      <w:iCs/>
      <w:sz w:val="20"/>
      <w:u w:val="single"/>
    </w:rPr>
  </w:style>
  <w:style w:type="character" w:customStyle="1" w:styleId="Heading7Char">
    <w:name w:val="Heading 7 Char"/>
    <w:basedOn w:val="DefaultParagraphFont"/>
    <w:link w:val="Heading7"/>
    <w:uiPriority w:val="9"/>
    <w:rsid w:val="006C3006"/>
    <w:rPr>
      <w:rFonts w:ascii="Trebuchet MS" w:hAnsi="Trebuchet MS"/>
      <w:sz w:val="20"/>
    </w:rPr>
  </w:style>
  <w:style w:type="character" w:customStyle="1" w:styleId="Heading8Char">
    <w:name w:val="Heading 8 Char"/>
    <w:basedOn w:val="DefaultParagraphFont"/>
    <w:link w:val="Heading8"/>
    <w:uiPriority w:val="9"/>
    <w:rsid w:val="006C3006"/>
    <w:rPr>
      <w:rFonts w:ascii="Trebuchet MS" w:hAnsi="Trebuchet MS"/>
      <w:sz w:val="20"/>
      <w:szCs w:val="20"/>
    </w:rPr>
  </w:style>
  <w:style w:type="character" w:customStyle="1" w:styleId="Heading9Char">
    <w:name w:val="Heading 9 Char"/>
    <w:basedOn w:val="DefaultParagraphFont"/>
    <w:link w:val="Heading9"/>
    <w:uiPriority w:val="9"/>
    <w:rsid w:val="006C3006"/>
    <w:rPr>
      <w:rFonts w:ascii="Trebuchet MS" w:hAnsi="Trebuchet MS"/>
      <w:iCs/>
      <w:sz w:val="20"/>
      <w:szCs w:val="20"/>
    </w:rPr>
  </w:style>
  <w:style w:type="paragraph" w:customStyle="1" w:styleId="Bullet2">
    <w:name w:val="Bullet 2"/>
    <w:basedOn w:val="Normal"/>
    <w:qFormat/>
    <w:rsid w:val="006C3006"/>
    <w:pPr>
      <w:numPr>
        <w:numId w:val="5"/>
      </w:numPr>
      <w:spacing w:after="120"/>
    </w:pPr>
    <w:rPr>
      <w:bCs/>
    </w:rPr>
  </w:style>
  <w:style w:type="paragraph" w:customStyle="1" w:styleId="Bullet3">
    <w:name w:val="Bullet 3"/>
    <w:basedOn w:val="Normal"/>
    <w:qFormat/>
    <w:rsid w:val="006C3006"/>
    <w:pPr>
      <w:numPr>
        <w:numId w:val="6"/>
      </w:numPr>
      <w:tabs>
        <w:tab w:val="left" w:pos="1080"/>
      </w:tabs>
      <w:spacing w:after="120"/>
    </w:pPr>
    <w:rPr>
      <w:rFonts w:eastAsia="Calibri"/>
      <w:bCs/>
      <w:noProof/>
    </w:rPr>
  </w:style>
  <w:style w:type="paragraph" w:customStyle="1" w:styleId="FooterLandscape">
    <w:name w:val="Footer_Landscape"/>
    <w:basedOn w:val="Footer"/>
    <w:qFormat/>
    <w:rsid w:val="006C3006"/>
    <w:pPr>
      <w:tabs>
        <w:tab w:val="clear" w:pos="10080"/>
        <w:tab w:val="right" w:pos="13680"/>
      </w:tabs>
    </w:pPr>
  </w:style>
  <w:style w:type="paragraph" w:customStyle="1" w:styleId="footnote">
    <w:name w:val="footnote"/>
    <w:basedOn w:val="Normal"/>
    <w:qFormat/>
    <w:rsid w:val="006C3006"/>
    <w:pPr>
      <w:ind w:left="180" w:hanging="180"/>
    </w:pPr>
    <w:rPr>
      <w:bCs/>
      <w:sz w:val="16"/>
    </w:rPr>
  </w:style>
  <w:style w:type="paragraph" w:customStyle="1" w:styleId="footnoteref">
    <w:name w:val="footnoteref"/>
    <w:basedOn w:val="Normal"/>
    <w:qFormat/>
    <w:rsid w:val="006C3006"/>
    <w:pPr>
      <w:ind w:left="180" w:hanging="180"/>
    </w:pPr>
    <w:rPr>
      <w:bCs/>
      <w:sz w:val="16"/>
      <w:vertAlign w:val="superscript"/>
    </w:rPr>
  </w:style>
  <w:style w:type="paragraph" w:customStyle="1" w:styleId="HeaderLandscape">
    <w:name w:val="Header_Landscape"/>
    <w:basedOn w:val="Header"/>
    <w:qFormat/>
    <w:rsid w:val="006C3006"/>
    <w:pPr>
      <w:tabs>
        <w:tab w:val="clear" w:pos="5040"/>
        <w:tab w:val="clear" w:pos="10080"/>
        <w:tab w:val="center" w:pos="6840"/>
        <w:tab w:val="right" w:pos="13680"/>
      </w:tabs>
    </w:pPr>
  </w:style>
  <w:style w:type="character" w:styleId="Hyperlink">
    <w:name w:val="Hyperlink"/>
    <w:basedOn w:val="DefaultParagraphFont"/>
    <w:uiPriority w:val="99"/>
    <w:unhideWhenUsed/>
    <w:rsid w:val="006C3006"/>
    <w:rPr>
      <w:color w:val="auto"/>
      <w:u w:val="none"/>
    </w:rPr>
  </w:style>
  <w:style w:type="paragraph" w:customStyle="1" w:styleId="Impactdescription">
    <w:name w:val="Impact description"/>
    <w:basedOn w:val="BodyText"/>
    <w:link w:val="ImpactdescriptionChar"/>
    <w:rsid w:val="006C3006"/>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6C3006"/>
  </w:style>
  <w:style w:type="character" w:customStyle="1" w:styleId="ImpactNoChar">
    <w:name w:val="Impact_No. Char"/>
    <w:basedOn w:val="BodyTextChar"/>
    <w:link w:val="ImpactNo"/>
    <w:rsid w:val="006C3006"/>
    <w:rPr>
      <w:rFonts w:ascii="Trebuchet MS" w:hAnsi="Trebuchet MS"/>
      <w:sz w:val="24"/>
      <w:szCs w:val="26"/>
    </w:rPr>
  </w:style>
  <w:style w:type="paragraph" w:customStyle="1" w:styleId="Mitigationtitle">
    <w:name w:val="Mitigation title"/>
    <w:basedOn w:val="Heading5"/>
    <w:rsid w:val="006C3006"/>
    <w:rPr>
      <w:rFonts w:ascii="Segoe UI Semilight" w:eastAsia="Calibri" w:hAnsi="Segoe UI Semilight"/>
      <w:b/>
      <w:w w:val="90"/>
      <w:sz w:val="22"/>
    </w:rPr>
  </w:style>
  <w:style w:type="paragraph" w:customStyle="1" w:styleId="MMBullet2">
    <w:name w:val="MM Bullet 2"/>
    <w:basedOn w:val="Bullet2"/>
    <w:qFormat/>
    <w:rsid w:val="006C3006"/>
    <w:pPr>
      <w:numPr>
        <w:numId w:val="23"/>
      </w:numPr>
    </w:pPr>
  </w:style>
  <w:style w:type="paragraph" w:customStyle="1" w:styleId="Mitigationtext">
    <w:name w:val="Mitigation text"/>
    <w:basedOn w:val="BodyText"/>
    <w:qFormat/>
    <w:rsid w:val="006C3006"/>
    <w:pPr>
      <w:spacing w:before="60"/>
    </w:pPr>
    <w:rPr>
      <w:spacing w:val="-2"/>
    </w:rPr>
  </w:style>
  <w:style w:type="paragraph" w:customStyle="1" w:styleId="MMBullet1">
    <w:name w:val="MM Bullet 1"/>
    <w:basedOn w:val="Mitigationtext"/>
    <w:qFormat/>
    <w:rsid w:val="006C3006"/>
    <w:pPr>
      <w:numPr>
        <w:numId w:val="9"/>
      </w:numPr>
      <w:spacing w:before="0"/>
    </w:pPr>
  </w:style>
  <w:style w:type="paragraph" w:customStyle="1" w:styleId="TableColumn">
    <w:name w:val="TableColumn"/>
    <w:basedOn w:val="BodyText"/>
    <w:qFormat/>
    <w:rsid w:val="006C3006"/>
    <w:pPr>
      <w:spacing w:after="0"/>
      <w:jc w:val="center"/>
    </w:pPr>
    <w:rPr>
      <w:b/>
      <w:spacing w:val="-4"/>
      <w:w w:val="95"/>
      <w:sz w:val="18"/>
    </w:rPr>
  </w:style>
  <w:style w:type="paragraph" w:customStyle="1" w:styleId="TableBullet1">
    <w:name w:val="Table Bullet 1"/>
    <w:basedOn w:val="Normal"/>
    <w:qFormat/>
    <w:rsid w:val="006C3006"/>
    <w:pPr>
      <w:numPr>
        <w:numId w:val="8"/>
      </w:numPr>
      <w:spacing w:after="60"/>
      <w:ind w:left="187" w:hanging="187"/>
    </w:pPr>
    <w:rPr>
      <w:bCs/>
      <w:w w:val="80"/>
    </w:rPr>
  </w:style>
  <w:style w:type="paragraph" w:customStyle="1" w:styleId="TableHeader">
    <w:name w:val="TableHeader"/>
    <w:basedOn w:val="Normal"/>
    <w:qFormat/>
    <w:rsid w:val="006C3006"/>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6C3006"/>
    <w:pPr>
      <w:spacing w:line="240" w:lineRule="exact"/>
      <w:jc w:val="center"/>
    </w:pPr>
    <w:rPr>
      <w:w w:val="90"/>
      <w:sz w:val="18"/>
      <w:szCs w:val="20"/>
    </w:rPr>
  </w:style>
  <w:style w:type="paragraph" w:customStyle="1" w:styleId="TableRow">
    <w:name w:val="TableRow"/>
    <w:basedOn w:val="Normal"/>
    <w:qFormat/>
    <w:rsid w:val="006C3006"/>
    <w:rPr>
      <w:b/>
      <w:bCs/>
      <w:sz w:val="18"/>
    </w:rPr>
  </w:style>
  <w:style w:type="paragraph" w:styleId="TOC1">
    <w:name w:val="toc 1"/>
    <w:basedOn w:val="Normal"/>
    <w:next w:val="Normal"/>
    <w:autoRedefine/>
    <w:uiPriority w:val="39"/>
    <w:unhideWhenUsed/>
    <w:rsid w:val="006C3006"/>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6C3006"/>
    <w:pPr>
      <w:tabs>
        <w:tab w:val="right" w:leader="dot" w:pos="10080"/>
      </w:tabs>
      <w:ind w:left="1440" w:right="720" w:hanging="720"/>
    </w:pPr>
  </w:style>
  <w:style w:type="paragraph" w:styleId="TOC3">
    <w:name w:val="toc 3"/>
    <w:basedOn w:val="Normal"/>
    <w:next w:val="Normal"/>
    <w:autoRedefine/>
    <w:uiPriority w:val="39"/>
    <w:unhideWhenUsed/>
    <w:rsid w:val="006C3006"/>
    <w:pPr>
      <w:tabs>
        <w:tab w:val="right" w:leader="dot" w:pos="10080"/>
      </w:tabs>
      <w:ind w:left="2160" w:right="720" w:hanging="720"/>
    </w:pPr>
  </w:style>
  <w:style w:type="paragraph" w:styleId="TOC4">
    <w:name w:val="toc 4"/>
    <w:basedOn w:val="Normal"/>
    <w:next w:val="Normal"/>
    <w:autoRedefine/>
    <w:uiPriority w:val="39"/>
    <w:rsid w:val="006C3006"/>
    <w:pPr>
      <w:tabs>
        <w:tab w:val="right" w:leader="dot" w:pos="10080"/>
      </w:tabs>
      <w:spacing w:after="100"/>
      <w:ind w:left="1440" w:right="720" w:hanging="1440"/>
    </w:pPr>
  </w:style>
  <w:style w:type="paragraph" w:styleId="TOC5">
    <w:name w:val="toc 5"/>
    <w:basedOn w:val="Normal"/>
    <w:next w:val="Normal"/>
    <w:autoRedefine/>
    <w:uiPriority w:val="39"/>
    <w:rsid w:val="006C3006"/>
    <w:pPr>
      <w:tabs>
        <w:tab w:val="right" w:leader="dot" w:pos="10080"/>
      </w:tabs>
      <w:spacing w:after="100"/>
      <w:ind w:left="720" w:hanging="720"/>
    </w:pPr>
  </w:style>
  <w:style w:type="paragraph" w:customStyle="1" w:styleId="TOCHEAD">
    <w:name w:val="TOCHEAD"/>
    <w:basedOn w:val="Heading1"/>
    <w:qFormat/>
    <w:rsid w:val="006C3006"/>
    <w:pPr>
      <w:numPr>
        <w:numId w:val="0"/>
      </w:numPr>
    </w:pPr>
  </w:style>
  <w:style w:type="paragraph" w:customStyle="1" w:styleId="TableBullet2">
    <w:name w:val="Table Bullet 2"/>
    <w:basedOn w:val="TableBullet1"/>
    <w:qFormat/>
    <w:rsid w:val="006C3006"/>
    <w:pPr>
      <w:numPr>
        <w:numId w:val="10"/>
      </w:numPr>
      <w:ind w:left="374" w:hanging="187"/>
    </w:pPr>
  </w:style>
  <w:style w:type="paragraph" w:customStyle="1" w:styleId="MMBullet3">
    <w:name w:val="MM Bullet 3"/>
    <w:basedOn w:val="BodyText"/>
    <w:qFormat/>
    <w:rsid w:val="006C3006"/>
    <w:pPr>
      <w:numPr>
        <w:numId w:val="11"/>
      </w:numPr>
    </w:pPr>
  </w:style>
  <w:style w:type="character" w:customStyle="1" w:styleId="ImpactdescriptionChar">
    <w:name w:val="Impact description Char"/>
    <w:basedOn w:val="DefaultParagraphFont"/>
    <w:link w:val="Impactdescription"/>
    <w:rsid w:val="006C3006"/>
    <w:rPr>
      <w:rFonts w:ascii="Segoe UI Semilight" w:hAnsi="Segoe UI Semilight"/>
      <w:sz w:val="20"/>
    </w:rPr>
  </w:style>
  <w:style w:type="paragraph" w:customStyle="1" w:styleId="Header11x17">
    <w:name w:val="Header_11x17"/>
    <w:basedOn w:val="Header"/>
    <w:qFormat/>
    <w:rsid w:val="006C3006"/>
    <w:pPr>
      <w:tabs>
        <w:tab w:val="clear" w:pos="5040"/>
        <w:tab w:val="clear" w:pos="10080"/>
        <w:tab w:val="center" w:pos="11160"/>
        <w:tab w:val="right" w:pos="22320"/>
      </w:tabs>
    </w:pPr>
  </w:style>
  <w:style w:type="paragraph" w:customStyle="1" w:styleId="Footer11x17">
    <w:name w:val="Footer_11x17"/>
    <w:basedOn w:val="Footer"/>
    <w:qFormat/>
    <w:rsid w:val="006C3006"/>
    <w:pPr>
      <w:tabs>
        <w:tab w:val="clear" w:pos="10080"/>
        <w:tab w:val="right" w:pos="22320"/>
      </w:tabs>
    </w:pPr>
  </w:style>
  <w:style w:type="paragraph" w:customStyle="1" w:styleId="BodyText12ptbefore">
    <w:name w:val="Body Text_12pt before"/>
    <w:basedOn w:val="BodyText"/>
    <w:qFormat/>
    <w:rsid w:val="006C3006"/>
    <w:pPr>
      <w:spacing w:before="240"/>
    </w:pPr>
  </w:style>
  <w:style w:type="character" w:customStyle="1" w:styleId="PhotoChartChar">
    <w:name w:val="Photo/Chart Char"/>
    <w:basedOn w:val="DefaultParagraphFont"/>
    <w:link w:val="PhotoChart"/>
    <w:rsid w:val="006C3006"/>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6C3006"/>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6C3006"/>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6C3006"/>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C3006"/>
    <w:pPr>
      <w:spacing w:after="600"/>
    </w:pPr>
  </w:style>
  <w:style w:type="paragraph" w:customStyle="1" w:styleId="PhotoChartPortraitDoubleLine">
    <w:name w:val="Photo/Chart Portrait Double Line"/>
    <w:basedOn w:val="Normal"/>
    <w:qFormat/>
    <w:rsid w:val="006C3006"/>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6C3006"/>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C3006"/>
    <w:pPr>
      <w:ind w:left="1683"/>
    </w:pPr>
  </w:style>
  <w:style w:type="paragraph" w:customStyle="1" w:styleId="Figure">
    <w:name w:val="Figure"/>
    <w:basedOn w:val="Normal"/>
    <w:qFormat/>
    <w:rsid w:val="006C3006"/>
    <w:pPr>
      <w:keepNext/>
      <w:jc w:val="center"/>
    </w:pPr>
  </w:style>
  <w:style w:type="paragraph" w:customStyle="1" w:styleId="FigureSource">
    <w:name w:val="FigureSource"/>
    <w:basedOn w:val="Normal"/>
    <w:qFormat/>
    <w:rsid w:val="006C3006"/>
    <w:pPr>
      <w:keepNext/>
      <w:spacing w:after="120"/>
    </w:pPr>
    <w:rPr>
      <w:sz w:val="16"/>
    </w:rPr>
  </w:style>
  <w:style w:type="paragraph" w:customStyle="1" w:styleId="FigureTitle">
    <w:name w:val="FigureTitle"/>
    <w:basedOn w:val="Normal"/>
    <w:qFormat/>
    <w:rsid w:val="006C3006"/>
    <w:pPr>
      <w:spacing w:before="360"/>
    </w:pPr>
    <w:rPr>
      <w:b/>
    </w:rPr>
  </w:style>
  <w:style w:type="paragraph" w:styleId="BalloonText">
    <w:name w:val="Balloon Text"/>
    <w:basedOn w:val="Normal"/>
    <w:link w:val="BalloonTextChar"/>
    <w:uiPriority w:val="99"/>
    <w:semiHidden/>
    <w:unhideWhenUsed/>
    <w:rsid w:val="00937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0D9"/>
    <w:rPr>
      <w:rFonts w:ascii="Segoe UI" w:hAnsi="Segoe UI" w:cs="Segoe UI"/>
      <w:sz w:val="18"/>
      <w:szCs w:val="18"/>
    </w:rPr>
  </w:style>
  <w:style w:type="paragraph" w:customStyle="1" w:styleId="Default">
    <w:name w:val="Default"/>
    <w:rsid w:val="005E196C"/>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4B95-B236-4B65-912A-F5FE88BE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2722</Words>
  <Characters>15520</Characters>
  <Application>Microsoft Office Word</Application>
  <DocSecurity>8</DocSecurity>
  <PresentationFormat/>
  <Lines>129</Lines>
  <Paragraphs>36</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3</cp:revision>
  <dcterms:created xsi:type="dcterms:W3CDTF">2019-11-25T20:17:00Z</dcterms:created>
  <dcterms:modified xsi:type="dcterms:W3CDTF">2019-11-27T16:55:00Z</dcterms:modified>
</cp:coreProperties>
</file>