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3159C" w14:textId="77777777" w:rsidR="00BF396B" w:rsidRDefault="00BF396B" w:rsidP="00BF396B">
      <w:pPr>
        <w:rPr>
          <w:color w:val="FFFFFF" w:themeColor="background1"/>
        </w:rPr>
      </w:pPr>
      <w:bookmarkStart w:id="0" w:name="_Toc11759371"/>
      <w:bookmarkStart w:id="1" w:name="_GoBack"/>
      <w:bookmarkEnd w:id="1"/>
      <w:r>
        <w:rPr>
          <w:color w:val="FFFFFF" w:themeColor="background1"/>
        </w:rPr>
        <w:t>Please adjust your screen reader settings to recognize underline and strikethrough text.</w:t>
      </w:r>
    </w:p>
    <w:p w14:paraId="46062226" w14:textId="5B34087F" w:rsidR="00BE2039" w:rsidRPr="00D51351" w:rsidRDefault="001C6FE1" w:rsidP="001C6FE1">
      <w:pPr>
        <w:pStyle w:val="Heading2"/>
      </w:pPr>
      <w:r w:rsidRPr="00D51351">
        <w:t>Public Services, Utilities, and Service Systems</w:t>
      </w:r>
      <w:bookmarkEnd w:id="0"/>
    </w:p>
    <w:p w14:paraId="11220315" w14:textId="3F3675C7" w:rsidR="00083952" w:rsidRDefault="00083952" w:rsidP="00280731">
      <w:pPr>
        <w:pStyle w:val="BodyText"/>
      </w:pPr>
      <w:r w:rsidRPr="00D51351">
        <w:t>This section describes existing public services, utilities, and service systems within the treatable landscape. The analysis includes a description of the existing environmental conditions</w:t>
      </w:r>
      <w:r w:rsidR="00280731">
        <w:t xml:space="preserve"> </w:t>
      </w:r>
      <w:r w:rsidR="00280731">
        <w:rPr>
          <w:spacing w:val="-2"/>
        </w:rPr>
        <w:t>including applicable regulatory requirements</w:t>
      </w:r>
      <w:r w:rsidRPr="00D51351">
        <w:t xml:space="preserve">, the methods used for assessment, and the potential direct and indirect impacts of </w:t>
      </w:r>
      <w:r w:rsidR="00280731">
        <w:t>program</w:t>
      </w:r>
      <w:r w:rsidR="00280731" w:rsidRPr="00D51351">
        <w:t xml:space="preserve"> </w:t>
      </w:r>
      <w:r w:rsidRPr="00D51351">
        <w:t xml:space="preserve">implementation on </w:t>
      </w:r>
      <w:r w:rsidR="00D51351" w:rsidRPr="00D51351">
        <w:t>public services, utilities, and service systems</w:t>
      </w:r>
      <w:r w:rsidRPr="00D51351">
        <w:t>.</w:t>
      </w:r>
      <w:r>
        <w:t xml:space="preserve"> </w:t>
      </w:r>
    </w:p>
    <w:p w14:paraId="021AC81C" w14:textId="1DFC1A00" w:rsidR="00280731" w:rsidRDefault="00280731" w:rsidP="00267757">
      <w:pPr>
        <w:pStyle w:val="BodyText"/>
      </w:pPr>
      <w:r>
        <w:t xml:space="preserve">No comments received on the Notice of Preparation were related to </w:t>
      </w:r>
      <w:r w:rsidRPr="00D51351">
        <w:t>public services</w:t>
      </w:r>
      <w:r w:rsidR="009F307E">
        <w:t xml:space="preserve">. Comments on the </w:t>
      </w:r>
      <w:r w:rsidR="005C441F">
        <w:t>Notice of Preparation</w:t>
      </w:r>
      <w:r w:rsidR="009F307E">
        <w:t xml:space="preserve"> related to utilities and service systems </w:t>
      </w:r>
      <w:r w:rsidR="009F307E" w:rsidRPr="009F307E">
        <w:t xml:space="preserve">noted that laws to govern the disposal of organic waste are being developed and they will </w:t>
      </w:r>
      <w:r w:rsidR="007C52FD">
        <w:t>prohibit</w:t>
      </w:r>
      <w:r w:rsidR="009F307E" w:rsidRPr="009F307E">
        <w:t xml:space="preserve"> debris from prescribed fires from being taken to landfills</w:t>
      </w:r>
      <w:r w:rsidR="00F66706">
        <w:t xml:space="preserve"> </w:t>
      </w:r>
      <w:r w:rsidRPr="009F307E">
        <w:t>(see Appendix A).</w:t>
      </w:r>
      <w:r w:rsidR="009F307E">
        <w:t xml:space="preserve"> </w:t>
      </w:r>
      <w:r w:rsidR="009F307E" w:rsidRPr="009F307E">
        <w:t>The</w:t>
      </w:r>
      <w:r w:rsidR="00595052">
        <w:t> </w:t>
      </w:r>
      <w:r w:rsidR="009F307E" w:rsidRPr="009F307E">
        <w:t>disposal of solid organic</w:t>
      </w:r>
      <w:r w:rsidR="009F307E">
        <w:t xml:space="preserve"> waste is addressed in this section. </w:t>
      </w:r>
    </w:p>
    <w:p w14:paraId="5F289792" w14:textId="00C5C5BC" w:rsidR="00DF2BED" w:rsidRDefault="00DF2BED" w:rsidP="00DF2BED">
      <w:pPr>
        <w:pStyle w:val="Heading3"/>
      </w:pPr>
      <w:r>
        <w:t>Environmental Setting</w:t>
      </w:r>
    </w:p>
    <w:p w14:paraId="158A9CF2" w14:textId="7BA6FFB2" w:rsidR="005C746B" w:rsidRPr="00B577E3" w:rsidRDefault="00B577E3" w:rsidP="005C746B">
      <w:pPr>
        <w:pStyle w:val="Heading4"/>
      </w:pPr>
      <w:r w:rsidRPr="00B577E3">
        <w:t>Public Services</w:t>
      </w:r>
    </w:p>
    <w:p w14:paraId="50AC5111" w14:textId="0A39C71F" w:rsidR="00B577E3" w:rsidRPr="004554C0" w:rsidRDefault="004554C0" w:rsidP="004554C0">
      <w:pPr>
        <w:pStyle w:val="Heading5"/>
      </w:pPr>
      <w:r w:rsidRPr="004554C0">
        <w:t>Fire Protection</w:t>
      </w:r>
    </w:p>
    <w:p w14:paraId="3823302E" w14:textId="0B8F812D" w:rsidR="00632CB6" w:rsidRDefault="00632CB6" w:rsidP="00632CB6">
      <w:pPr>
        <w:pStyle w:val="Heading6"/>
      </w:pPr>
      <w:r>
        <w:t>California Department of Forestry and Fire Protection</w:t>
      </w:r>
    </w:p>
    <w:p w14:paraId="65989E57" w14:textId="5AB1081B" w:rsidR="004554C0" w:rsidRDefault="00632CB6" w:rsidP="004554C0">
      <w:pPr>
        <w:pStyle w:val="BodyText"/>
      </w:pPr>
      <w:r>
        <w:t>CAL FIRE</w:t>
      </w:r>
      <w:r w:rsidR="003C34E3">
        <w:t xml:space="preserve"> provides fire protection services to 31 million acres </w:t>
      </w:r>
      <w:r w:rsidR="00822A8E">
        <w:t xml:space="preserve">of privately-owned wildlands within the SRA and provides emergency services to 150 counties, cities, and districts in California through mutual aid agreements. </w:t>
      </w:r>
      <w:r w:rsidR="00546EB7">
        <w:t>CAL</w:t>
      </w:r>
      <w:r w:rsidR="00712678">
        <w:t> </w:t>
      </w:r>
      <w:r w:rsidR="00546EB7">
        <w:t>FIRE</w:t>
      </w:r>
      <w:r w:rsidR="00413967">
        <w:t xml:space="preserve"> maintains 21 operational units </w:t>
      </w:r>
      <w:r w:rsidR="002F3C35">
        <w:t xml:space="preserve">and 812 fire stations </w:t>
      </w:r>
      <w:r w:rsidR="00204550">
        <w:t>that</w:t>
      </w:r>
      <w:r w:rsidR="00413967" w:rsidRPr="00413967">
        <w:t xml:space="preserve"> are </w:t>
      </w:r>
      <w:r w:rsidR="00040A80">
        <w:t xml:space="preserve">each </w:t>
      </w:r>
      <w:r w:rsidR="00413967" w:rsidRPr="00413967">
        <w:t xml:space="preserve">designed to address fire suppression over a certain geographic area. Each unit operates within </w:t>
      </w:r>
      <w:r w:rsidR="00040A80">
        <w:t xml:space="preserve">its </w:t>
      </w:r>
      <w:r w:rsidR="00413967" w:rsidRPr="00413967">
        <w:t xml:space="preserve">local jurisdiction and strives to fulfill </w:t>
      </w:r>
      <w:r w:rsidR="00040A80">
        <w:t>CAL FIRE</w:t>
      </w:r>
      <w:r w:rsidR="00D838B0">
        <w:t>’</w:t>
      </w:r>
      <w:r w:rsidR="00413967" w:rsidRPr="00413967">
        <w:t>s mission</w:t>
      </w:r>
      <w:r w:rsidR="00040A80">
        <w:t>,</w:t>
      </w:r>
      <w:r w:rsidR="00413967" w:rsidRPr="00413967">
        <w:t xml:space="preserve"> whether it be responding to all-risk emergencies, participating in fire safety education and educating homeowners on how to keep their property fire safe</w:t>
      </w:r>
      <w:r w:rsidR="00413967">
        <w:t>.</w:t>
      </w:r>
      <w:r w:rsidR="00546EB7">
        <w:t xml:space="preserve"> </w:t>
      </w:r>
      <w:r w:rsidR="00413967">
        <w:t>Staffing levels include</w:t>
      </w:r>
      <w:r w:rsidR="00546EB7">
        <w:t xml:space="preserve"> 5,300 full-time fire professionals, foresters, and administrative employees; 1,783 seasonal firefighters; 2,750 local government volunteer firefighters; 600 volunteers in prevention; and 4,300 </w:t>
      </w:r>
      <w:r w:rsidR="00007415">
        <w:t>inmates</w:t>
      </w:r>
      <w:r w:rsidR="00546EB7">
        <w:t xml:space="preserve"> and wards that currently provide 196 fire </w:t>
      </w:r>
      <w:r w:rsidR="00546EB7" w:rsidRPr="004B75A7">
        <w:t>crews</w:t>
      </w:r>
      <w:r w:rsidR="001E633C" w:rsidRPr="004B75A7">
        <w:t xml:space="preserve"> (CAL FIRE 201</w:t>
      </w:r>
      <w:r w:rsidR="00066900" w:rsidRPr="004B75A7">
        <w:t>9</w:t>
      </w:r>
      <w:r w:rsidR="001E633C" w:rsidRPr="004B75A7">
        <w:t>)</w:t>
      </w:r>
      <w:r w:rsidR="00546EB7" w:rsidRPr="004B75A7">
        <w:t>.</w:t>
      </w:r>
      <w:r w:rsidR="00546EB7">
        <w:t xml:space="preserve"> </w:t>
      </w:r>
    </w:p>
    <w:p w14:paraId="137A58EE" w14:textId="080ED1D8" w:rsidR="003C34E3" w:rsidRPr="005A6CFA" w:rsidRDefault="005A6CFA" w:rsidP="005A6CFA">
      <w:pPr>
        <w:pStyle w:val="Heading6"/>
      </w:pPr>
      <w:r w:rsidRPr="005A6CFA">
        <w:t xml:space="preserve">Local Fire </w:t>
      </w:r>
      <w:r w:rsidR="00B55607">
        <w:t xml:space="preserve">Districts and </w:t>
      </w:r>
      <w:r w:rsidRPr="005A6CFA">
        <w:t>Departments</w:t>
      </w:r>
    </w:p>
    <w:p w14:paraId="260EE583" w14:textId="24727EA1" w:rsidR="005A6CFA" w:rsidRDefault="000C1419" w:rsidP="005A6CFA">
      <w:pPr>
        <w:pStyle w:val="BodyText"/>
      </w:pPr>
      <w:r w:rsidRPr="00353E48">
        <w:t xml:space="preserve">Local fire </w:t>
      </w:r>
      <w:r w:rsidR="00B55607">
        <w:t xml:space="preserve">districts and </w:t>
      </w:r>
      <w:r w:rsidRPr="00353E48">
        <w:t xml:space="preserve">departments </w:t>
      </w:r>
      <w:r w:rsidR="003B1842">
        <w:t xml:space="preserve">provide fire protection and emergency services </w:t>
      </w:r>
      <w:r w:rsidR="00B55607">
        <w:t xml:space="preserve">in the Local Responsibility Area </w:t>
      </w:r>
      <w:r w:rsidR="003B1842">
        <w:t xml:space="preserve">under </w:t>
      </w:r>
      <w:r w:rsidR="0078714A">
        <w:t xml:space="preserve">the </w:t>
      </w:r>
      <w:r w:rsidR="003B1842">
        <w:t xml:space="preserve">jurisdiction </w:t>
      </w:r>
      <w:r w:rsidR="00AD7ECF">
        <w:t xml:space="preserve">of local government entities </w:t>
      </w:r>
      <w:r w:rsidR="003B1842">
        <w:t xml:space="preserve">(i.e., city or county fire departments) </w:t>
      </w:r>
      <w:r w:rsidR="00B55607">
        <w:t>outside of</w:t>
      </w:r>
      <w:r w:rsidR="003B1842">
        <w:t xml:space="preserve"> the SRA.</w:t>
      </w:r>
      <w:r w:rsidR="005C7387">
        <w:t xml:space="preserve"> </w:t>
      </w:r>
      <w:r w:rsidR="00280731">
        <w:t xml:space="preserve">Within the SRA, these local fire </w:t>
      </w:r>
      <w:r w:rsidR="00B55607">
        <w:t xml:space="preserve">districts and </w:t>
      </w:r>
      <w:r w:rsidR="00280731">
        <w:t xml:space="preserve">departments provide fire protection through </w:t>
      </w:r>
      <w:r w:rsidR="00B55607">
        <w:t xml:space="preserve">mutual aid agreements or </w:t>
      </w:r>
      <w:r w:rsidR="00280731">
        <w:t>contracts with CAL FIRE for staff and/or funding resources (these are called contract counties)</w:t>
      </w:r>
      <w:r w:rsidR="005C7387">
        <w:t xml:space="preserve">. </w:t>
      </w:r>
    </w:p>
    <w:p w14:paraId="59C87E5D" w14:textId="57709D09" w:rsidR="006D018F" w:rsidRDefault="00DB3E18" w:rsidP="00C514E2">
      <w:pPr>
        <w:pStyle w:val="Heading5"/>
      </w:pPr>
      <w:r>
        <w:t>Law Enforcement</w:t>
      </w:r>
    </w:p>
    <w:p w14:paraId="17E2800F" w14:textId="21D4CA01" w:rsidR="001A7EF3" w:rsidRDefault="001A7EF3" w:rsidP="00ED745D">
      <w:pPr>
        <w:pStyle w:val="Heading6"/>
      </w:pPr>
      <w:r>
        <w:t>California Department of Forest</w:t>
      </w:r>
      <w:r w:rsidR="00BD374A">
        <w:t>ry and</w:t>
      </w:r>
      <w:r>
        <w:t xml:space="preserve"> </w:t>
      </w:r>
      <w:r w:rsidR="00BD374A">
        <w:t xml:space="preserve">Fire </w:t>
      </w:r>
      <w:r>
        <w:t>Protection</w:t>
      </w:r>
    </w:p>
    <w:p w14:paraId="790E8F0C" w14:textId="2970C51C" w:rsidR="001A7EF3" w:rsidRPr="001A7EF3" w:rsidRDefault="001A7EF3" w:rsidP="001A7EF3">
      <w:pPr>
        <w:pStyle w:val="BodyText"/>
      </w:pPr>
      <w:r>
        <w:t>CAL FIRE</w:t>
      </w:r>
      <w:r w:rsidR="003163FA">
        <w:t xml:space="preserve"> provides enforcement of state fire and forest laws through the employment of over 300 law enforcement officers</w:t>
      </w:r>
      <w:r w:rsidR="00DE3A38">
        <w:t xml:space="preserve">, who are </w:t>
      </w:r>
      <w:r w:rsidR="00DE3A38" w:rsidRPr="00DE3A38">
        <w:t xml:space="preserve">trained and certified in accordance with </w:t>
      </w:r>
      <w:r w:rsidR="00DE3A38">
        <w:t>state standards. D</w:t>
      </w:r>
      <w:r w:rsidR="00413F97">
        <w:t>uties</w:t>
      </w:r>
      <w:r w:rsidR="00DE3A38">
        <w:t xml:space="preserve"> of these officers</w:t>
      </w:r>
      <w:r w:rsidR="00413F97">
        <w:t xml:space="preserve"> include </w:t>
      </w:r>
      <w:r w:rsidR="003163FA" w:rsidRPr="003163FA">
        <w:t>investigating fire causes, interviewing witnesses, issuing citations and setting up surveillance operations</w:t>
      </w:r>
      <w:r w:rsidR="00413F97">
        <w:t>.</w:t>
      </w:r>
      <w:r w:rsidR="00DE3A38">
        <w:t xml:space="preserve"> The officers also provide support to </w:t>
      </w:r>
      <w:r w:rsidR="00413F97">
        <w:t xml:space="preserve">state agencies and </w:t>
      </w:r>
      <w:r w:rsidR="00413F97" w:rsidRPr="00413F97">
        <w:t>local fire and law enforcement</w:t>
      </w:r>
      <w:r w:rsidR="00413F97">
        <w:t xml:space="preserve"> with </w:t>
      </w:r>
      <w:r w:rsidR="00413F97" w:rsidRPr="00413F97">
        <w:t>arson, bomb, fireworks, and fire extinguisher investigations, as well as</w:t>
      </w:r>
      <w:r w:rsidR="00413F97">
        <w:t xml:space="preserve"> the</w:t>
      </w:r>
      <w:r w:rsidR="00413F97" w:rsidRPr="00413F97">
        <w:t xml:space="preserve"> disposal of explosives</w:t>
      </w:r>
      <w:r w:rsidR="00413F97">
        <w:t>.</w:t>
      </w:r>
      <w:r w:rsidR="00267757">
        <w:t xml:space="preserve"> </w:t>
      </w:r>
    </w:p>
    <w:p w14:paraId="3CB9D96B" w14:textId="61F1E4C7" w:rsidR="00F57327" w:rsidRDefault="00A53543" w:rsidP="00ED745D">
      <w:pPr>
        <w:pStyle w:val="Heading6"/>
      </w:pPr>
      <w:r>
        <w:t>California Department of Fish and Wild</w:t>
      </w:r>
      <w:r w:rsidR="004D227E">
        <w:t>life</w:t>
      </w:r>
      <w:r w:rsidR="000163EB">
        <w:t xml:space="preserve"> Officers</w:t>
      </w:r>
    </w:p>
    <w:p w14:paraId="29BF0847" w14:textId="526EADF0" w:rsidR="000163EB" w:rsidRPr="000163EB" w:rsidRDefault="005C325B" w:rsidP="000163EB">
      <w:pPr>
        <w:pStyle w:val="BodyText"/>
      </w:pPr>
      <w:r>
        <w:t xml:space="preserve">The </w:t>
      </w:r>
      <w:r w:rsidR="00111DF1">
        <w:t xml:space="preserve">California Department of Fish and Wildlife officers </w:t>
      </w:r>
      <w:r w:rsidR="0052279C" w:rsidRPr="0052279C">
        <w:t>protect California</w:t>
      </w:r>
      <w:r w:rsidR="00D838B0">
        <w:t>’</w:t>
      </w:r>
      <w:r w:rsidR="0052279C" w:rsidRPr="0052279C">
        <w:t>s diverse resources from poaching and overuse. Wildlife officers investigate reports of violations, collect and preserve evidence, write reports, and testify in court.</w:t>
      </w:r>
      <w:r w:rsidR="006F4010">
        <w:t xml:space="preserve"> </w:t>
      </w:r>
      <w:r w:rsidR="00810E9B">
        <w:t>Wildlife officers a</w:t>
      </w:r>
      <w:r w:rsidR="00810E9B" w:rsidRPr="00810E9B">
        <w:t>re typically assigned to and responsible for enforcing the law in a specific geographical area of the State. They enforce all Fish and Game laws related to hunting, recreational and commercial fishing, trapping, pollution, falconry, and exotic animal laws.</w:t>
      </w:r>
    </w:p>
    <w:p w14:paraId="14228B82" w14:textId="7AC39862" w:rsidR="00DE7A11" w:rsidRDefault="00DE7A11" w:rsidP="00ED745D">
      <w:pPr>
        <w:pStyle w:val="Heading6"/>
      </w:pPr>
      <w:r>
        <w:lastRenderedPageBreak/>
        <w:t>State Park Peace Officers</w:t>
      </w:r>
    </w:p>
    <w:p w14:paraId="176A6A10" w14:textId="3E8CC29E" w:rsidR="00ED745D" w:rsidRPr="00ED745D" w:rsidRDefault="00ED745D" w:rsidP="00ED745D">
      <w:pPr>
        <w:pStyle w:val="BodyText"/>
      </w:pPr>
      <w:r>
        <w:t>State Park Peace Officers (Park Rangers) provide law enforcement services within State park</w:t>
      </w:r>
      <w:r w:rsidR="00700F56">
        <w:t xml:space="preserve"> </w:t>
      </w:r>
      <w:r>
        <w:t xml:space="preserve">land. Pursuant to Penal Code Section 830.02, Park Rangers </w:t>
      </w:r>
      <w:r w:rsidR="009E755B">
        <w:t xml:space="preserve">perform the full range of peace office duties and responsibilities. Duties include </w:t>
      </w:r>
      <w:r w:rsidR="00753772">
        <w:t xml:space="preserve">patrol, issuing citations, writing reports, making physical arrests, conducting investigations, taking command in emergencies, performing search and rescue activities, and providing emergency medical aid. Park Rangers can also </w:t>
      </w:r>
      <w:r w:rsidR="00250E6F">
        <w:t xml:space="preserve">coordinate with </w:t>
      </w:r>
      <w:r w:rsidR="00753772">
        <w:t>other law enforcement and emergency response agencies</w:t>
      </w:r>
      <w:r w:rsidR="000006C7">
        <w:t xml:space="preserve"> </w:t>
      </w:r>
      <w:r w:rsidR="00250E6F">
        <w:t>for additional or specialized support</w:t>
      </w:r>
      <w:r w:rsidR="000006C7">
        <w:t xml:space="preserve">. </w:t>
      </w:r>
    </w:p>
    <w:p w14:paraId="333C7ED3" w14:textId="597D40DE" w:rsidR="003B1842" w:rsidRPr="00330644" w:rsidRDefault="00150232" w:rsidP="00150232">
      <w:pPr>
        <w:pStyle w:val="Heading6"/>
      </w:pPr>
      <w:r w:rsidRPr="00330644">
        <w:t>Local Sheriff and Police</w:t>
      </w:r>
      <w:r w:rsidR="009A14E9" w:rsidRPr="00330644">
        <w:t xml:space="preserve"> Departments</w:t>
      </w:r>
    </w:p>
    <w:p w14:paraId="392208C4" w14:textId="1D6612AB" w:rsidR="00330644" w:rsidRPr="00330644" w:rsidRDefault="00330644" w:rsidP="00130BFE">
      <w:pPr>
        <w:pStyle w:val="BodyText"/>
      </w:pPr>
      <w:r w:rsidRPr="00330644">
        <w:t>Law enforcement services within unincorporated county areas are generally provided by county sheriff</w:t>
      </w:r>
      <w:r w:rsidR="00D838B0">
        <w:t>’</w:t>
      </w:r>
      <w:r w:rsidRPr="00330644">
        <w:t>s departments</w:t>
      </w:r>
      <w:r w:rsidR="00441B6E">
        <w:t xml:space="preserve">. </w:t>
      </w:r>
      <w:r w:rsidR="009F6A43">
        <w:t xml:space="preserve">Services within incorporated city limits are </w:t>
      </w:r>
      <w:r w:rsidR="00040A80">
        <w:t xml:space="preserve">typically </w:t>
      </w:r>
      <w:r w:rsidR="009F6A43">
        <w:t xml:space="preserve">provided by </w:t>
      </w:r>
      <w:r>
        <w:t>local city police departments</w:t>
      </w:r>
      <w:r w:rsidR="0071212A">
        <w:t>.</w:t>
      </w:r>
      <w:r w:rsidR="00D929C8">
        <w:t xml:space="preserve"> Post-secondary education institutions provide law enforcement services on campuses. In addition, </w:t>
      </w:r>
      <w:r w:rsidR="007E62B2">
        <w:t xml:space="preserve">non-governmental entities </w:t>
      </w:r>
      <w:r w:rsidR="00D929C8">
        <w:t xml:space="preserve">provide services </w:t>
      </w:r>
      <w:r w:rsidR="007E62B2">
        <w:t xml:space="preserve">on private properties such retail centers and commercial centers. </w:t>
      </w:r>
    </w:p>
    <w:p w14:paraId="5212D29B" w14:textId="77777777" w:rsidR="00DE7A11" w:rsidRDefault="00DE7A11" w:rsidP="00DE7A11">
      <w:pPr>
        <w:pStyle w:val="Heading6"/>
      </w:pPr>
      <w:r>
        <w:t>California Highway Patrol</w:t>
      </w:r>
    </w:p>
    <w:p w14:paraId="372675AD" w14:textId="7A171999" w:rsidR="00DE7A11" w:rsidRDefault="00DE7A11" w:rsidP="00DE7A11">
      <w:pPr>
        <w:pStyle w:val="BodyText"/>
      </w:pPr>
      <w:r>
        <w:t xml:space="preserve">The California Highway Patrol (CHP) provides police protection services along State and interstate highways throughout California, including highways that pass throughout the treatable landscape. CHP provides traffic law enforcement </w:t>
      </w:r>
      <w:r w:rsidR="00267757">
        <w:t>to</w:t>
      </w:r>
      <w:r>
        <w:t xml:space="preserve"> prevent </w:t>
      </w:r>
      <w:r w:rsidRPr="002E10A8">
        <w:t>crime; manage</w:t>
      </w:r>
      <w:r w:rsidR="00225F82">
        <w:t>s</w:t>
      </w:r>
      <w:r w:rsidRPr="002E10A8">
        <w:t xml:space="preserve"> traffic and emergency incidents; assists</w:t>
      </w:r>
      <w:r>
        <w:t xml:space="preserve"> </w:t>
      </w:r>
      <w:r w:rsidRPr="002E10A8">
        <w:t>other public agencies with law enforcement duties; and provide</w:t>
      </w:r>
      <w:r w:rsidR="00225F82">
        <w:t>s</w:t>
      </w:r>
      <w:r w:rsidRPr="002E10A8">
        <w:t xml:space="preserve"> protection to the public, State employees, and State infrastructure</w:t>
      </w:r>
      <w:r>
        <w:t>. CHP headquarters is located in Sacramento and there are a total of eight CHP Divisions throughout California</w:t>
      </w:r>
      <w:r w:rsidR="00225F82">
        <w:t>,</w:t>
      </w:r>
      <w:r>
        <w:t xml:space="preserve"> including northern, valley, golden gate, central, southern, border, co</w:t>
      </w:r>
      <w:r w:rsidR="00CF2042">
        <w:t>a</w:t>
      </w:r>
      <w:r>
        <w:t xml:space="preserve">stal, and inland. Each division is charged with patrolling and administering all CHP operations within a specific geographical area. </w:t>
      </w:r>
    </w:p>
    <w:p w14:paraId="799F1950" w14:textId="6DD68F16" w:rsidR="003B1842" w:rsidRPr="0013776C" w:rsidRDefault="00DB348F" w:rsidP="00DB348F">
      <w:pPr>
        <w:pStyle w:val="Heading5"/>
      </w:pPr>
      <w:r w:rsidRPr="0013776C">
        <w:t>Schools</w:t>
      </w:r>
      <w:r w:rsidR="008F7BE9" w:rsidRPr="0013776C">
        <w:t xml:space="preserve"> Districts</w:t>
      </w:r>
    </w:p>
    <w:p w14:paraId="11083359" w14:textId="371497B8" w:rsidR="004A4655" w:rsidRPr="007D3199" w:rsidRDefault="004A4655" w:rsidP="004A4655">
      <w:pPr>
        <w:pStyle w:val="BodyText"/>
      </w:pPr>
      <w:r w:rsidRPr="0013776C">
        <w:t xml:space="preserve">Public </w:t>
      </w:r>
      <w:r w:rsidR="00450759" w:rsidRPr="0013776C">
        <w:t xml:space="preserve">education </w:t>
      </w:r>
      <w:r w:rsidR="0013776C">
        <w:t xml:space="preserve">is provided by public school districts throughout the State. Students </w:t>
      </w:r>
      <w:r w:rsidR="005A3443">
        <w:t xml:space="preserve">are </w:t>
      </w:r>
      <w:r w:rsidR="0013776C">
        <w:t>enroll</w:t>
      </w:r>
      <w:r w:rsidR="005A3443">
        <w:t>ed</w:t>
      </w:r>
      <w:r w:rsidR="0013776C">
        <w:t xml:space="preserve"> in a given school based on age and geographic proximity to a specific school district. </w:t>
      </w:r>
      <w:r w:rsidR="000D036B">
        <w:t xml:space="preserve">Grade levels include pre-kindergarten through </w:t>
      </w:r>
      <w:r w:rsidR="000D036B" w:rsidRPr="007D3199">
        <w:t>12</w:t>
      </w:r>
      <w:r w:rsidR="000D036B" w:rsidRPr="007D3199">
        <w:rPr>
          <w:vertAlign w:val="superscript"/>
        </w:rPr>
        <w:t>th</w:t>
      </w:r>
      <w:r w:rsidR="000D036B" w:rsidRPr="007D3199">
        <w:t xml:space="preserve"> grade. </w:t>
      </w:r>
      <w:r w:rsidR="007E62B2">
        <w:t xml:space="preserve">Post-secondary education is provided by private and public entities including community colleges, California State Universities, University of California, and technical colleges. </w:t>
      </w:r>
    </w:p>
    <w:p w14:paraId="372B72E0" w14:textId="6B3D6ABC" w:rsidR="002F0DFC" w:rsidRPr="007D3199" w:rsidRDefault="002F0DFC" w:rsidP="002F0DFC">
      <w:pPr>
        <w:pStyle w:val="Heading5"/>
      </w:pPr>
      <w:r w:rsidRPr="007D3199">
        <w:t>Libraries</w:t>
      </w:r>
    </w:p>
    <w:p w14:paraId="2E34A955" w14:textId="00F051C9" w:rsidR="002F0DFC" w:rsidRDefault="007D3199" w:rsidP="002F0DFC">
      <w:pPr>
        <w:pStyle w:val="BodyText"/>
      </w:pPr>
      <w:r w:rsidRPr="007D3199">
        <w:t xml:space="preserve">Public library services are provided by city and county jurisdictions throughout California. </w:t>
      </w:r>
      <w:r w:rsidR="0013656B">
        <w:t xml:space="preserve">As of 2017, </w:t>
      </w:r>
      <w:r w:rsidR="00D043B2">
        <w:t xml:space="preserve">there were a total of 1,119 libraries managed by 194 jurisdictions. Educational programming opportunities include audio materials, </w:t>
      </w:r>
      <w:r w:rsidR="00D043B2" w:rsidRPr="00C52E83">
        <w:t>electronic collections, print collections, educational workshops, story time, school programs, and internet access (California State Library 2019).</w:t>
      </w:r>
      <w:r w:rsidR="00D043B2">
        <w:t xml:space="preserve"> </w:t>
      </w:r>
    </w:p>
    <w:p w14:paraId="1E7E49C3" w14:textId="1FA3E2A7" w:rsidR="00C3395A" w:rsidRPr="00822CC4" w:rsidRDefault="00C3395A" w:rsidP="00C3395A">
      <w:pPr>
        <w:pStyle w:val="Heading5"/>
      </w:pPr>
      <w:r w:rsidRPr="00822CC4">
        <w:t>Effects of Wildfire on Public Services</w:t>
      </w:r>
    </w:p>
    <w:p w14:paraId="6D3AE1DA" w14:textId="3B534735" w:rsidR="00C3395A" w:rsidRPr="00C3395A" w:rsidRDefault="00274A57" w:rsidP="00C3395A">
      <w:pPr>
        <w:pStyle w:val="BodyText"/>
      </w:pPr>
      <w:r w:rsidRPr="00822CC4">
        <w:t xml:space="preserve">Depending on the scale and location of wildfire incidents local jurisdictions may provide </w:t>
      </w:r>
      <w:r w:rsidR="00A4427F" w:rsidRPr="00822CC4">
        <w:t>law enforcement services and fire protection services</w:t>
      </w:r>
      <w:r w:rsidR="009859F1">
        <w:t>. During emergency situations, school and library facilities may be used as temporary shelters for evacuees and</w:t>
      </w:r>
      <w:r w:rsidR="00CD6753">
        <w:t xml:space="preserve">/or </w:t>
      </w:r>
      <w:r w:rsidR="00B53174">
        <w:t>command centers for</w:t>
      </w:r>
      <w:r w:rsidR="009859F1">
        <w:t xml:space="preserve"> emergency personnel.</w:t>
      </w:r>
      <w:r w:rsidR="00B53174">
        <w:t xml:space="preserve"> Emergency operation plans, adopted by city and county jurisdiction throughout the state, typically identify d</w:t>
      </w:r>
      <w:r w:rsidR="00CD6753">
        <w:t>esignat</w:t>
      </w:r>
      <w:r w:rsidR="00B53174">
        <w:t>ed</w:t>
      </w:r>
      <w:r w:rsidR="00CD6753">
        <w:t xml:space="preserve"> emergency shelters and command centers</w:t>
      </w:r>
      <w:r w:rsidR="00B53174">
        <w:t xml:space="preserve"> for use in emergency situations. </w:t>
      </w:r>
    </w:p>
    <w:p w14:paraId="69B558D3" w14:textId="77777777" w:rsidR="001A5B1C" w:rsidRDefault="00E24960" w:rsidP="00E24960">
      <w:pPr>
        <w:pStyle w:val="Heading4"/>
      </w:pPr>
      <w:r>
        <w:t>Public Utilities</w:t>
      </w:r>
    </w:p>
    <w:p w14:paraId="717CC6DD" w14:textId="1CFA41FF" w:rsidR="00E13E86" w:rsidRDefault="001A5B1C" w:rsidP="00B207D8">
      <w:pPr>
        <w:pStyle w:val="BodyText"/>
      </w:pPr>
      <w:r>
        <w:t xml:space="preserve">Utilities available within the treatable landscape include water supply, wastewater treatment, electric power, natural gas, and telecommunications. </w:t>
      </w:r>
      <w:r w:rsidR="00343A7B">
        <w:t>Electrical</w:t>
      </w:r>
      <w:r w:rsidR="00940A76" w:rsidRPr="0064558D">
        <w:t xml:space="preserve"> power</w:t>
      </w:r>
      <w:r w:rsidR="00940A76">
        <w:t xml:space="preserve"> is generated</w:t>
      </w:r>
      <w:r w:rsidR="00940A76" w:rsidRPr="0064558D">
        <w:t xml:space="preserve"> from a variety of sources</w:t>
      </w:r>
      <w:r w:rsidR="00A91E63">
        <w:t>,</w:t>
      </w:r>
      <w:r w:rsidR="00940A76" w:rsidRPr="0064558D">
        <w:t xml:space="preserve"> including </w:t>
      </w:r>
      <w:r w:rsidR="00A91E63">
        <w:t xml:space="preserve">natural gas, </w:t>
      </w:r>
      <w:r w:rsidR="00940A76">
        <w:t xml:space="preserve">hydroelectric, geothermal, solar, nuclear, and wind. </w:t>
      </w:r>
      <w:r w:rsidR="00E13E86">
        <w:t xml:space="preserve">There </w:t>
      </w:r>
      <w:r w:rsidR="00B207D8">
        <w:t>is</w:t>
      </w:r>
      <w:r w:rsidR="00E13E86">
        <w:t xml:space="preserve"> a total of 70 electricity service providers in California including </w:t>
      </w:r>
      <w:r w:rsidR="00250D0B">
        <w:t>seven</w:t>
      </w:r>
      <w:r w:rsidR="00E13E86">
        <w:t xml:space="preserve"> investor owned utilities, 45 publicly owned utilities, and 18 direct access </w:t>
      </w:r>
      <w:r w:rsidR="00E13E86" w:rsidRPr="00C52E83">
        <w:t xml:space="preserve">providers (CEC 2011). </w:t>
      </w:r>
      <w:r w:rsidR="00343A7B" w:rsidRPr="00C52E83">
        <w:t>Natural</w:t>
      </w:r>
      <w:r w:rsidR="00343A7B" w:rsidRPr="00691437">
        <w:t xml:space="preserve"> gas </w:t>
      </w:r>
      <w:r w:rsidR="00343A7B">
        <w:t xml:space="preserve">in California is supplied to consumers by </w:t>
      </w:r>
      <w:r w:rsidR="00343A7B" w:rsidRPr="00691437">
        <w:t>Pacific Gas and Electric, Southern California Gas</w:t>
      </w:r>
      <w:r w:rsidR="00343A7B">
        <w:t>,</w:t>
      </w:r>
      <w:r w:rsidR="00343A7B" w:rsidRPr="00691437">
        <w:t xml:space="preserve"> San Diego Gas &amp; Electric, Southwest Gas, and several smaller investor-owned natural gas utilities.</w:t>
      </w:r>
      <w:r w:rsidR="00343A7B">
        <w:t xml:space="preserve"> Telecommunications services within the State are provide</w:t>
      </w:r>
      <w:r w:rsidR="002B41B5">
        <w:t>d</w:t>
      </w:r>
      <w:r w:rsidR="00343A7B">
        <w:t xml:space="preserve"> by a variety of providers and include wireless services, landline telephone, cable, and internet service providers.</w:t>
      </w:r>
      <w:r w:rsidR="008B018E">
        <w:t xml:space="preserve"> </w:t>
      </w:r>
      <w:r>
        <w:t xml:space="preserve">Treatments implemented under the Proposed Program would not require the use of </w:t>
      </w:r>
      <w:r w:rsidR="00710934">
        <w:t xml:space="preserve">grid-sourced </w:t>
      </w:r>
      <w:r>
        <w:lastRenderedPageBreak/>
        <w:t>electric power, natural gas, or telecommunication services.</w:t>
      </w:r>
      <w:r w:rsidRPr="001A5B1C">
        <w:t xml:space="preserve"> </w:t>
      </w:r>
      <w:r>
        <w:t>Water supply and wastewater treatment are described in the subsections below.</w:t>
      </w:r>
    </w:p>
    <w:p w14:paraId="462738D9" w14:textId="789E5DF9" w:rsidR="008A6944" w:rsidRPr="006C5F9D" w:rsidRDefault="00AE36FC" w:rsidP="00C253DC">
      <w:pPr>
        <w:pStyle w:val="Heading5"/>
      </w:pPr>
      <w:r w:rsidRPr="006C5F9D">
        <w:t>Water</w:t>
      </w:r>
      <w:r w:rsidR="00E208E8" w:rsidRPr="006C5F9D">
        <w:t xml:space="preserve"> Supply and Infrastructure</w:t>
      </w:r>
    </w:p>
    <w:p w14:paraId="3BCC9F7B" w14:textId="479BA5F5" w:rsidR="00434C79" w:rsidRDefault="00C253DC" w:rsidP="008F1B4F">
      <w:pPr>
        <w:pStyle w:val="BodyText"/>
      </w:pPr>
      <w:r w:rsidRPr="006C5F9D">
        <w:t>In California, water utility providers are regulated</w:t>
      </w:r>
      <w:r>
        <w:t xml:space="preserve"> by the California Public Utilities Commission. There are </w:t>
      </w:r>
      <w:r w:rsidR="00056AAD">
        <w:t xml:space="preserve">98 </w:t>
      </w:r>
      <w:r>
        <w:t xml:space="preserve">regulated water utility provides throughout the state with over </w:t>
      </w:r>
      <w:r w:rsidR="00056AAD">
        <w:t>1.5 million</w:t>
      </w:r>
      <w:r>
        <w:t xml:space="preserve"> </w:t>
      </w:r>
      <w:r w:rsidR="00056AAD">
        <w:t xml:space="preserve">service </w:t>
      </w:r>
      <w:r w:rsidRPr="00645DD6">
        <w:t>connections</w:t>
      </w:r>
      <w:r w:rsidR="000954B9" w:rsidRPr="00645DD6">
        <w:t xml:space="preserve"> (CPUC 2018)</w:t>
      </w:r>
      <w:r w:rsidRPr="00645DD6">
        <w:t>. Water</w:t>
      </w:r>
      <w:r w:rsidRPr="00C253DC">
        <w:t>-industry infrastructure includes the various components that pump, divert, transport, store, treat and deliver safe drinking water. These may consist of groundwater wells, surface-water intakes, dams, reservoirs, aqueducts, storage tanks, treatment facilities</w:t>
      </w:r>
      <w:r w:rsidR="00A91E63">
        <w:t>,</w:t>
      </w:r>
      <w:r w:rsidRPr="00C253DC">
        <w:t xml:space="preserve"> and pipes.</w:t>
      </w:r>
      <w:r w:rsidR="00554E2D">
        <w:t xml:space="preserve"> In 201</w:t>
      </w:r>
      <w:r w:rsidR="00142891">
        <w:t>5</w:t>
      </w:r>
      <w:r w:rsidR="00554E2D">
        <w:t xml:space="preserve">, California </w:t>
      </w:r>
      <w:r w:rsidR="00C35597">
        <w:t>withdrew</w:t>
      </w:r>
      <w:r w:rsidR="00554E2D">
        <w:t xml:space="preserve"> an </w:t>
      </w:r>
      <w:r w:rsidR="00554E2D" w:rsidRPr="00864DFB">
        <w:t xml:space="preserve">estimated </w:t>
      </w:r>
      <w:r w:rsidR="00C35597" w:rsidRPr="00864DFB">
        <w:t>28,759 million gallons</w:t>
      </w:r>
      <w:r w:rsidR="00554E2D" w:rsidRPr="00864DFB">
        <w:t xml:space="preserve"> of water per day </w:t>
      </w:r>
      <w:r w:rsidR="00C35597" w:rsidRPr="00864DFB">
        <w:t xml:space="preserve">for thermoelectric energy generation, irrigation, public consumption, and industrial use </w:t>
      </w:r>
      <w:r w:rsidR="00554E2D" w:rsidRPr="00864DFB">
        <w:t>(USGS 2019).</w:t>
      </w:r>
      <w:r w:rsidR="006C5F9D">
        <w:t xml:space="preserve"> </w:t>
      </w:r>
      <w:r w:rsidR="00C56848">
        <w:t>T</w:t>
      </w:r>
      <w:r w:rsidR="006C5F9D">
        <w:t xml:space="preserve">reatment activities under </w:t>
      </w:r>
      <w:r w:rsidR="00430193">
        <w:t>the CalVTP would</w:t>
      </w:r>
      <w:r w:rsidR="006C5F9D">
        <w:t xml:space="preserve"> not require </w:t>
      </w:r>
      <w:r w:rsidR="00DB3E18">
        <w:t>diversion of water in the field</w:t>
      </w:r>
      <w:r w:rsidR="006C5F9D">
        <w:t xml:space="preserve">. </w:t>
      </w:r>
      <w:r w:rsidR="00430193">
        <w:t>If water is needed during proposed treatment activities, (i.e</w:t>
      </w:r>
      <w:r w:rsidR="008B018E">
        <w:t>.,</w:t>
      </w:r>
      <w:r w:rsidR="00430193">
        <w:t xml:space="preserve"> for n</w:t>
      </w:r>
      <w:r w:rsidR="00CC35F6">
        <w:t xml:space="preserve">on-shaded fuel breaks on slopes with a 30 percent or less gradient </w:t>
      </w:r>
      <w:r w:rsidR="004E393C">
        <w:t>and prescribed burning</w:t>
      </w:r>
      <w:r w:rsidR="00430193">
        <w:t>)</w:t>
      </w:r>
      <w:r w:rsidR="00CC35F6">
        <w:t xml:space="preserve"> fire hydrants</w:t>
      </w:r>
      <w:r w:rsidR="00430193">
        <w:t xml:space="preserve"> are used or the project proponent would</w:t>
      </w:r>
      <w:r w:rsidR="00CC35F6">
        <w:t xml:space="preserve"> </w:t>
      </w:r>
      <w:r w:rsidR="004E393C">
        <w:t>transport water to the treatment location via fire engine</w:t>
      </w:r>
      <w:r w:rsidR="00DB3E18">
        <w:t xml:space="preserve"> tank</w:t>
      </w:r>
      <w:r w:rsidR="004E393C">
        <w:t>s</w:t>
      </w:r>
      <w:r w:rsidR="00DB3E18">
        <w:t xml:space="preserve"> and water trucks</w:t>
      </w:r>
      <w:r w:rsidR="004E393C">
        <w:t>.</w:t>
      </w:r>
      <w:r w:rsidR="00434C79">
        <w:t xml:space="preserve"> The water supply source for fire hydrants include municipal water main systems and privately-owned systems. Typically, water trucks ar</w:t>
      </w:r>
      <w:r w:rsidR="00CB337A">
        <w:t xml:space="preserve">e connected to a fire hydrant and filled with water. </w:t>
      </w:r>
    </w:p>
    <w:p w14:paraId="1E8F62DB" w14:textId="5C41C3D5" w:rsidR="00AE36FC" w:rsidRPr="00F2614A" w:rsidRDefault="005F37B6" w:rsidP="00AE36FC">
      <w:pPr>
        <w:pStyle w:val="Heading5"/>
      </w:pPr>
      <w:r w:rsidRPr="00F2614A">
        <w:t>Wastewater</w:t>
      </w:r>
    </w:p>
    <w:p w14:paraId="29F3777A" w14:textId="579711A7" w:rsidR="00DC49C7" w:rsidRDefault="00E10FEC" w:rsidP="00AE36FC">
      <w:pPr>
        <w:pStyle w:val="BodyText"/>
      </w:pPr>
      <w:r>
        <w:t>In California, 100,000 miles of sanitary sewers and more than 900 wastewater treatment plants manage the approximately 4 billion gallons of wastewater generated every day by the state</w:t>
      </w:r>
      <w:r w:rsidR="00D838B0">
        <w:t>’</w:t>
      </w:r>
      <w:r>
        <w:t xml:space="preserve">s citizens, businesses and visitors. </w:t>
      </w:r>
      <w:r w:rsidR="00D87DF5">
        <w:t>The state</w:t>
      </w:r>
      <w:r w:rsidR="00D838B0">
        <w:t>’</w:t>
      </w:r>
      <w:r w:rsidR="00D87DF5">
        <w:t xml:space="preserve">s wastewater collection, conveyance, treatment, reuse and disposal services are provided primarily by a variety </w:t>
      </w:r>
      <w:r w:rsidR="00D87DF5" w:rsidRPr="0028763C">
        <w:t xml:space="preserve">of public agencies, including cities, counties, joint powers authorities and special districts such as sanitary, sanitation and community services districts. </w:t>
      </w:r>
      <w:r w:rsidR="00BB1378" w:rsidRPr="0028763C">
        <w:t>W</w:t>
      </w:r>
      <w:r w:rsidR="005B5CA3" w:rsidRPr="0028763C">
        <w:t>here treatment plants are not available or feasible, such as in sparsely populated rural areas, individualized on-site sanitation systems like septic tanks and leach lines are used</w:t>
      </w:r>
      <w:r w:rsidR="00F2614A" w:rsidRPr="0028763C">
        <w:t xml:space="preserve"> (Water Education Foundation 2013)</w:t>
      </w:r>
      <w:r w:rsidR="005B5CA3" w:rsidRPr="0028763C">
        <w:t>.</w:t>
      </w:r>
      <w:r w:rsidR="005B5CA3">
        <w:t xml:space="preserve"> </w:t>
      </w:r>
      <w:r w:rsidR="00293E45">
        <w:t>Currently implemented t</w:t>
      </w:r>
      <w:r w:rsidR="00CE11A4">
        <w:t>reatment activities do not require</w:t>
      </w:r>
      <w:r w:rsidR="006D2363">
        <w:t xml:space="preserve"> </w:t>
      </w:r>
      <w:r w:rsidR="00CE11A4">
        <w:t>sanitary sewer connection</w:t>
      </w:r>
      <w:r w:rsidR="006D2363">
        <w:t>s</w:t>
      </w:r>
      <w:r w:rsidR="00CE11A4">
        <w:t xml:space="preserve"> or a</w:t>
      </w:r>
      <w:r w:rsidR="006D2363">
        <w:t xml:space="preserve">ccess to a </w:t>
      </w:r>
      <w:r w:rsidR="00CE11A4">
        <w:t xml:space="preserve">septic tank. </w:t>
      </w:r>
      <w:r w:rsidR="00430193">
        <w:t>D</w:t>
      </w:r>
      <w:r w:rsidR="00565164">
        <w:t xml:space="preserve">epending on the location and duration of </w:t>
      </w:r>
      <w:r w:rsidR="00CE11A4">
        <w:t xml:space="preserve">vegetation </w:t>
      </w:r>
      <w:r w:rsidR="00565164">
        <w:t>treatment activit</w:t>
      </w:r>
      <w:r w:rsidR="006D2363">
        <w:t>y</w:t>
      </w:r>
      <w:r w:rsidR="00565164">
        <w:t xml:space="preserve">, </w:t>
      </w:r>
      <w:r w:rsidR="00CE11A4">
        <w:t>portable restrooms are provided.</w:t>
      </w:r>
      <w:r w:rsidR="00AF1B2A">
        <w:t xml:space="preserve"> When provided, </w:t>
      </w:r>
      <w:r w:rsidR="00430193">
        <w:t xml:space="preserve">waste from </w:t>
      </w:r>
      <w:r w:rsidR="00AF1B2A">
        <w:t>onsite p</w:t>
      </w:r>
      <w:r w:rsidR="00A67567">
        <w:t xml:space="preserve">ortable restrooms </w:t>
      </w:r>
      <w:r w:rsidR="00293E45">
        <w:t xml:space="preserve">is </w:t>
      </w:r>
      <w:r w:rsidR="00AA68E9">
        <w:t>transported offsite for disposal</w:t>
      </w:r>
      <w:r w:rsidR="00AC2D01">
        <w:t>.</w:t>
      </w:r>
      <w:r w:rsidR="00AA68E9">
        <w:t xml:space="preserve"> </w:t>
      </w:r>
    </w:p>
    <w:p w14:paraId="7BA639FF" w14:textId="15762808" w:rsidR="00AE36FC" w:rsidRPr="00E15125" w:rsidRDefault="00AE36FC" w:rsidP="00AE36FC">
      <w:pPr>
        <w:pStyle w:val="Heading5"/>
      </w:pPr>
      <w:r w:rsidRPr="00E15125">
        <w:t>Solid Waste</w:t>
      </w:r>
    </w:p>
    <w:p w14:paraId="4FC85FFC" w14:textId="010EFCAA" w:rsidR="002E78CF" w:rsidRDefault="00030FD4" w:rsidP="00710934">
      <w:pPr>
        <w:pStyle w:val="BodyText"/>
      </w:pPr>
      <w:r>
        <w:rPr>
          <w:shd w:val="clear" w:color="auto" w:fill="FFFFFF"/>
        </w:rPr>
        <w:t xml:space="preserve">The </w:t>
      </w:r>
      <w:r w:rsidR="00791B70">
        <w:rPr>
          <w:shd w:val="clear" w:color="auto" w:fill="FFFFFF"/>
        </w:rPr>
        <w:t xml:space="preserve">California </w:t>
      </w:r>
      <w:r>
        <w:rPr>
          <w:shd w:val="clear" w:color="auto" w:fill="FFFFFF"/>
        </w:rPr>
        <w:t>Department of Resources Recycling and Recovery (CalRecycle), along with local enforcement agencies, regulates the operation of solid waste facilities.</w:t>
      </w:r>
      <w:r w:rsidR="002E78CF">
        <w:rPr>
          <w:shd w:val="clear" w:color="auto" w:fill="FFFFFF"/>
        </w:rPr>
        <w:t xml:space="preserve"> Solid waste refers to</w:t>
      </w:r>
      <w:r w:rsidR="002E78CF" w:rsidRPr="002E78CF">
        <w:rPr>
          <w:shd w:val="clear" w:color="auto" w:fill="FFFFFF"/>
        </w:rPr>
        <w:t xml:space="preserve"> garbage, refuse, sludges, and other discarded solid materials resulting from residential activities, and industrial and commercial operations</w:t>
      </w:r>
      <w:r w:rsidR="002E78CF">
        <w:rPr>
          <w:shd w:val="clear" w:color="auto" w:fill="FFFFFF"/>
        </w:rPr>
        <w:t>.</w:t>
      </w:r>
      <w:r>
        <w:rPr>
          <w:shd w:val="clear" w:color="auto" w:fill="FFFFFF"/>
        </w:rPr>
        <w:t xml:space="preserve"> </w:t>
      </w:r>
      <w:r w:rsidR="003C376F" w:rsidRPr="003C376F">
        <w:rPr>
          <w:shd w:val="clear" w:color="auto" w:fill="FFFFFF"/>
        </w:rPr>
        <w:t>CalRecycle manage</w:t>
      </w:r>
      <w:r w:rsidR="00850385">
        <w:rPr>
          <w:shd w:val="clear" w:color="auto" w:fill="FFFFFF"/>
        </w:rPr>
        <w:t>s</w:t>
      </w:r>
      <w:r w:rsidR="003C376F" w:rsidRPr="003C376F">
        <w:rPr>
          <w:shd w:val="clear" w:color="auto" w:fill="FFFFFF"/>
        </w:rPr>
        <w:t xml:space="preserve"> and mitigate</w:t>
      </w:r>
      <w:r w:rsidR="00850385">
        <w:rPr>
          <w:shd w:val="clear" w:color="auto" w:fill="FFFFFF"/>
        </w:rPr>
        <w:t>s</w:t>
      </w:r>
      <w:r w:rsidR="003C376F" w:rsidRPr="003C376F">
        <w:rPr>
          <w:shd w:val="clear" w:color="auto" w:fill="FFFFFF"/>
        </w:rPr>
        <w:t xml:space="preserve"> the impacts of solid waste on public health and safety and the environment </w:t>
      </w:r>
      <w:r w:rsidR="003C376F" w:rsidRPr="009D2B36">
        <w:rPr>
          <w:shd w:val="clear" w:color="auto" w:fill="FFFFFF"/>
        </w:rPr>
        <w:t xml:space="preserve">by enforcing compliance with regulations and </w:t>
      </w:r>
      <w:r w:rsidR="00850385" w:rsidRPr="009D2B36">
        <w:rPr>
          <w:shd w:val="clear" w:color="auto" w:fill="FFFFFF"/>
        </w:rPr>
        <w:t>S</w:t>
      </w:r>
      <w:r w:rsidR="003C376F" w:rsidRPr="009D2B36">
        <w:rPr>
          <w:shd w:val="clear" w:color="auto" w:fill="FFFFFF"/>
        </w:rPr>
        <w:t>tate minimum standards, through integrated and consistent permitting, inspection, and enforcement efforts</w:t>
      </w:r>
      <w:r w:rsidR="00CD2F36" w:rsidRPr="009D2B36">
        <w:rPr>
          <w:shd w:val="clear" w:color="auto" w:fill="FFFFFF"/>
        </w:rPr>
        <w:t xml:space="preserve"> (CalRecycle 201</w:t>
      </w:r>
      <w:r w:rsidR="006164BD" w:rsidRPr="009D2B36">
        <w:rPr>
          <w:shd w:val="clear" w:color="auto" w:fill="FFFFFF"/>
        </w:rPr>
        <w:t>9</w:t>
      </w:r>
      <w:r w:rsidR="00F704F3" w:rsidRPr="009D2B36">
        <w:rPr>
          <w:shd w:val="clear" w:color="auto" w:fill="FFFFFF"/>
        </w:rPr>
        <w:t>a</w:t>
      </w:r>
      <w:r w:rsidR="00CD2F36" w:rsidRPr="009D2B36">
        <w:rPr>
          <w:shd w:val="clear" w:color="auto" w:fill="FFFFFF"/>
        </w:rPr>
        <w:t>)</w:t>
      </w:r>
      <w:r w:rsidR="003C376F" w:rsidRPr="009D2B36">
        <w:rPr>
          <w:shd w:val="clear" w:color="auto" w:fill="FFFFFF"/>
        </w:rPr>
        <w:t>.</w:t>
      </w:r>
      <w:r w:rsidR="00CD2F36" w:rsidRPr="009D2B36">
        <w:rPr>
          <w:shd w:val="clear" w:color="auto" w:fill="FFFFFF"/>
        </w:rPr>
        <w:t xml:space="preserve"> </w:t>
      </w:r>
      <w:r w:rsidR="00C17F04" w:rsidRPr="009D2B36">
        <w:rPr>
          <w:shd w:val="clear" w:color="auto" w:fill="FFFFFF"/>
        </w:rPr>
        <w:t xml:space="preserve">There are 133 landfills, 283 composting facilities, and 636 material recovery facilities. </w:t>
      </w:r>
      <w:r w:rsidR="00C17F04" w:rsidRPr="009D2B36">
        <w:t>In 2016, California generated 76.5 million tons of solid waste and sent about 35.2 million tons to landfills, which translates to a per capita waste disposal of 6.0 pounds per person per day and a recycling rate of 44 percent (CalRecycle 2017).</w:t>
      </w:r>
      <w:r w:rsidR="00710934">
        <w:t xml:space="preserve"> </w:t>
      </w:r>
    </w:p>
    <w:p w14:paraId="0D9FC410" w14:textId="133AC6AD" w:rsidR="009F452D" w:rsidRPr="00267757" w:rsidRDefault="00694E5F" w:rsidP="00DD4E22">
      <w:pPr>
        <w:pStyle w:val="BodyText"/>
        <w:rPr>
          <w:spacing w:val="-2"/>
        </w:rPr>
      </w:pPr>
      <w:r w:rsidRPr="00267757">
        <w:rPr>
          <w:spacing w:val="-2"/>
        </w:rPr>
        <w:t>CalRecycle</w:t>
      </w:r>
      <w:r w:rsidR="00D838B0" w:rsidRPr="00267757">
        <w:rPr>
          <w:spacing w:val="-2"/>
        </w:rPr>
        <w:t>’</w:t>
      </w:r>
      <w:r w:rsidRPr="00267757">
        <w:rPr>
          <w:spacing w:val="-2"/>
        </w:rPr>
        <w:t>s</w:t>
      </w:r>
      <w:r w:rsidR="00F077C3" w:rsidRPr="00267757">
        <w:rPr>
          <w:spacing w:val="-2"/>
        </w:rPr>
        <w:t xml:space="preserve"> characterization of </w:t>
      </w:r>
      <w:r w:rsidR="002E78CF" w:rsidRPr="00267757">
        <w:rPr>
          <w:spacing w:val="-2"/>
        </w:rPr>
        <w:t xml:space="preserve">solid waste </w:t>
      </w:r>
      <w:r w:rsidR="00F077C3" w:rsidRPr="00267757">
        <w:rPr>
          <w:spacing w:val="-2"/>
        </w:rPr>
        <w:t>contains</w:t>
      </w:r>
      <w:r w:rsidR="00385219" w:rsidRPr="00267757">
        <w:rPr>
          <w:spacing w:val="-2"/>
        </w:rPr>
        <w:t xml:space="preserve"> a</w:t>
      </w:r>
      <w:r w:rsidR="00991C22" w:rsidRPr="00267757">
        <w:rPr>
          <w:spacing w:val="-2"/>
        </w:rPr>
        <w:t>n</w:t>
      </w:r>
      <w:r w:rsidR="00385219" w:rsidRPr="00267757">
        <w:rPr>
          <w:spacing w:val="-2"/>
        </w:rPr>
        <w:t xml:space="preserve"> organic material</w:t>
      </w:r>
      <w:r w:rsidR="00991C22" w:rsidRPr="00267757">
        <w:rPr>
          <w:spacing w:val="-2"/>
        </w:rPr>
        <w:t xml:space="preserve">s subcategory </w:t>
      </w:r>
      <w:r w:rsidR="00F077C3" w:rsidRPr="00267757">
        <w:rPr>
          <w:spacing w:val="-2"/>
        </w:rPr>
        <w:t>that includes</w:t>
      </w:r>
      <w:r w:rsidR="00991C22" w:rsidRPr="00267757">
        <w:rPr>
          <w:spacing w:val="-2"/>
        </w:rPr>
        <w:t xml:space="preserve"> </w:t>
      </w:r>
      <w:r w:rsidRPr="00267757">
        <w:rPr>
          <w:spacing w:val="-2"/>
        </w:rPr>
        <w:t>wastes specifically produced</w:t>
      </w:r>
      <w:r w:rsidR="00991C22" w:rsidRPr="00267757">
        <w:rPr>
          <w:spacing w:val="-2"/>
        </w:rPr>
        <w:t xml:space="preserve"> </w:t>
      </w:r>
      <w:r w:rsidR="00B3353F" w:rsidRPr="00267757">
        <w:rPr>
          <w:spacing w:val="-2"/>
        </w:rPr>
        <w:t>from plants,</w:t>
      </w:r>
      <w:r w:rsidR="00991C22" w:rsidRPr="00267757">
        <w:rPr>
          <w:spacing w:val="-2"/>
        </w:rPr>
        <w:t xml:space="preserve"> such as branches, stumps, pruning and trimmings. </w:t>
      </w:r>
      <w:r w:rsidR="00882923" w:rsidRPr="00267757">
        <w:rPr>
          <w:spacing w:val="-2"/>
        </w:rPr>
        <w:t>I</w:t>
      </w:r>
      <w:r w:rsidR="00F14AEA" w:rsidRPr="00267757">
        <w:rPr>
          <w:spacing w:val="-2"/>
        </w:rPr>
        <w:t>n</w:t>
      </w:r>
      <w:r w:rsidR="00882923" w:rsidRPr="00267757">
        <w:rPr>
          <w:spacing w:val="-2"/>
        </w:rPr>
        <w:t xml:space="preserve"> 2014, t</w:t>
      </w:r>
      <w:r w:rsidR="00F077C3" w:rsidRPr="00267757">
        <w:rPr>
          <w:spacing w:val="-2"/>
        </w:rPr>
        <w:t xml:space="preserve">hese </w:t>
      </w:r>
      <w:r w:rsidRPr="00267757">
        <w:rPr>
          <w:spacing w:val="-2"/>
        </w:rPr>
        <w:t>materials</w:t>
      </w:r>
      <w:r w:rsidR="00991C22" w:rsidRPr="00267757">
        <w:rPr>
          <w:spacing w:val="-2"/>
        </w:rPr>
        <w:t xml:space="preserve"> accounted for </w:t>
      </w:r>
      <w:r w:rsidR="000C26D7" w:rsidRPr="00267757">
        <w:rPr>
          <w:spacing w:val="-2"/>
        </w:rPr>
        <w:t>767,418 tons</w:t>
      </w:r>
      <w:r w:rsidR="00ED604A" w:rsidRPr="00267757">
        <w:rPr>
          <w:spacing w:val="-2"/>
        </w:rPr>
        <w:t>,</w:t>
      </w:r>
      <w:r w:rsidR="00991C22" w:rsidRPr="00267757">
        <w:rPr>
          <w:spacing w:val="-2"/>
        </w:rPr>
        <w:t xml:space="preserve"> </w:t>
      </w:r>
      <w:r w:rsidR="00ED604A" w:rsidRPr="00267757">
        <w:rPr>
          <w:spacing w:val="-2"/>
        </w:rPr>
        <w:t xml:space="preserve">or around 3 percent </w:t>
      </w:r>
      <w:r w:rsidR="00991C22" w:rsidRPr="00267757">
        <w:rPr>
          <w:spacing w:val="-2"/>
        </w:rPr>
        <w:t xml:space="preserve">of </w:t>
      </w:r>
      <w:r w:rsidRPr="00267757">
        <w:rPr>
          <w:spacing w:val="-2"/>
        </w:rPr>
        <w:t xml:space="preserve">statewide waste generated from commercial operations. </w:t>
      </w:r>
      <w:r w:rsidR="00E17CF5" w:rsidRPr="00267757">
        <w:rPr>
          <w:spacing w:val="-2"/>
        </w:rPr>
        <w:t>56</w:t>
      </w:r>
      <w:r w:rsidRPr="00267757">
        <w:rPr>
          <w:spacing w:val="-2"/>
        </w:rPr>
        <w:t xml:space="preserve"> percent of this waste was </w:t>
      </w:r>
      <w:r w:rsidR="00E17CF5" w:rsidRPr="00267757">
        <w:rPr>
          <w:spacing w:val="-2"/>
        </w:rPr>
        <w:t xml:space="preserve">diverted to recycling, composting, energy production </w:t>
      </w:r>
      <w:r w:rsidR="00F077C3" w:rsidRPr="00267757">
        <w:rPr>
          <w:spacing w:val="-2"/>
        </w:rPr>
        <w:t>and 44 percent</w:t>
      </w:r>
      <w:r w:rsidR="00E17CF5" w:rsidRPr="00267757">
        <w:rPr>
          <w:spacing w:val="-2"/>
        </w:rPr>
        <w:t xml:space="preserve"> was disposed</w:t>
      </w:r>
      <w:r w:rsidR="00882923" w:rsidRPr="00267757">
        <w:rPr>
          <w:spacing w:val="-2"/>
        </w:rPr>
        <w:t xml:space="preserve"> of</w:t>
      </w:r>
      <w:r w:rsidR="00153BEF" w:rsidRPr="00267757">
        <w:rPr>
          <w:spacing w:val="-2"/>
        </w:rPr>
        <w:t xml:space="preserve"> </w:t>
      </w:r>
      <w:r w:rsidR="00E17CF5" w:rsidRPr="00267757">
        <w:rPr>
          <w:spacing w:val="-2"/>
        </w:rPr>
        <w:t>in landfills</w:t>
      </w:r>
      <w:r w:rsidR="009F452D" w:rsidRPr="00267757">
        <w:rPr>
          <w:spacing w:val="-2"/>
        </w:rPr>
        <w:t>.</w:t>
      </w:r>
      <w:r w:rsidR="008B018E" w:rsidRPr="00267757">
        <w:rPr>
          <w:spacing w:val="-2"/>
        </w:rPr>
        <w:t xml:space="preserve"> </w:t>
      </w:r>
    </w:p>
    <w:p w14:paraId="0B0ACD9A" w14:textId="45E46537" w:rsidR="00710934" w:rsidRPr="00710934" w:rsidRDefault="00FD3933" w:rsidP="00DD4E22">
      <w:pPr>
        <w:pStyle w:val="BodyText"/>
      </w:pPr>
      <w:bookmarkStart w:id="2" w:name="_Hlk6761189"/>
      <w:r>
        <w:t xml:space="preserve">As described in Chapter 1, </w:t>
      </w:r>
      <w:r w:rsidR="00D838B0">
        <w:t>“</w:t>
      </w:r>
      <w:r>
        <w:t>Introduction</w:t>
      </w:r>
      <w:r w:rsidR="00791B70">
        <w:t>,</w:t>
      </w:r>
      <w:r w:rsidR="00D838B0">
        <w:t>”</w:t>
      </w:r>
      <w:r>
        <w:t xml:space="preserve"> and Section 2.3.1, </w:t>
      </w:r>
      <w:r w:rsidR="00D838B0">
        <w:t>“</w:t>
      </w:r>
      <w:r>
        <w:t>Past and Current Treatments,</w:t>
      </w:r>
      <w:r w:rsidR="00D838B0">
        <w:t>”</w:t>
      </w:r>
      <w:r>
        <w:t xml:space="preserve"> </w:t>
      </w:r>
      <w:bookmarkEnd w:id="2"/>
      <w:r>
        <w:t xml:space="preserve">vegetation </w:t>
      </w:r>
      <w:r w:rsidRPr="00194756">
        <w:t>treatment currently occurs around the state under</w:t>
      </w:r>
      <w:r>
        <w:t xml:space="preserve"> several other wildfire risk reduction programs implemented by various federal, state, and local agencies. In 2017–2018, CAL FIRE treated approximately 33,000 acres in California using the same treatment activities as proposed under the CalVTP. </w:t>
      </w:r>
      <w:r w:rsidR="00DD4E22">
        <w:t xml:space="preserve">The </w:t>
      </w:r>
      <w:r w:rsidR="007F54BE">
        <w:t>organic</w:t>
      </w:r>
      <w:r w:rsidR="009B05A2">
        <w:t xml:space="preserve"> waste</w:t>
      </w:r>
      <w:r w:rsidR="00DD4E22">
        <w:t xml:space="preserve"> generated from </w:t>
      </w:r>
      <w:r w:rsidR="003359BE">
        <w:t>CAL FIRE</w:t>
      </w:r>
      <w:r w:rsidR="00D838B0">
        <w:t>’</w:t>
      </w:r>
      <w:r w:rsidR="00DD4E22">
        <w:t>s current vegetation treatment</w:t>
      </w:r>
      <w:r w:rsidR="00882923">
        <w:t>s</w:t>
      </w:r>
      <w:r w:rsidR="00DD4E22">
        <w:t xml:space="preserve"> are </w:t>
      </w:r>
      <w:r w:rsidR="00BD374A">
        <w:t xml:space="preserve">typically </w:t>
      </w:r>
      <w:r w:rsidR="00DD4E22">
        <w:t>not disposed</w:t>
      </w:r>
      <w:r w:rsidR="00BD374A">
        <w:t xml:space="preserve"> of</w:t>
      </w:r>
      <w:r w:rsidR="00DD4E22">
        <w:t xml:space="preserve"> in landfills.</w:t>
      </w:r>
      <w:r w:rsidR="00DA5D5D">
        <w:t xml:space="preserve"> </w:t>
      </w:r>
      <w:r w:rsidR="00402F74">
        <w:rPr>
          <w:shd w:val="clear" w:color="auto" w:fill="FFFFFF"/>
        </w:rPr>
        <w:t xml:space="preserve">Currently, 70 percent of the </w:t>
      </w:r>
      <w:r w:rsidR="00F14AEA">
        <w:rPr>
          <w:shd w:val="clear" w:color="auto" w:fill="FFFFFF"/>
        </w:rPr>
        <w:t>organic</w:t>
      </w:r>
      <w:r w:rsidR="00402F74">
        <w:rPr>
          <w:shd w:val="clear" w:color="auto" w:fill="FFFFFF"/>
        </w:rPr>
        <w:t xml:space="preserve"> waste generated during treatment activities </w:t>
      </w:r>
      <w:r w:rsidR="00F14AEA">
        <w:rPr>
          <w:shd w:val="clear" w:color="auto" w:fill="FFFFFF"/>
        </w:rPr>
        <w:t>is</w:t>
      </w:r>
      <w:r w:rsidR="00402F74">
        <w:rPr>
          <w:shd w:val="clear" w:color="auto" w:fill="FFFFFF"/>
        </w:rPr>
        <w:t xml:space="preserve"> </w:t>
      </w:r>
      <w:r w:rsidR="00153BEF">
        <w:t>managed</w:t>
      </w:r>
      <w:r w:rsidR="00402F74">
        <w:t xml:space="preserve"> on-site by scattering wood material within the treatment boundary, generating unburned wood piles, and blowing wood chips to the ground as mulch. During wet seasonal periods, approximately 25 percent of</w:t>
      </w:r>
      <w:r w:rsidR="008B018E">
        <w:t xml:space="preserve"> </w:t>
      </w:r>
      <w:r w:rsidR="009F307E">
        <w:t xml:space="preserve">solid </w:t>
      </w:r>
      <w:r w:rsidR="00F14AEA">
        <w:t>organic</w:t>
      </w:r>
      <w:r w:rsidR="00402F74">
        <w:t xml:space="preserve"> waste is pile burned in combination with manual and mechanical treatment activities.</w:t>
      </w:r>
      <w:r w:rsidR="00153BEF">
        <w:t xml:space="preserve"> The remaining 5 percent is used for biomass </w:t>
      </w:r>
      <w:r w:rsidR="00DB3E18">
        <w:t xml:space="preserve">power </w:t>
      </w:r>
      <w:r w:rsidR="00153BEF">
        <w:t>production</w:t>
      </w:r>
      <w:r w:rsidR="00DB3E18">
        <w:t>,</w:t>
      </w:r>
      <w:r w:rsidR="00153BEF">
        <w:t xml:space="preserve"> as described in the following subsection.</w:t>
      </w:r>
      <w:r w:rsidR="008B018E">
        <w:t xml:space="preserve"> </w:t>
      </w:r>
    </w:p>
    <w:p w14:paraId="52DC0F5D" w14:textId="3C268DEE" w:rsidR="00ED10FF" w:rsidRDefault="00ED10FF" w:rsidP="00ED10FF">
      <w:pPr>
        <w:pStyle w:val="Heading6"/>
        <w:rPr>
          <w:shd w:val="clear" w:color="auto" w:fill="FFFFFF"/>
        </w:rPr>
      </w:pPr>
      <w:r>
        <w:rPr>
          <w:shd w:val="clear" w:color="auto" w:fill="FFFFFF"/>
        </w:rPr>
        <w:lastRenderedPageBreak/>
        <w:t>Biomass</w:t>
      </w:r>
    </w:p>
    <w:p w14:paraId="5F463EF3" w14:textId="1AF0849C" w:rsidR="00ED10FF" w:rsidRDefault="00ED10FF" w:rsidP="00973245">
      <w:pPr>
        <w:pStyle w:val="BodyText"/>
      </w:pPr>
      <w:r w:rsidRPr="00204EF1">
        <w:rPr>
          <w:shd w:val="clear" w:color="auto" w:fill="FFFFFF"/>
        </w:rPr>
        <w:t>Biomass consists of</w:t>
      </w:r>
      <w:r>
        <w:rPr>
          <w:shd w:val="clear" w:color="auto" w:fill="FFFFFF"/>
        </w:rPr>
        <w:t xml:space="preserve"> </w:t>
      </w:r>
      <w:r w:rsidRPr="00204EF1">
        <w:rPr>
          <w:shd w:val="clear" w:color="auto" w:fill="FFFFFF"/>
        </w:rPr>
        <w:t xml:space="preserve">organic </w:t>
      </w:r>
      <w:r>
        <w:rPr>
          <w:shd w:val="clear" w:color="auto" w:fill="FFFFFF"/>
        </w:rPr>
        <w:t>materials</w:t>
      </w:r>
      <w:r w:rsidRPr="00204EF1">
        <w:rPr>
          <w:shd w:val="clear" w:color="auto" w:fill="FFFFFF"/>
        </w:rPr>
        <w:t xml:space="preserve"> from plants and animals</w:t>
      </w:r>
      <w:r>
        <w:rPr>
          <w:shd w:val="clear" w:color="auto" w:fill="FFFFFF"/>
        </w:rPr>
        <w:t xml:space="preserve"> that</w:t>
      </w:r>
      <w:r w:rsidRPr="00204EF1">
        <w:rPr>
          <w:shd w:val="clear" w:color="auto" w:fill="FFFFFF"/>
        </w:rPr>
        <w:t xml:space="preserve"> </w:t>
      </w:r>
      <w:r>
        <w:rPr>
          <w:shd w:val="clear" w:color="auto" w:fill="FFFFFF"/>
        </w:rPr>
        <w:t>can be</w:t>
      </w:r>
      <w:r w:rsidRPr="00204EF1">
        <w:rPr>
          <w:shd w:val="clear" w:color="auto" w:fill="FFFFFF"/>
        </w:rPr>
        <w:t xml:space="preserve"> </w:t>
      </w:r>
      <w:r>
        <w:rPr>
          <w:shd w:val="clear" w:color="auto" w:fill="FFFFFF"/>
        </w:rPr>
        <w:t xml:space="preserve">used as a fuel for energy or processed to create a wide variety of usable products. While the raw material used for biomass feedstocks can come from many of sources, the material that would be generated from CalVTP treatment activities </w:t>
      </w:r>
      <w:r w:rsidR="00882923">
        <w:rPr>
          <w:shd w:val="clear" w:color="auto" w:fill="FFFFFF"/>
        </w:rPr>
        <w:t xml:space="preserve">would fall under the </w:t>
      </w:r>
      <w:r>
        <w:rPr>
          <w:shd w:val="clear" w:color="auto" w:fill="FFFFFF"/>
        </w:rPr>
        <w:t>specific categor</w:t>
      </w:r>
      <w:r w:rsidR="00882923">
        <w:rPr>
          <w:shd w:val="clear" w:color="auto" w:fill="FFFFFF"/>
        </w:rPr>
        <w:t>y of</w:t>
      </w:r>
      <w:r>
        <w:rPr>
          <w:shd w:val="clear" w:color="auto" w:fill="FFFFFF"/>
        </w:rPr>
        <w:t xml:space="preserve"> </w:t>
      </w:r>
      <w:r w:rsidR="00D838B0">
        <w:rPr>
          <w:shd w:val="clear" w:color="auto" w:fill="FFFFFF"/>
        </w:rPr>
        <w:t>“</w:t>
      </w:r>
      <w:r>
        <w:rPr>
          <w:shd w:val="clear" w:color="auto" w:fill="FFFFFF"/>
        </w:rPr>
        <w:t>woody biomass</w:t>
      </w:r>
      <w:r w:rsidR="008B018E">
        <w:rPr>
          <w:shd w:val="clear" w:color="auto" w:fill="FFFFFF"/>
        </w:rPr>
        <w:t>.</w:t>
      </w:r>
      <w:r w:rsidR="00D838B0">
        <w:rPr>
          <w:shd w:val="clear" w:color="auto" w:fill="FFFFFF"/>
        </w:rPr>
        <w:t>”</w:t>
      </w:r>
      <w:r>
        <w:rPr>
          <w:shd w:val="clear" w:color="auto" w:fill="FFFFFF"/>
        </w:rPr>
        <w:t xml:space="preserve"> California currently has infrastructure for the processing of woody biomass for energy production and wood products, including approximately 24 biomass power plants and 77 </w:t>
      </w:r>
      <w:r>
        <w:t>wood product processing facilities. An additional 15 biomass power plant</w:t>
      </w:r>
      <w:r w:rsidR="00882923">
        <w:t>s</w:t>
      </w:r>
      <w:r>
        <w:t xml:space="preserve"> were reported idle in 2018 (</w:t>
      </w:r>
      <w:bookmarkStart w:id="3" w:name="_Hlk8115648"/>
      <w:r>
        <w:t>USFS 2018</w:t>
      </w:r>
      <w:bookmarkEnd w:id="3"/>
      <w:r>
        <w:t>). In 2017, the 24 operational biomass facilities producing electricity accepted over 3.7 million tons of woody biomass.</w:t>
      </w:r>
      <w:r w:rsidRPr="00AD2727">
        <w:t xml:space="preserve"> </w:t>
      </w:r>
      <w:r>
        <w:t>Forest waste accounted for 13 percent of this total and the remainder came from a combination of milling, urban and agricultural wastes as shown in Table 3.16-1</w:t>
      </w:r>
      <w:r w:rsidR="00EE7B9C">
        <w:footnoteReference w:id="1"/>
      </w:r>
      <w:r>
        <w:t xml:space="preserve">. A limiting factor in the amount of forest waste used for electricity generation is the proximity of processing facilities to forests due to the high cost of transporting heavy materials from remote areas. </w:t>
      </w:r>
      <w:r>
        <w:rPr>
          <w:shd w:val="clear" w:color="auto" w:fill="FFFFFF"/>
        </w:rPr>
        <w:t>This constraint typically makes forest-sourced feedstocks one of the more expensive options relative to other sources and</w:t>
      </w:r>
      <w:r w:rsidR="00EE7B9C">
        <w:rPr>
          <w:shd w:val="clear" w:color="auto" w:fill="FFFFFF"/>
        </w:rPr>
        <w:t xml:space="preserve"> </w:t>
      </w:r>
      <w:r>
        <w:rPr>
          <w:shd w:val="clear" w:color="auto" w:fill="FFFFFF"/>
        </w:rPr>
        <w:t>limits the distance of forest treatment sites to biomass power plants to 50 miles or less</w:t>
      </w:r>
      <w:r w:rsidR="00EE7B9C">
        <w:rPr>
          <w:shd w:val="clear" w:color="auto" w:fill="FFFFFF"/>
        </w:rPr>
        <w:t xml:space="preserve"> in order for projects to have long-term economic viability due to the high cost of transporting woody biomass material from remote locations</w:t>
      </w:r>
      <w:r>
        <w:rPr>
          <w:shd w:val="clear" w:color="auto" w:fill="FFFFFF"/>
        </w:rPr>
        <w:t xml:space="preserve"> (</w:t>
      </w:r>
      <w:bookmarkStart w:id="4" w:name="_Hlk8115641"/>
      <w:r>
        <w:rPr>
          <w:shd w:val="clear" w:color="auto" w:fill="FFFFFF"/>
        </w:rPr>
        <w:t>UC Berkeley 2019</w:t>
      </w:r>
      <w:bookmarkEnd w:id="4"/>
      <w:r>
        <w:rPr>
          <w:shd w:val="clear" w:color="auto" w:fill="FFFFFF"/>
        </w:rPr>
        <w:t>).</w:t>
      </w:r>
      <w:r w:rsidR="008B018E">
        <w:rPr>
          <w:shd w:val="clear" w:color="auto" w:fill="FFFFFF"/>
        </w:rPr>
        <w:t xml:space="preserve"> </w:t>
      </w:r>
    </w:p>
    <w:p w14:paraId="2A87459C" w14:textId="77777777" w:rsidR="00B802E5" w:rsidRPr="00F158A4" w:rsidRDefault="00B802E5" w:rsidP="001F26F1">
      <w:pPr>
        <w:pStyle w:val="TableHeader"/>
      </w:pPr>
      <w:bookmarkStart w:id="5" w:name="_Toc23838389"/>
      <w:r w:rsidRPr="00F158A4">
        <w:t xml:space="preserve">Table </w:t>
      </w:r>
      <w:r>
        <w:t>3.16</w:t>
      </w:r>
      <w:r w:rsidRPr="00F158A4">
        <w:t>-1</w:t>
      </w:r>
      <w:r w:rsidRPr="00F158A4">
        <w:tab/>
      </w:r>
      <w:r>
        <w:t>Sources of Woody Biomass Used in Electricity Production in California, 2017</w:t>
      </w:r>
      <w:bookmarkEnd w:id="5"/>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50"/>
        <w:gridCol w:w="3015"/>
        <w:gridCol w:w="3015"/>
      </w:tblGrid>
      <w:tr w:rsidR="00ED10FF" w:rsidRPr="00EF4ED3" w14:paraId="7830E690" w14:textId="77777777" w:rsidTr="00267757">
        <w:trPr>
          <w:tblHeader/>
          <w:jc w:val="center"/>
        </w:trPr>
        <w:tc>
          <w:tcPr>
            <w:tcW w:w="4050" w:type="dxa"/>
            <w:tcBorders>
              <w:top w:val="single" w:sz="4" w:space="0" w:color="auto"/>
            </w:tcBorders>
            <w:shd w:val="clear" w:color="auto" w:fill="D9D9D9" w:themeFill="background1" w:themeFillShade="D9"/>
          </w:tcPr>
          <w:p w14:paraId="510E7003" w14:textId="77777777" w:rsidR="00ED10FF" w:rsidRPr="00EF4ED3" w:rsidRDefault="00ED10FF" w:rsidP="001F26F1">
            <w:pPr>
              <w:pStyle w:val="TableColumn"/>
            </w:pPr>
            <w:r>
              <w:t>Source</w:t>
            </w:r>
          </w:p>
        </w:tc>
        <w:tc>
          <w:tcPr>
            <w:tcW w:w="3015" w:type="dxa"/>
            <w:tcBorders>
              <w:top w:val="single" w:sz="4" w:space="0" w:color="auto"/>
            </w:tcBorders>
            <w:shd w:val="clear" w:color="auto" w:fill="D9D9D9" w:themeFill="background1" w:themeFillShade="D9"/>
          </w:tcPr>
          <w:p w14:paraId="31EBF583" w14:textId="77777777" w:rsidR="00ED10FF" w:rsidRPr="00EF4ED3" w:rsidRDefault="00ED10FF" w:rsidP="001F26F1">
            <w:pPr>
              <w:pStyle w:val="TableColumn"/>
            </w:pPr>
            <w:r>
              <w:t>Tons</w:t>
            </w:r>
          </w:p>
        </w:tc>
        <w:tc>
          <w:tcPr>
            <w:tcW w:w="3015" w:type="dxa"/>
            <w:tcBorders>
              <w:top w:val="single" w:sz="4" w:space="0" w:color="auto"/>
            </w:tcBorders>
            <w:shd w:val="clear" w:color="auto" w:fill="D9D9D9" w:themeFill="background1" w:themeFillShade="D9"/>
          </w:tcPr>
          <w:p w14:paraId="443674F0" w14:textId="77777777" w:rsidR="00ED10FF" w:rsidRDefault="00ED10FF" w:rsidP="001F26F1">
            <w:pPr>
              <w:pStyle w:val="TableColumn"/>
            </w:pPr>
            <w:r>
              <w:t>Percentage</w:t>
            </w:r>
          </w:p>
        </w:tc>
      </w:tr>
      <w:tr w:rsidR="00ED10FF" w:rsidRPr="00EF4ED3" w14:paraId="2E463617" w14:textId="77777777" w:rsidTr="006D1659">
        <w:trPr>
          <w:jc w:val="center"/>
        </w:trPr>
        <w:tc>
          <w:tcPr>
            <w:tcW w:w="4050" w:type="dxa"/>
          </w:tcPr>
          <w:p w14:paraId="070A182E" w14:textId="77777777" w:rsidR="00ED10FF" w:rsidRDefault="00ED10FF" w:rsidP="001F26F1">
            <w:pPr>
              <w:pStyle w:val="TableText"/>
              <w:jc w:val="left"/>
            </w:pPr>
            <w:r>
              <w:t>Urban (trimmings/pruning)</w:t>
            </w:r>
          </w:p>
        </w:tc>
        <w:tc>
          <w:tcPr>
            <w:tcW w:w="3015" w:type="dxa"/>
          </w:tcPr>
          <w:p w14:paraId="294E458C" w14:textId="77777777" w:rsidR="00ED10FF" w:rsidRDefault="00ED10FF" w:rsidP="001F26F1">
            <w:pPr>
              <w:pStyle w:val="TableText"/>
            </w:pPr>
            <w:r>
              <w:t>1,193,909</w:t>
            </w:r>
          </w:p>
        </w:tc>
        <w:tc>
          <w:tcPr>
            <w:tcW w:w="3015" w:type="dxa"/>
          </w:tcPr>
          <w:p w14:paraId="3ACEE579" w14:textId="77777777" w:rsidR="00ED10FF" w:rsidRDefault="00ED10FF" w:rsidP="001F26F1">
            <w:pPr>
              <w:pStyle w:val="TableText"/>
            </w:pPr>
            <w:r>
              <w:t>32</w:t>
            </w:r>
          </w:p>
        </w:tc>
      </w:tr>
      <w:tr w:rsidR="00ED10FF" w:rsidRPr="00EF4ED3" w14:paraId="790D46FF" w14:textId="77777777" w:rsidTr="006D1659">
        <w:trPr>
          <w:jc w:val="center"/>
        </w:trPr>
        <w:tc>
          <w:tcPr>
            <w:tcW w:w="4050" w:type="dxa"/>
          </w:tcPr>
          <w:p w14:paraId="5695CFBE" w14:textId="77777777" w:rsidR="00ED10FF" w:rsidRPr="00EF4ED3" w:rsidRDefault="00ED10FF" w:rsidP="001F26F1">
            <w:pPr>
              <w:pStyle w:val="TableText"/>
              <w:jc w:val="left"/>
            </w:pPr>
            <w:r>
              <w:t>Mill Residue (sawdust, waste lumber)</w:t>
            </w:r>
          </w:p>
        </w:tc>
        <w:tc>
          <w:tcPr>
            <w:tcW w:w="3015" w:type="dxa"/>
          </w:tcPr>
          <w:p w14:paraId="4C4F9F7D" w14:textId="77777777" w:rsidR="00ED10FF" w:rsidRDefault="00ED10FF" w:rsidP="001F26F1">
            <w:pPr>
              <w:pStyle w:val="TableText"/>
            </w:pPr>
            <w:r>
              <w:t>1,116,881</w:t>
            </w:r>
          </w:p>
        </w:tc>
        <w:tc>
          <w:tcPr>
            <w:tcW w:w="3015" w:type="dxa"/>
          </w:tcPr>
          <w:p w14:paraId="25A654BB" w14:textId="77777777" w:rsidR="00ED10FF" w:rsidRDefault="00ED10FF" w:rsidP="001F26F1">
            <w:pPr>
              <w:pStyle w:val="TableText"/>
            </w:pPr>
            <w:r>
              <w:t>29</w:t>
            </w:r>
          </w:p>
        </w:tc>
      </w:tr>
      <w:tr w:rsidR="00ED10FF" w:rsidRPr="00EF4ED3" w14:paraId="2E71336F" w14:textId="77777777" w:rsidTr="006D1659">
        <w:trPr>
          <w:jc w:val="center"/>
        </w:trPr>
        <w:tc>
          <w:tcPr>
            <w:tcW w:w="4050" w:type="dxa"/>
          </w:tcPr>
          <w:p w14:paraId="0D69A644" w14:textId="77777777" w:rsidR="00ED10FF" w:rsidRPr="00EF4ED3" w:rsidRDefault="00ED10FF" w:rsidP="001F26F1">
            <w:pPr>
              <w:pStyle w:val="TableText"/>
              <w:jc w:val="left"/>
            </w:pPr>
            <w:r>
              <w:t>Agriculture (crop residues)</w:t>
            </w:r>
          </w:p>
        </w:tc>
        <w:tc>
          <w:tcPr>
            <w:tcW w:w="3015" w:type="dxa"/>
          </w:tcPr>
          <w:p w14:paraId="291C3B79" w14:textId="77777777" w:rsidR="00ED10FF" w:rsidRPr="00EF4ED3" w:rsidRDefault="00ED10FF" w:rsidP="001F26F1">
            <w:pPr>
              <w:pStyle w:val="TableText"/>
            </w:pPr>
            <w:r>
              <w:t>968,426</w:t>
            </w:r>
          </w:p>
        </w:tc>
        <w:tc>
          <w:tcPr>
            <w:tcW w:w="3015" w:type="dxa"/>
          </w:tcPr>
          <w:p w14:paraId="3B225059" w14:textId="77777777" w:rsidR="00ED10FF" w:rsidRDefault="00ED10FF" w:rsidP="001F26F1">
            <w:pPr>
              <w:pStyle w:val="TableText"/>
            </w:pPr>
            <w:r>
              <w:t>26</w:t>
            </w:r>
          </w:p>
        </w:tc>
      </w:tr>
      <w:tr w:rsidR="00ED10FF" w:rsidRPr="00EF4ED3" w14:paraId="704C620A" w14:textId="77777777" w:rsidTr="00B802E5">
        <w:trPr>
          <w:jc w:val="center"/>
        </w:trPr>
        <w:tc>
          <w:tcPr>
            <w:tcW w:w="4050" w:type="dxa"/>
            <w:tcBorders>
              <w:bottom w:val="single" w:sz="4" w:space="0" w:color="auto"/>
            </w:tcBorders>
          </w:tcPr>
          <w:p w14:paraId="47CEFFA4" w14:textId="77777777" w:rsidR="00ED10FF" w:rsidRDefault="00ED10FF" w:rsidP="001F26F1">
            <w:pPr>
              <w:pStyle w:val="TableText"/>
              <w:jc w:val="left"/>
            </w:pPr>
            <w:r>
              <w:t>Forests (slashings, deadwood, small-diameter trees)</w:t>
            </w:r>
          </w:p>
        </w:tc>
        <w:tc>
          <w:tcPr>
            <w:tcW w:w="3015" w:type="dxa"/>
            <w:tcBorders>
              <w:bottom w:val="single" w:sz="4" w:space="0" w:color="auto"/>
            </w:tcBorders>
          </w:tcPr>
          <w:p w14:paraId="6B321A01" w14:textId="77777777" w:rsidR="00ED10FF" w:rsidRDefault="00ED10FF" w:rsidP="001F26F1">
            <w:pPr>
              <w:pStyle w:val="TableText"/>
            </w:pPr>
            <w:r>
              <w:t>503,939</w:t>
            </w:r>
          </w:p>
        </w:tc>
        <w:tc>
          <w:tcPr>
            <w:tcW w:w="3015" w:type="dxa"/>
            <w:tcBorders>
              <w:bottom w:val="single" w:sz="4" w:space="0" w:color="auto"/>
            </w:tcBorders>
          </w:tcPr>
          <w:p w14:paraId="7C1C99FC" w14:textId="77777777" w:rsidR="00ED10FF" w:rsidRDefault="00ED10FF" w:rsidP="001F26F1">
            <w:pPr>
              <w:pStyle w:val="TableText"/>
            </w:pPr>
            <w:r>
              <w:t>13</w:t>
            </w:r>
          </w:p>
        </w:tc>
      </w:tr>
      <w:tr w:rsidR="00ED10FF" w:rsidRPr="00EF4ED3" w14:paraId="25D90F4C" w14:textId="77777777" w:rsidTr="00B802E5">
        <w:trPr>
          <w:jc w:val="center"/>
        </w:trPr>
        <w:tc>
          <w:tcPr>
            <w:tcW w:w="4050" w:type="dxa"/>
            <w:tcBorders>
              <w:top w:val="single" w:sz="4" w:space="0" w:color="auto"/>
              <w:bottom w:val="single" w:sz="4" w:space="0" w:color="auto"/>
            </w:tcBorders>
          </w:tcPr>
          <w:p w14:paraId="3D59FF76" w14:textId="77777777" w:rsidR="00ED10FF" w:rsidRPr="007A38E3" w:rsidRDefault="00ED10FF" w:rsidP="001F26F1">
            <w:pPr>
              <w:pStyle w:val="TableText"/>
              <w:jc w:val="left"/>
              <w:rPr>
                <w:b/>
              </w:rPr>
            </w:pPr>
            <w:r w:rsidRPr="007A38E3">
              <w:rPr>
                <w:b/>
              </w:rPr>
              <w:t>Total</w:t>
            </w:r>
          </w:p>
        </w:tc>
        <w:tc>
          <w:tcPr>
            <w:tcW w:w="3015" w:type="dxa"/>
            <w:tcBorders>
              <w:top w:val="single" w:sz="4" w:space="0" w:color="auto"/>
              <w:bottom w:val="single" w:sz="4" w:space="0" w:color="auto"/>
            </w:tcBorders>
          </w:tcPr>
          <w:p w14:paraId="40AA2603" w14:textId="77777777" w:rsidR="00ED10FF" w:rsidRPr="007A38E3" w:rsidRDefault="00ED10FF" w:rsidP="001F26F1">
            <w:pPr>
              <w:pStyle w:val="TableText"/>
              <w:rPr>
                <w:b/>
              </w:rPr>
            </w:pPr>
            <w:r w:rsidRPr="007A38E3">
              <w:rPr>
                <w:b/>
              </w:rPr>
              <w:t>3,783,115</w:t>
            </w:r>
          </w:p>
        </w:tc>
        <w:tc>
          <w:tcPr>
            <w:tcW w:w="3015" w:type="dxa"/>
            <w:tcBorders>
              <w:top w:val="single" w:sz="4" w:space="0" w:color="auto"/>
              <w:bottom w:val="single" w:sz="4" w:space="0" w:color="auto"/>
            </w:tcBorders>
          </w:tcPr>
          <w:p w14:paraId="5A811A41" w14:textId="77777777" w:rsidR="00ED10FF" w:rsidRPr="007A38E3" w:rsidRDefault="00ED10FF" w:rsidP="001F26F1">
            <w:pPr>
              <w:pStyle w:val="TableText"/>
              <w:rPr>
                <w:b/>
              </w:rPr>
            </w:pPr>
            <w:r w:rsidRPr="007A38E3">
              <w:rPr>
                <w:b/>
              </w:rPr>
              <w:t>100</w:t>
            </w:r>
          </w:p>
        </w:tc>
      </w:tr>
    </w:tbl>
    <w:p w14:paraId="735ABABC" w14:textId="77777777" w:rsidR="00B802E5" w:rsidRPr="00EF4ED3" w:rsidRDefault="00B802E5" w:rsidP="001F26F1">
      <w:pPr>
        <w:pStyle w:val="TableSource"/>
      </w:pPr>
      <w:r w:rsidRPr="00EF4ED3">
        <w:t xml:space="preserve">Source: </w:t>
      </w:r>
      <w:r>
        <w:t>CalRecycle 2017</w:t>
      </w:r>
    </w:p>
    <w:p w14:paraId="3A3B4819" w14:textId="77777777" w:rsidR="00ED10FF" w:rsidRDefault="00ED10FF" w:rsidP="00973245">
      <w:pPr>
        <w:pStyle w:val="BodyText12ptbefore"/>
        <w:rPr>
          <w:shd w:val="clear" w:color="auto" w:fill="FFFFFF"/>
        </w:rPr>
      </w:pPr>
      <w:r>
        <w:rPr>
          <w:shd w:val="clear" w:color="auto" w:fill="FFFFFF"/>
        </w:rPr>
        <w:t xml:space="preserve">Electric utilities in California have relied on biomass power plants to produce electricity for residential and commercial customers since the 1980s. Many of the facilities currently operating were designed in this era and are direct-combustion type plants where biomass feedstock is burned to power steam turbines that generate electricity. </w:t>
      </w:r>
    </w:p>
    <w:p w14:paraId="0F49C0A0" w14:textId="58D35CFE" w:rsidR="00ED10FF" w:rsidRDefault="00ED10FF" w:rsidP="00132288">
      <w:pPr>
        <w:pStyle w:val="BodyText"/>
        <w:rPr>
          <w:shd w:val="clear" w:color="auto" w:fill="FFFFFF"/>
        </w:rPr>
      </w:pPr>
      <w:r>
        <w:rPr>
          <w:shd w:val="clear" w:color="auto" w:fill="FFFFFF"/>
        </w:rPr>
        <w:t xml:space="preserve">The total number of operational facilities and </w:t>
      </w:r>
      <w:r w:rsidR="00882923">
        <w:rPr>
          <w:shd w:val="clear" w:color="auto" w:fill="FFFFFF"/>
        </w:rPr>
        <w:t>processed</w:t>
      </w:r>
      <w:r>
        <w:rPr>
          <w:shd w:val="clear" w:color="auto" w:fill="FFFFFF"/>
        </w:rPr>
        <w:t xml:space="preserve"> material fluctuates annually based on market demand, changing energy contracts, and </w:t>
      </w:r>
      <w:r w:rsidR="00882923">
        <w:rPr>
          <w:shd w:val="clear" w:color="auto" w:fill="FFFFFF"/>
        </w:rPr>
        <w:t>processing</w:t>
      </w:r>
      <w:r>
        <w:rPr>
          <w:shd w:val="clear" w:color="auto" w:fill="FFFFFF"/>
        </w:rPr>
        <w:t xml:space="preserve"> capacities, but historical data indicates an overall reduction in activity since biomass electricity generation peaked in California in the early 1990s</w:t>
      </w:r>
      <w:r w:rsidR="007D4124">
        <w:rPr>
          <w:shd w:val="clear" w:color="auto" w:fill="FFFFFF"/>
        </w:rPr>
        <w:t xml:space="preserve"> (</w:t>
      </w:r>
      <w:r w:rsidR="007D4124" w:rsidRPr="00AD06B1">
        <w:rPr>
          <w:shd w:val="clear" w:color="auto" w:fill="FFFFFF"/>
        </w:rPr>
        <w:t>Forest Climate Action Team</w:t>
      </w:r>
      <w:r w:rsidR="007D4124">
        <w:rPr>
          <w:shd w:val="clear" w:color="auto" w:fill="FFFFFF"/>
        </w:rPr>
        <w:t xml:space="preserve"> </w:t>
      </w:r>
      <w:r w:rsidR="007D4124" w:rsidRPr="00AD06B1">
        <w:rPr>
          <w:shd w:val="clear" w:color="auto" w:fill="FFFFFF"/>
        </w:rPr>
        <w:t>2018</w:t>
      </w:r>
      <w:r w:rsidR="007D4124">
        <w:rPr>
          <w:shd w:val="clear" w:color="auto" w:fill="FFFFFF"/>
        </w:rPr>
        <w:t>, NREL</w:t>
      </w:r>
      <w:r w:rsidR="007D4124" w:rsidRPr="00AD06B1">
        <w:rPr>
          <w:shd w:val="clear" w:color="auto" w:fill="FFFFFF"/>
        </w:rPr>
        <w:t xml:space="preserve"> 2000</w:t>
      </w:r>
      <w:r w:rsidR="007D4124">
        <w:rPr>
          <w:shd w:val="clear" w:color="auto" w:fill="FFFFFF"/>
        </w:rPr>
        <w:t>)</w:t>
      </w:r>
      <w:r>
        <w:rPr>
          <w:shd w:val="clear" w:color="auto" w:fill="FFFFFF"/>
        </w:rPr>
        <w:t>. The decrease in activity is attributed to a variety of regulatory and economic factors. In 2016</w:t>
      </w:r>
      <w:r w:rsidR="007D4124">
        <w:rPr>
          <w:shd w:val="clear" w:color="auto" w:fill="FFFFFF"/>
        </w:rPr>
        <w:t>,</w:t>
      </w:r>
      <w:r>
        <w:rPr>
          <w:shd w:val="clear" w:color="auto" w:fill="FFFFFF"/>
        </w:rPr>
        <w:t xml:space="preserve"> Senate Bill 859 was signed into law, requiring the state</w:t>
      </w:r>
      <w:r w:rsidR="00D838B0">
        <w:rPr>
          <w:shd w:val="clear" w:color="auto" w:fill="FFFFFF"/>
        </w:rPr>
        <w:t>’</w:t>
      </w:r>
      <w:r>
        <w:rPr>
          <w:shd w:val="clear" w:color="auto" w:fill="FFFFFF"/>
        </w:rPr>
        <w:t>s electrical utilities to collectively procure 125 MW of electricity from biomass sources, with at least 80 percent of feedstock coming from dead and dying trees from hazard zones. The utility procurement contracts signed in response to this legislation were limited to five-year terms that are set to expire around 2022.</w:t>
      </w:r>
      <w:r w:rsidR="008B018E">
        <w:rPr>
          <w:shd w:val="clear" w:color="auto" w:fill="FFFFFF"/>
        </w:rPr>
        <w:t xml:space="preserve"> </w:t>
      </w:r>
    </w:p>
    <w:p w14:paraId="1D259A9C" w14:textId="2F8D2B7A" w:rsidR="00ED10FF" w:rsidRDefault="00ED10FF" w:rsidP="00132288">
      <w:pPr>
        <w:pStyle w:val="BodyText"/>
        <w:rPr>
          <w:shd w:val="clear" w:color="auto" w:fill="FFFFFF"/>
        </w:rPr>
      </w:pPr>
      <w:r>
        <w:rPr>
          <w:shd w:val="clear" w:color="auto" w:fill="FFFFFF"/>
        </w:rPr>
        <w:t>Beyond the direct</w:t>
      </w:r>
      <w:r w:rsidR="00BD374A">
        <w:rPr>
          <w:shd w:val="clear" w:color="auto" w:fill="FFFFFF"/>
        </w:rPr>
        <w:t xml:space="preserve"> </w:t>
      </w:r>
      <w:r>
        <w:rPr>
          <w:shd w:val="clear" w:color="auto" w:fill="FFFFFF"/>
        </w:rPr>
        <w:t xml:space="preserve">combustion of woody biomass to produce electricity, there are several other current or proposed products that can be created from biomass, as shown in </w:t>
      </w:r>
      <w:r>
        <w:t>Table 3.16-2.</w:t>
      </w:r>
      <w:r>
        <w:rPr>
          <w:shd w:val="clear" w:color="auto" w:fill="FFFFFF"/>
        </w:rPr>
        <w:t xml:space="preserve"> Technologies have been developed to increase the energy density of woody biomass by converting feedstock into biofuels. Gasification of woody biomass materials through pyrolysis can create a synthesis gas (syngas) that can be used as a fuel source for electricity production. Researchers have also demonstrated the ability to convert woody biomass into renewable transportation fuels that serve as additives or drop-in substitutes for fossil fuels in internal combustion and jet engines </w:t>
      </w:r>
      <w:r w:rsidRPr="00CC285B">
        <w:rPr>
          <w:shd w:val="clear" w:color="auto" w:fill="FFFFFF"/>
        </w:rPr>
        <w:t>(</w:t>
      </w:r>
      <w:bookmarkStart w:id="6" w:name="_Hlk8115707"/>
      <w:r w:rsidRPr="00CC285B">
        <w:rPr>
          <w:shd w:val="clear" w:color="auto" w:fill="FFFFFF"/>
        </w:rPr>
        <w:t>Shelley et al. 2016</w:t>
      </w:r>
      <w:bookmarkEnd w:id="6"/>
      <w:r w:rsidRPr="00CC285B">
        <w:rPr>
          <w:shd w:val="clear" w:color="auto" w:fill="FFFFFF"/>
        </w:rPr>
        <w:t>).</w:t>
      </w:r>
      <w:r>
        <w:rPr>
          <w:shd w:val="clear" w:color="auto" w:fill="FFFFFF"/>
        </w:rPr>
        <w:t xml:space="preserve"> The use of biomass as a transportation fuel may have promising market potential, </w:t>
      </w:r>
      <w:r w:rsidR="00267757">
        <w:rPr>
          <w:shd w:val="clear" w:color="auto" w:fill="FFFFFF"/>
        </w:rPr>
        <w:t>because of</w:t>
      </w:r>
      <w:r>
        <w:rPr>
          <w:shd w:val="clear" w:color="auto" w:fill="FFFFFF"/>
        </w:rPr>
        <w:t xml:space="preserve"> the high market value of fuels for transportation, and the availability of credits from </w:t>
      </w:r>
      <w:r w:rsidR="00AA0D79" w:rsidRPr="00303660">
        <w:t>California Air Resources Board</w:t>
      </w:r>
      <w:r w:rsidR="00AA0D79">
        <w:t>’</w:t>
      </w:r>
      <w:r w:rsidR="00AA0D79" w:rsidRPr="00303660">
        <w:t xml:space="preserve">s </w:t>
      </w:r>
      <w:r w:rsidR="00AA0D79">
        <w:t xml:space="preserve">(CARB) </w:t>
      </w:r>
      <w:r>
        <w:rPr>
          <w:shd w:val="clear" w:color="auto" w:fill="FFFFFF"/>
        </w:rPr>
        <w:t>Low Carbon Fuel Standard Program (</w:t>
      </w:r>
      <w:r w:rsidRPr="00AD06B1">
        <w:rPr>
          <w:shd w:val="clear" w:color="auto" w:fill="FFFFFF"/>
        </w:rPr>
        <w:t>Forest Climate Action Team</w:t>
      </w:r>
      <w:r>
        <w:rPr>
          <w:shd w:val="clear" w:color="auto" w:fill="FFFFFF"/>
        </w:rPr>
        <w:t xml:space="preserve"> </w:t>
      </w:r>
      <w:r w:rsidRPr="00AD06B1">
        <w:rPr>
          <w:shd w:val="clear" w:color="auto" w:fill="FFFFFF"/>
        </w:rPr>
        <w:t>2018</w:t>
      </w:r>
      <w:r>
        <w:rPr>
          <w:shd w:val="clear" w:color="auto" w:fill="FFFFFF"/>
        </w:rPr>
        <w:t xml:space="preserve">). Although anaerobic digestion cannot be used to decompose woody biomass </w:t>
      </w:r>
      <w:r w:rsidR="00267757">
        <w:rPr>
          <w:shd w:val="clear" w:color="auto" w:fill="FFFFFF"/>
        </w:rPr>
        <w:t>because of</w:t>
      </w:r>
      <w:r>
        <w:rPr>
          <w:shd w:val="clear" w:color="auto" w:fill="FFFFFF"/>
        </w:rPr>
        <w:t xml:space="preserve"> the structural characteristics of wood, the anticipated expansion of </w:t>
      </w:r>
      <w:r w:rsidR="00816B6A">
        <w:rPr>
          <w:shd w:val="clear" w:color="auto" w:fill="FFFFFF"/>
        </w:rPr>
        <w:t>anaerobic digestion</w:t>
      </w:r>
      <w:r>
        <w:rPr>
          <w:shd w:val="clear" w:color="auto" w:fill="FFFFFF"/>
        </w:rPr>
        <w:t xml:space="preserve"> </w:t>
      </w:r>
      <w:r>
        <w:rPr>
          <w:shd w:val="clear" w:color="auto" w:fill="FFFFFF"/>
        </w:rPr>
        <w:lastRenderedPageBreak/>
        <w:t>facilities statewide under SB 1383</w:t>
      </w:r>
      <w:r w:rsidR="00F14AEA">
        <w:rPr>
          <w:shd w:val="clear" w:color="auto" w:fill="FFFFFF"/>
        </w:rPr>
        <w:t xml:space="preserve"> (</w:t>
      </w:r>
      <w:r>
        <w:rPr>
          <w:shd w:val="clear" w:color="auto" w:fill="FFFFFF"/>
        </w:rPr>
        <w:t xml:space="preserve">as described later in this </w:t>
      </w:r>
      <w:r w:rsidR="00816B6A">
        <w:rPr>
          <w:shd w:val="clear" w:color="auto" w:fill="FFFFFF"/>
        </w:rPr>
        <w:t>section</w:t>
      </w:r>
      <w:r w:rsidR="00F14AEA">
        <w:rPr>
          <w:shd w:val="clear" w:color="auto" w:fill="FFFFFF"/>
        </w:rPr>
        <w:t xml:space="preserve"> under Impact UTIL-2)</w:t>
      </w:r>
      <w:r>
        <w:rPr>
          <w:shd w:val="clear" w:color="auto" w:fill="FFFFFF"/>
        </w:rPr>
        <w:t xml:space="preserve"> may support the formation of a larger market for alternative fuels produced from </w:t>
      </w:r>
      <w:r w:rsidR="009F307E">
        <w:t xml:space="preserve">solid </w:t>
      </w:r>
      <w:r>
        <w:rPr>
          <w:shd w:val="clear" w:color="auto" w:fill="FFFFFF"/>
        </w:rPr>
        <w:t>organic waste</w:t>
      </w:r>
      <w:r w:rsidR="00F14AEA">
        <w:rPr>
          <w:shd w:val="clear" w:color="auto" w:fill="FFFFFF"/>
        </w:rPr>
        <w:t>, including woody biomass</w:t>
      </w:r>
      <w:r>
        <w:rPr>
          <w:shd w:val="clear" w:color="auto" w:fill="FFFFFF"/>
        </w:rPr>
        <w:t>.</w:t>
      </w:r>
    </w:p>
    <w:p w14:paraId="73472112" w14:textId="02DF79F3" w:rsidR="00ED10FF" w:rsidRPr="00267757" w:rsidRDefault="00ED10FF" w:rsidP="00267757">
      <w:pPr>
        <w:pStyle w:val="BodyText"/>
        <w:rPr>
          <w:spacing w:val="-2"/>
          <w:shd w:val="clear" w:color="auto" w:fill="FFFFFF"/>
        </w:rPr>
      </w:pPr>
      <w:r w:rsidRPr="00267757">
        <w:rPr>
          <w:spacing w:val="-2"/>
          <w:shd w:val="clear" w:color="auto" w:fill="FFFFFF"/>
        </w:rPr>
        <w:t xml:space="preserve">Woody biomass can also be processed into mass timber, a sustainable construction material for commercial and residential buildings. Mass timber describes pre-fabricated panels </w:t>
      </w:r>
      <w:r w:rsidR="00DB3E18" w:rsidRPr="00267757">
        <w:rPr>
          <w:spacing w:val="-2"/>
          <w:shd w:val="clear" w:color="auto" w:fill="FFFFFF"/>
        </w:rPr>
        <w:t xml:space="preserve">and framing planks </w:t>
      </w:r>
      <w:r w:rsidRPr="00267757">
        <w:rPr>
          <w:spacing w:val="-2"/>
          <w:shd w:val="clear" w:color="auto" w:fill="FFFFFF"/>
        </w:rPr>
        <w:t xml:space="preserve">produced from woody biomass combined with other materials that are engineered for a variety of structural or aesthetic applications in buildings. Accelerating the use of mass timber was recommended </w:t>
      </w:r>
      <w:r w:rsidRPr="00267757">
        <w:rPr>
          <w:spacing w:val="-2"/>
        </w:rPr>
        <w:t xml:space="preserve">by the </w:t>
      </w:r>
      <w:r w:rsidRPr="00267757">
        <w:rPr>
          <w:spacing w:val="-2"/>
          <w:shd w:val="clear" w:color="auto" w:fill="FFFFFF"/>
        </w:rPr>
        <w:t>California Natural Resources Agency to the state legislature in 2017 as a strategy for developing a statewide market to utilize woody biomass removed from high hazard zones (CNRA 2017). A grant program is currently being administered by California</w:t>
      </w:r>
      <w:r w:rsidR="00D838B0" w:rsidRPr="00267757">
        <w:rPr>
          <w:spacing w:val="-2"/>
          <w:shd w:val="clear" w:color="auto" w:fill="FFFFFF"/>
        </w:rPr>
        <w:t>’</w:t>
      </w:r>
      <w:r w:rsidRPr="00267757">
        <w:rPr>
          <w:spacing w:val="-2"/>
          <w:shd w:val="clear" w:color="auto" w:fill="FFFFFF"/>
        </w:rPr>
        <w:t>s Government Operations Agency to increase the in-state production capacity of mass timber using biomass materials derived from small-diameter, dead and dying trees, which are types that would be removed as part of the CalVTP program (GovOps 2019).</w:t>
      </w:r>
      <w:r w:rsidR="008B018E" w:rsidRPr="00267757">
        <w:rPr>
          <w:spacing w:val="-2"/>
        </w:rPr>
        <w:t xml:space="preserve"> </w:t>
      </w:r>
    </w:p>
    <w:p w14:paraId="33703B04" w14:textId="77777777" w:rsidR="00B802E5" w:rsidRPr="00F158A4" w:rsidRDefault="00B802E5" w:rsidP="001F26F1">
      <w:pPr>
        <w:pStyle w:val="TableHeader"/>
      </w:pPr>
      <w:bookmarkStart w:id="7" w:name="_Toc23838390"/>
      <w:bookmarkStart w:id="8" w:name="_Hlk523320006"/>
      <w:r w:rsidRPr="00F158A4">
        <w:t xml:space="preserve">Table </w:t>
      </w:r>
      <w:r>
        <w:t>3.16</w:t>
      </w:r>
      <w:r w:rsidRPr="00F158A4">
        <w:t>-</w:t>
      </w:r>
      <w:r>
        <w:t>2</w:t>
      </w:r>
      <w:r w:rsidRPr="00F158A4">
        <w:tab/>
      </w:r>
      <w:r>
        <w:t>Potential Products Generated from Woody Biomass</w:t>
      </w:r>
      <w:bookmarkEnd w:id="7"/>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00"/>
        <w:gridCol w:w="3870"/>
        <w:gridCol w:w="1987"/>
        <w:gridCol w:w="2423"/>
      </w:tblGrid>
      <w:tr w:rsidR="00ED10FF" w:rsidRPr="00EF4ED3" w14:paraId="0F87FC9B" w14:textId="77777777" w:rsidTr="00267757">
        <w:trPr>
          <w:tblHeader/>
          <w:jc w:val="center"/>
        </w:trPr>
        <w:tc>
          <w:tcPr>
            <w:tcW w:w="1800" w:type="dxa"/>
            <w:tcBorders>
              <w:top w:val="single" w:sz="4" w:space="0" w:color="auto"/>
            </w:tcBorders>
            <w:shd w:val="clear" w:color="auto" w:fill="D9D9D9" w:themeFill="background1" w:themeFillShade="D9"/>
          </w:tcPr>
          <w:p w14:paraId="394E9E15" w14:textId="77777777" w:rsidR="00ED10FF" w:rsidRPr="00EF4ED3" w:rsidRDefault="00ED10FF" w:rsidP="001F26F1">
            <w:pPr>
              <w:pStyle w:val="TableColumn"/>
            </w:pPr>
            <w:r>
              <w:t>Product</w:t>
            </w:r>
          </w:p>
        </w:tc>
        <w:tc>
          <w:tcPr>
            <w:tcW w:w="3870" w:type="dxa"/>
            <w:tcBorders>
              <w:top w:val="single" w:sz="4" w:space="0" w:color="auto"/>
            </w:tcBorders>
            <w:shd w:val="clear" w:color="auto" w:fill="D9D9D9" w:themeFill="background1" w:themeFillShade="D9"/>
          </w:tcPr>
          <w:p w14:paraId="181361A6" w14:textId="77777777" w:rsidR="00ED10FF" w:rsidRPr="00EF4ED3" w:rsidRDefault="00ED10FF" w:rsidP="001F26F1">
            <w:pPr>
              <w:pStyle w:val="TableColumn"/>
            </w:pPr>
            <w:r>
              <w:t>Examples</w:t>
            </w:r>
          </w:p>
        </w:tc>
        <w:tc>
          <w:tcPr>
            <w:tcW w:w="1987" w:type="dxa"/>
            <w:tcBorders>
              <w:top w:val="single" w:sz="4" w:space="0" w:color="auto"/>
            </w:tcBorders>
            <w:shd w:val="clear" w:color="auto" w:fill="D9D9D9" w:themeFill="background1" w:themeFillShade="D9"/>
          </w:tcPr>
          <w:p w14:paraId="3A95E4DD" w14:textId="77777777" w:rsidR="00ED10FF" w:rsidRPr="00EF4ED3" w:rsidRDefault="00ED10FF" w:rsidP="001F26F1">
            <w:pPr>
              <w:pStyle w:val="TableColumn"/>
            </w:pPr>
            <w:r>
              <w:t>Sector</w:t>
            </w:r>
          </w:p>
        </w:tc>
        <w:tc>
          <w:tcPr>
            <w:tcW w:w="2423" w:type="dxa"/>
            <w:tcBorders>
              <w:top w:val="single" w:sz="4" w:space="0" w:color="auto"/>
            </w:tcBorders>
            <w:shd w:val="clear" w:color="auto" w:fill="D9D9D9" w:themeFill="background1" w:themeFillShade="D9"/>
          </w:tcPr>
          <w:p w14:paraId="2379B7AC" w14:textId="77777777" w:rsidR="00ED10FF" w:rsidRDefault="00ED10FF" w:rsidP="001F26F1">
            <w:pPr>
              <w:pStyle w:val="TableColumn"/>
            </w:pPr>
            <w:r>
              <w:t>Market Readiness</w:t>
            </w:r>
          </w:p>
        </w:tc>
      </w:tr>
      <w:tr w:rsidR="00ED10FF" w:rsidRPr="00EF4ED3" w14:paraId="52577718" w14:textId="77777777" w:rsidTr="00E84CA4">
        <w:trPr>
          <w:jc w:val="center"/>
        </w:trPr>
        <w:tc>
          <w:tcPr>
            <w:tcW w:w="1800" w:type="dxa"/>
          </w:tcPr>
          <w:p w14:paraId="6EF285D8" w14:textId="77777777" w:rsidR="00ED10FF" w:rsidRDefault="00ED10FF" w:rsidP="001F26F1">
            <w:pPr>
              <w:pStyle w:val="TableText"/>
              <w:jc w:val="left"/>
            </w:pPr>
            <w:r>
              <w:t xml:space="preserve">Electricity </w:t>
            </w:r>
          </w:p>
        </w:tc>
        <w:tc>
          <w:tcPr>
            <w:tcW w:w="3870" w:type="dxa"/>
          </w:tcPr>
          <w:p w14:paraId="6905B0DE" w14:textId="77777777" w:rsidR="00ED10FF" w:rsidRDefault="00ED10FF" w:rsidP="001F26F1">
            <w:pPr>
              <w:pStyle w:val="TableText"/>
              <w:jc w:val="left"/>
            </w:pPr>
            <w:r>
              <w:t xml:space="preserve">Direct-combustion, Cogeneration, CHP </w:t>
            </w:r>
          </w:p>
        </w:tc>
        <w:tc>
          <w:tcPr>
            <w:tcW w:w="1987" w:type="dxa"/>
          </w:tcPr>
          <w:p w14:paraId="1A5F292A" w14:textId="77777777" w:rsidR="00ED10FF" w:rsidRDefault="00ED10FF" w:rsidP="001F26F1">
            <w:pPr>
              <w:pStyle w:val="TableText"/>
            </w:pPr>
            <w:r>
              <w:t>Energy</w:t>
            </w:r>
          </w:p>
        </w:tc>
        <w:tc>
          <w:tcPr>
            <w:tcW w:w="2423" w:type="dxa"/>
          </w:tcPr>
          <w:p w14:paraId="4FBAF50B" w14:textId="77777777" w:rsidR="00ED10FF" w:rsidRDefault="00ED10FF" w:rsidP="001F26F1">
            <w:pPr>
              <w:pStyle w:val="TableText"/>
            </w:pPr>
            <w:r>
              <w:t>Available</w:t>
            </w:r>
          </w:p>
        </w:tc>
      </w:tr>
      <w:tr w:rsidR="00ED10FF" w:rsidRPr="00EF4ED3" w14:paraId="2DC63256" w14:textId="77777777" w:rsidTr="00E84CA4">
        <w:trPr>
          <w:jc w:val="center"/>
        </w:trPr>
        <w:tc>
          <w:tcPr>
            <w:tcW w:w="1800" w:type="dxa"/>
          </w:tcPr>
          <w:p w14:paraId="0080B43B" w14:textId="77777777" w:rsidR="00ED10FF" w:rsidRPr="00EF4ED3" w:rsidRDefault="00ED10FF" w:rsidP="001F26F1">
            <w:pPr>
              <w:pStyle w:val="TableText"/>
              <w:jc w:val="left"/>
            </w:pPr>
            <w:r>
              <w:t>Soil Additives and Amendments</w:t>
            </w:r>
          </w:p>
        </w:tc>
        <w:tc>
          <w:tcPr>
            <w:tcW w:w="3870" w:type="dxa"/>
          </w:tcPr>
          <w:p w14:paraId="648EED1C" w14:textId="77777777" w:rsidR="00ED10FF" w:rsidRPr="00EF4ED3" w:rsidRDefault="00ED10FF" w:rsidP="001F26F1">
            <w:pPr>
              <w:pStyle w:val="TableText"/>
              <w:jc w:val="left"/>
            </w:pPr>
            <w:r>
              <w:t>Mulch, Compost, Biochar</w:t>
            </w:r>
          </w:p>
        </w:tc>
        <w:tc>
          <w:tcPr>
            <w:tcW w:w="1987" w:type="dxa"/>
          </w:tcPr>
          <w:p w14:paraId="5A2B356C" w14:textId="77777777" w:rsidR="00ED10FF" w:rsidRDefault="00ED10FF" w:rsidP="001F26F1">
            <w:pPr>
              <w:pStyle w:val="TableText"/>
            </w:pPr>
            <w:r>
              <w:t>Agriculture</w:t>
            </w:r>
          </w:p>
        </w:tc>
        <w:tc>
          <w:tcPr>
            <w:tcW w:w="2423" w:type="dxa"/>
          </w:tcPr>
          <w:p w14:paraId="46AD44E7" w14:textId="77777777" w:rsidR="00ED10FF" w:rsidRDefault="00ED10FF" w:rsidP="001F26F1">
            <w:pPr>
              <w:pStyle w:val="TableText"/>
            </w:pPr>
            <w:r>
              <w:t>Available: Mulch, Compost</w:t>
            </w:r>
          </w:p>
          <w:p w14:paraId="00393580" w14:textId="77777777" w:rsidR="00ED10FF" w:rsidRDefault="00ED10FF" w:rsidP="001F26F1">
            <w:pPr>
              <w:pStyle w:val="TableText"/>
            </w:pPr>
            <w:r>
              <w:t>R&amp;D: Biochar</w:t>
            </w:r>
          </w:p>
        </w:tc>
      </w:tr>
      <w:tr w:rsidR="00ED10FF" w:rsidRPr="00EF4ED3" w14:paraId="7285A933" w14:textId="77777777" w:rsidTr="00E84CA4">
        <w:trPr>
          <w:jc w:val="center"/>
        </w:trPr>
        <w:tc>
          <w:tcPr>
            <w:tcW w:w="1800" w:type="dxa"/>
          </w:tcPr>
          <w:p w14:paraId="2785E7FC" w14:textId="77777777" w:rsidR="00ED10FF" w:rsidRPr="00EF4ED3" w:rsidRDefault="00ED10FF" w:rsidP="001F26F1">
            <w:pPr>
              <w:pStyle w:val="TableText"/>
              <w:jc w:val="left"/>
            </w:pPr>
            <w:r>
              <w:t>Engineered Wood</w:t>
            </w:r>
          </w:p>
        </w:tc>
        <w:tc>
          <w:tcPr>
            <w:tcW w:w="3870" w:type="dxa"/>
          </w:tcPr>
          <w:p w14:paraId="57216F22" w14:textId="77777777" w:rsidR="00ED10FF" w:rsidRPr="00EF4ED3" w:rsidRDefault="00ED10FF" w:rsidP="001F26F1">
            <w:pPr>
              <w:pStyle w:val="TableText"/>
              <w:jc w:val="left"/>
            </w:pPr>
            <w:r>
              <w:t>Cross-Laminated Timber, Medium-Density Fiberboard, Particleboard, Veneer Laminated Lumber, Oriented-Strand Board</w:t>
            </w:r>
          </w:p>
        </w:tc>
        <w:tc>
          <w:tcPr>
            <w:tcW w:w="1987" w:type="dxa"/>
          </w:tcPr>
          <w:p w14:paraId="38B15B38" w14:textId="77777777" w:rsidR="00ED10FF" w:rsidRPr="00EF4ED3" w:rsidRDefault="00ED10FF" w:rsidP="001F26F1">
            <w:pPr>
              <w:pStyle w:val="TableText"/>
            </w:pPr>
            <w:r>
              <w:t>Construction</w:t>
            </w:r>
          </w:p>
        </w:tc>
        <w:tc>
          <w:tcPr>
            <w:tcW w:w="2423" w:type="dxa"/>
          </w:tcPr>
          <w:p w14:paraId="07055474" w14:textId="77777777" w:rsidR="00ED10FF" w:rsidRDefault="00ED10FF" w:rsidP="001F26F1">
            <w:pPr>
              <w:pStyle w:val="TableText"/>
            </w:pPr>
            <w:r>
              <w:t>Available</w:t>
            </w:r>
          </w:p>
        </w:tc>
      </w:tr>
      <w:tr w:rsidR="00ED10FF" w:rsidRPr="00EF4ED3" w14:paraId="60EE3139" w14:textId="77777777" w:rsidTr="00E84CA4">
        <w:trPr>
          <w:jc w:val="center"/>
        </w:trPr>
        <w:tc>
          <w:tcPr>
            <w:tcW w:w="1800" w:type="dxa"/>
          </w:tcPr>
          <w:p w14:paraId="0CB8F92D" w14:textId="77777777" w:rsidR="00ED10FF" w:rsidRDefault="00ED10FF" w:rsidP="001F26F1">
            <w:pPr>
              <w:pStyle w:val="TableText"/>
              <w:jc w:val="left"/>
            </w:pPr>
            <w:r>
              <w:t>Firewood</w:t>
            </w:r>
          </w:p>
        </w:tc>
        <w:tc>
          <w:tcPr>
            <w:tcW w:w="3870" w:type="dxa"/>
          </w:tcPr>
          <w:p w14:paraId="2F3BD956" w14:textId="77777777" w:rsidR="00ED10FF" w:rsidRDefault="00ED10FF" w:rsidP="001F26F1">
            <w:pPr>
              <w:pStyle w:val="TableText"/>
              <w:jc w:val="left"/>
            </w:pPr>
            <w:r>
              <w:t>Firewood and wood chips</w:t>
            </w:r>
          </w:p>
        </w:tc>
        <w:tc>
          <w:tcPr>
            <w:tcW w:w="1987" w:type="dxa"/>
          </w:tcPr>
          <w:p w14:paraId="260D959B" w14:textId="77777777" w:rsidR="00ED10FF" w:rsidRDefault="00ED10FF" w:rsidP="001F26F1">
            <w:pPr>
              <w:pStyle w:val="TableText"/>
            </w:pPr>
            <w:r>
              <w:t>Consumer</w:t>
            </w:r>
          </w:p>
        </w:tc>
        <w:tc>
          <w:tcPr>
            <w:tcW w:w="2423" w:type="dxa"/>
          </w:tcPr>
          <w:p w14:paraId="72311B38" w14:textId="77777777" w:rsidR="00ED10FF" w:rsidRDefault="00ED10FF" w:rsidP="001F26F1">
            <w:pPr>
              <w:pStyle w:val="TableText"/>
            </w:pPr>
            <w:r>
              <w:t>Available</w:t>
            </w:r>
          </w:p>
        </w:tc>
      </w:tr>
      <w:tr w:rsidR="00ED10FF" w:rsidRPr="00EF4ED3" w14:paraId="58826383" w14:textId="77777777" w:rsidTr="00E84CA4">
        <w:trPr>
          <w:jc w:val="center"/>
        </w:trPr>
        <w:tc>
          <w:tcPr>
            <w:tcW w:w="1800" w:type="dxa"/>
          </w:tcPr>
          <w:p w14:paraId="2CE3378B" w14:textId="77777777" w:rsidR="00ED10FF" w:rsidRDefault="00ED10FF" w:rsidP="001F26F1">
            <w:pPr>
              <w:pStyle w:val="TableText"/>
              <w:jc w:val="left"/>
            </w:pPr>
            <w:r>
              <w:t>Paper</w:t>
            </w:r>
          </w:p>
        </w:tc>
        <w:tc>
          <w:tcPr>
            <w:tcW w:w="3870" w:type="dxa"/>
          </w:tcPr>
          <w:p w14:paraId="23D68F30" w14:textId="77777777" w:rsidR="00ED10FF" w:rsidRDefault="00ED10FF" w:rsidP="001F26F1">
            <w:pPr>
              <w:pStyle w:val="TableText"/>
              <w:jc w:val="left"/>
            </w:pPr>
            <w:r>
              <w:t>Pulp Chips</w:t>
            </w:r>
          </w:p>
        </w:tc>
        <w:tc>
          <w:tcPr>
            <w:tcW w:w="1987" w:type="dxa"/>
          </w:tcPr>
          <w:p w14:paraId="793FE70C" w14:textId="77777777" w:rsidR="00ED10FF" w:rsidRDefault="00ED10FF" w:rsidP="001F26F1">
            <w:pPr>
              <w:pStyle w:val="TableText"/>
            </w:pPr>
            <w:r>
              <w:t>Manufacturing</w:t>
            </w:r>
          </w:p>
        </w:tc>
        <w:tc>
          <w:tcPr>
            <w:tcW w:w="2423" w:type="dxa"/>
          </w:tcPr>
          <w:p w14:paraId="238FA38F" w14:textId="77777777" w:rsidR="00ED10FF" w:rsidRDefault="00ED10FF" w:rsidP="001F26F1">
            <w:pPr>
              <w:pStyle w:val="TableText"/>
            </w:pPr>
            <w:r>
              <w:t>Available</w:t>
            </w:r>
          </w:p>
        </w:tc>
      </w:tr>
      <w:tr w:rsidR="00ED10FF" w:rsidRPr="00EF4ED3" w14:paraId="292C8C12" w14:textId="77777777" w:rsidTr="00B802E5">
        <w:trPr>
          <w:jc w:val="center"/>
        </w:trPr>
        <w:tc>
          <w:tcPr>
            <w:tcW w:w="1800" w:type="dxa"/>
            <w:tcBorders>
              <w:bottom w:val="single" w:sz="4" w:space="0" w:color="auto"/>
            </w:tcBorders>
          </w:tcPr>
          <w:p w14:paraId="1D308C22" w14:textId="77777777" w:rsidR="00ED10FF" w:rsidRDefault="00ED10FF" w:rsidP="001F26F1">
            <w:pPr>
              <w:pStyle w:val="TableText"/>
              <w:jc w:val="left"/>
            </w:pPr>
            <w:r>
              <w:t>Densified Wood</w:t>
            </w:r>
          </w:p>
        </w:tc>
        <w:tc>
          <w:tcPr>
            <w:tcW w:w="3870" w:type="dxa"/>
            <w:tcBorders>
              <w:bottom w:val="single" w:sz="4" w:space="0" w:color="auto"/>
            </w:tcBorders>
          </w:tcPr>
          <w:p w14:paraId="6A7CAB46" w14:textId="77777777" w:rsidR="00ED10FF" w:rsidRDefault="00ED10FF" w:rsidP="001F26F1">
            <w:pPr>
              <w:pStyle w:val="TableText"/>
              <w:jc w:val="left"/>
            </w:pPr>
            <w:r>
              <w:t>Compressed wood pellets, logs or bricks</w:t>
            </w:r>
          </w:p>
        </w:tc>
        <w:tc>
          <w:tcPr>
            <w:tcW w:w="1987" w:type="dxa"/>
            <w:tcBorders>
              <w:bottom w:val="single" w:sz="4" w:space="0" w:color="auto"/>
            </w:tcBorders>
          </w:tcPr>
          <w:p w14:paraId="4BC37BBD" w14:textId="77777777" w:rsidR="00ED10FF" w:rsidRDefault="00ED10FF" w:rsidP="001F26F1">
            <w:pPr>
              <w:pStyle w:val="TableText"/>
            </w:pPr>
            <w:r>
              <w:t>Consumer</w:t>
            </w:r>
          </w:p>
        </w:tc>
        <w:tc>
          <w:tcPr>
            <w:tcW w:w="2423" w:type="dxa"/>
            <w:tcBorders>
              <w:bottom w:val="single" w:sz="4" w:space="0" w:color="auto"/>
            </w:tcBorders>
          </w:tcPr>
          <w:p w14:paraId="256EDD4D" w14:textId="77777777" w:rsidR="00ED10FF" w:rsidRDefault="00ED10FF" w:rsidP="001F26F1">
            <w:pPr>
              <w:pStyle w:val="TableText"/>
            </w:pPr>
            <w:r>
              <w:t>Available</w:t>
            </w:r>
          </w:p>
        </w:tc>
      </w:tr>
      <w:tr w:rsidR="00ED10FF" w:rsidRPr="00EF4ED3" w14:paraId="79707B73" w14:textId="77777777" w:rsidTr="00B802E5">
        <w:trPr>
          <w:jc w:val="center"/>
        </w:trPr>
        <w:tc>
          <w:tcPr>
            <w:tcW w:w="1800" w:type="dxa"/>
            <w:tcBorders>
              <w:top w:val="single" w:sz="4" w:space="0" w:color="auto"/>
              <w:bottom w:val="single" w:sz="4" w:space="0" w:color="auto"/>
            </w:tcBorders>
          </w:tcPr>
          <w:p w14:paraId="2D0651C0" w14:textId="77777777" w:rsidR="00ED10FF" w:rsidRPr="00EF4ED3" w:rsidRDefault="00ED10FF" w:rsidP="001F26F1">
            <w:pPr>
              <w:pStyle w:val="TableText"/>
              <w:jc w:val="left"/>
            </w:pPr>
            <w:r>
              <w:t>Biofuels</w:t>
            </w:r>
          </w:p>
        </w:tc>
        <w:tc>
          <w:tcPr>
            <w:tcW w:w="3870" w:type="dxa"/>
            <w:tcBorders>
              <w:top w:val="single" w:sz="4" w:space="0" w:color="auto"/>
              <w:bottom w:val="single" w:sz="4" w:space="0" w:color="auto"/>
            </w:tcBorders>
          </w:tcPr>
          <w:p w14:paraId="667B09F7" w14:textId="77777777" w:rsidR="00ED10FF" w:rsidRPr="00EF4ED3" w:rsidRDefault="00ED10FF" w:rsidP="001F26F1">
            <w:pPr>
              <w:pStyle w:val="TableText"/>
              <w:jc w:val="left"/>
            </w:pPr>
            <w:r>
              <w:t>Synthesis Gas (syngas), Pyrolysis Oil, Producer Gas, Ethanol, drop-in fuels (gasoline/diesel/jet fuel)</w:t>
            </w:r>
          </w:p>
        </w:tc>
        <w:tc>
          <w:tcPr>
            <w:tcW w:w="1987" w:type="dxa"/>
            <w:tcBorders>
              <w:top w:val="single" w:sz="4" w:space="0" w:color="auto"/>
              <w:bottom w:val="single" w:sz="4" w:space="0" w:color="auto"/>
            </w:tcBorders>
          </w:tcPr>
          <w:p w14:paraId="193A330E" w14:textId="77777777" w:rsidR="00ED10FF" w:rsidRDefault="00ED10FF" w:rsidP="001F26F1">
            <w:pPr>
              <w:pStyle w:val="TableText"/>
            </w:pPr>
            <w:r>
              <w:t>Transportation &amp; Energy</w:t>
            </w:r>
          </w:p>
        </w:tc>
        <w:tc>
          <w:tcPr>
            <w:tcW w:w="2423" w:type="dxa"/>
            <w:tcBorders>
              <w:top w:val="single" w:sz="4" w:space="0" w:color="auto"/>
              <w:bottom w:val="single" w:sz="4" w:space="0" w:color="auto"/>
            </w:tcBorders>
          </w:tcPr>
          <w:p w14:paraId="68C57042" w14:textId="77777777" w:rsidR="00ED10FF" w:rsidRDefault="00ED10FF" w:rsidP="001F26F1">
            <w:pPr>
              <w:pStyle w:val="TableText"/>
            </w:pPr>
            <w:r>
              <w:t>R&amp;D</w:t>
            </w:r>
          </w:p>
        </w:tc>
      </w:tr>
    </w:tbl>
    <w:p w14:paraId="5A2B7715" w14:textId="77777777" w:rsidR="00B802E5" w:rsidRDefault="00B802E5" w:rsidP="001F26F1">
      <w:pPr>
        <w:pStyle w:val="TableSource"/>
      </w:pPr>
      <w:r>
        <w:t>Notes: CHP = Combined Heat and Power, R&amp;D = Research and Development</w:t>
      </w:r>
    </w:p>
    <w:p w14:paraId="5084427C" w14:textId="77777777" w:rsidR="00B802E5" w:rsidRPr="00EF4ED3" w:rsidRDefault="00B802E5" w:rsidP="00E84CA4">
      <w:pPr>
        <w:pStyle w:val="TableSource"/>
      </w:pPr>
      <w:r w:rsidRPr="00EF4ED3">
        <w:t xml:space="preserve">Source: </w:t>
      </w:r>
      <w:r>
        <w:t>Ascent Environmental 2019 from Shelly et al. 2016, and White 2010</w:t>
      </w:r>
    </w:p>
    <w:bookmarkEnd w:id="8"/>
    <w:p w14:paraId="2BE3A2C4" w14:textId="22AFC189" w:rsidR="00ED10FF" w:rsidRPr="00153BEF" w:rsidRDefault="00ED10FF" w:rsidP="00ED10FF">
      <w:pPr>
        <w:pStyle w:val="Heading6"/>
        <w:rPr>
          <w:shd w:val="clear" w:color="auto" w:fill="FFFFFF"/>
        </w:rPr>
      </w:pPr>
      <w:r w:rsidRPr="00153BEF">
        <w:rPr>
          <w:shd w:val="clear" w:color="auto" w:fill="FFFFFF"/>
        </w:rPr>
        <w:t xml:space="preserve">Composting </w:t>
      </w:r>
      <w:r>
        <w:rPr>
          <w:shd w:val="clear" w:color="auto" w:fill="FFFFFF"/>
        </w:rPr>
        <w:t>and Soil Amendments</w:t>
      </w:r>
    </w:p>
    <w:p w14:paraId="56E80D92" w14:textId="4CFA5231" w:rsidR="00ED10FF" w:rsidRDefault="00ED10FF" w:rsidP="00ED10FF">
      <w:pPr>
        <w:pStyle w:val="BodyText"/>
        <w:rPr>
          <w:shd w:val="clear" w:color="auto" w:fill="FFFFFF"/>
        </w:rPr>
      </w:pPr>
      <w:r w:rsidRPr="00DD4E22">
        <w:t xml:space="preserve">Compost is a product that results from the controlled biological decomposition of </w:t>
      </w:r>
      <w:r w:rsidR="009F307E">
        <w:t xml:space="preserve">solid </w:t>
      </w:r>
      <w:r w:rsidRPr="00DD4E22">
        <w:t xml:space="preserve">organic wastes that are source separated from the municipal solid waste stream. Pursuant to PRC </w:t>
      </w:r>
      <w:r w:rsidR="00C5480C">
        <w:t xml:space="preserve">Section </w:t>
      </w:r>
      <w:r w:rsidRPr="00DD4E22">
        <w:t xml:space="preserve">40116, compost includes wood waste that is not hazardous. CalRecycle provides regulatory oversight to compost and mulch providers by enforcing compliance with regulations and State minimum standards. In 2010, 9.3 million tons of material was processed by 130 operating entities. Of the 130 entities, </w:t>
      </w:r>
      <w:r>
        <w:t>half</w:t>
      </w:r>
      <w:r w:rsidRPr="00DD4E22">
        <w:t xml:space="preserve"> were composters and the other </w:t>
      </w:r>
      <w:r>
        <w:t>half</w:t>
      </w:r>
      <w:r w:rsidRPr="00DD4E22">
        <w:t xml:space="preserve"> were processers/chippers and grinders. Composting facilities process an average of 49,000 tons of woody and green materials per year (CalRecycle 2019b).</w:t>
      </w:r>
      <w:r>
        <w:t xml:space="preserve"> </w:t>
      </w:r>
      <w:r>
        <w:rPr>
          <w:shd w:val="clear" w:color="auto" w:fill="FFFFFF"/>
        </w:rPr>
        <w:t>Additional infrastructure for the processing of organic materials into compost is expected to increase in California in response to CalRecycle</w:t>
      </w:r>
      <w:r w:rsidR="00D838B0">
        <w:rPr>
          <w:shd w:val="clear" w:color="auto" w:fill="FFFFFF"/>
        </w:rPr>
        <w:t>’</w:t>
      </w:r>
      <w:r>
        <w:rPr>
          <w:shd w:val="clear" w:color="auto" w:fill="FFFFFF"/>
        </w:rPr>
        <w:t xml:space="preserve">s statewide organic waste diversion regulations, which will require the construction of 60 composting facilities, as described in </w:t>
      </w:r>
      <w:r w:rsidRPr="00463CC1">
        <w:rPr>
          <w:shd w:val="clear" w:color="auto" w:fill="FFFFFF"/>
        </w:rPr>
        <w:t>Short-Lived Climate Pollutants (SB 1383)</w:t>
      </w:r>
      <w:r>
        <w:rPr>
          <w:shd w:val="clear" w:color="auto" w:fill="FFFFFF"/>
        </w:rPr>
        <w:t xml:space="preserve"> </w:t>
      </w:r>
      <w:r w:rsidR="009D4C24">
        <w:rPr>
          <w:shd w:val="clear" w:color="auto" w:fill="FFFFFF"/>
        </w:rPr>
        <w:t xml:space="preserve">(see State under Section 3.16.2, </w:t>
      </w:r>
      <w:r w:rsidR="00D838B0">
        <w:rPr>
          <w:shd w:val="clear" w:color="auto" w:fill="FFFFFF"/>
        </w:rPr>
        <w:t>“</w:t>
      </w:r>
      <w:r w:rsidR="009D4C24">
        <w:rPr>
          <w:shd w:val="clear" w:color="auto" w:fill="FFFFFF"/>
        </w:rPr>
        <w:t>Regulatory Setting</w:t>
      </w:r>
      <w:r w:rsidR="008B018E">
        <w:rPr>
          <w:shd w:val="clear" w:color="auto" w:fill="FFFFFF"/>
        </w:rPr>
        <w:t>.</w:t>
      </w:r>
      <w:r w:rsidR="00D838B0">
        <w:rPr>
          <w:shd w:val="clear" w:color="auto" w:fill="FFFFFF"/>
        </w:rPr>
        <w:t>”</w:t>
      </w:r>
      <w:r>
        <w:rPr>
          <w:shd w:val="clear" w:color="auto" w:fill="FFFFFF"/>
        </w:rPr>
        <w:t xml:space="preserve"> </w:t>
      </w:r>
    </w:p>
    <w:p w14:paraId="1F5D881C" w14:textId="78648A2A" w:rsidR="00ED10FF" w:rsidRPr="009569C1" w:rsidRDefault="00ED10FF" w:rsidP="00ED10FF">
      <w:pPr>
        <w:pStyle w:val="BodyText"/>
        <w:rPr>
          <w:shd w:val="clear" w:color="auto" w:fill="FFFFFF"/>
        </w:rPr>
      </w:pPr>
      <w:r>
        <w:rPr>
          <w:shd w:val="clear" w:color="auto" w:fill="FFFFFF"/>
        </w:rPr>
        <w:t>A soil amendment called biochar is created as a byproduct of converting woody biomass into biofuels through pyrolysis (</w:t>
      </w:r>
      <w:r w:rsidRPr="00D81FEC">
        <w:rPr>
          <w:shd w:val="clear" w:color="auto" w:fill="FFFFFF"/>
        </w:rPr>
        <w:t>McElligott et al.</w:t>
      </w:r>
      <w:r>
        <w:rPr>
          <w:shd w:val="clear" w:color="auto" w:fill="FFFFFF"/>
        </w:rPr>
        <w:t xml:space="preserve"> 2011).</w:t>
      </w:r>
      <w:r w:rsidR="008B018E">
        <w:rPr>
          <w:shd w:val="clear" w:color="auto" w:fill="FFFFFF"/>
        </w:rPr>
        <w:t xml:space="preserve"> </w:t>
      </w:r>
      <w:r>
        <w:rPr>
          <w:shd w:val="clear" w:color="auto" w:fill="FFFFFF"/>
        </w:rPr>
        <w:t xml:space="preserve">Biochar is currently being researched by the University of California (UC) Davis and UC Merced as a soil additive for purposes of carbon dioxide sequestration in support of the </w:t>
      </w:r>
      <w:r w:rsidR="009D4C24" w:rsidRPr="006F682A">
        <w:rPr>
          <w:i/>
        </w:rPr>
        <w:t>Draft California 2030 Natural and Working Lands Climate Change Implementation Plan</w:t>
      </w:r>
      <w:r w:rsidR="009D4C24">
        <w:rPr>
          <w:shd w:val="clear" w:color="auto" w:fill="FFFFFF"/>
        </w:rPr>
        <w:t xml:space="preserve"> (</w:t>
      </w:r>
      <w:r w:rsidR="009D4C24">
        <w:t>CalEPA et al. 2019)</w:t>
      </w:r>
      <w:r>
        <w:rPr>
          <w:shd w:val="clear" w:color="auto" w:fill="FFFFFF"/>
        </w:rPr>
        <w:t>. Successful demonstration of carbon dioxide sequestration potential of this material may provide an additional benefit to the conversion of woody biomass into biofuels.</w:t>
      </w:r>
      <w:r w:rsidR="008B018E">
        <w:rPr>
          <w:shd w:val="clear" w:color="auto" w:fill="FFFFFF"/>
        </w:rPr>
        <w:t xml:space="preserve"> </w:t>
      </w:r>
    </w:p>
    <w:p w14:paraId="3CE66E31" w14:textId="7D839441" w:rsidR="003E10E8" w:rsidRPr="009A0F30" w:rsidRDefault="003E10E8" w:rsidP="003E10E8">
      <w:pPr>
        <w:pStyle w:val="Heading3"/>
      </w:pPr>
      <w:r>
        <w:lastRenderedPageBreak/>
        <w:t xml:space="preserve">Regulatory </w:t>
      </w:r>
      <w:r w:rsidR="00E2183C">
        <w:t>Setting</w:t>
      </w:r>
    </w:p>
    <w:p w14:paraId="6F1E1847" w14:textId="4AE2F49B" w:rsidR="003E10E8" w:rsidRDefault="003E10E8" w:rsidP="003E10E8">
      <w:pPr>
        <w:pStyle w:val="Heading4"/>
      </w:pPr>
      <w:r>
        <w:t>Federal</w:t>
      </w:r>
    </w:p>
    <w:p w14:paraId="4DBC850F" w14:textId="7570A5A2" w:rsidR="00A2644B" w:rsidRDefault="00A2644B" w:rsidP="001C2575">
      <w:r>
        <w:t xml:space="preserve">No federal laws or regulations related to public services, utilities, and service systems are applicable to the </w:t>
      </w:r>
      <w:r w:rsidR="00D530D6">
        <w:t>program</w:t>
      </w:r>
      <w:r>
        <w:t xml:space="preserve">. </w:t>
      </w:r>
    </w:p>
    <w:p w14:paraId="48CEC82E" w14:textId="39150672" w:rsidR="003E10E8" w:rsidRDefault="003E10E8" w:rsidP="003E10E8">
      <w:pPr>
        <w:pStyle w:val="Heading4"/>
      </w:pPr>
      <w:r w:rsidRPr="00C145FF">
        <w:t>State</w:t>
      </w:r>
    </w:p>
    <w:p w14:paraId="152CEFFC" w14:textId="3917E190" w:rsidR="00D103C3" w:rsidRDefault="00D103C3" w:rsidP="00943BA6">
      <w:pPr>
        <w:pStyle w:val="Heading5"/>
      </w:pPr>
      <w:r>
        <w:t>Public Services</w:t>
      </w:r>
    </w:p>
    <w:p w14:paraId="4A6B07FD" w14:textId="0C3CD7BC" w:rsidR="00943BA6" w:rsidRDefault="00943BA6" w:rsidP="00D103C3">
      <w:pPr>
        <w:pStyle w:val="Heading6"/>
      </w:pPr>
      <w:r>
        <w:t>California Fire Code</w:t>
      </w:r>
    </w:p>
    <w:p w14:paraId="4433F951" w14:textId="01DA2A12" w:rsidR="00943BA6" w:rsidRPr="00943BA6" w:rsidRDefault="00943BA6" w:rsidP="00580CB0">
      <w:pPr>
        <w:pStyle w:val="BodyText"/>
        <w:spacing w:line="260" w:lineRule="exact"/>
      </w:pPr>
      <w:r>
        <w:t xml:space="preserve">The California Fire Code is the primary means for authorizing and enforcing procedures and mechanisms to ensure the safe handling and storage of any substance that may pose a threat to public health and safety. The California Fire Code establishes minimum requirements to safeguard the public health, safety, and general welfare from the hazards of fire, explosion, or dangerous conditions in new and existing buildings. The California Fire Code also contains requirements related to emergency planning and preparedness, fire service features, building services and systems, fire resistance–rated construction, fire protection systems, and construction requirements for existing buildings, as well as specialized standards for specific types of facilities and materials. </w:t>
      </w:r>
    </w:p>
    <w:p w14:paraId="1B8CC3F9" w14:textId="6E794CF7" w:rsidR="00AA7BCD" w:rsidRPr="00AA7BCD" w:rsidRDefault="00AA7BCD" w:rsidP="00D103C3">
      <w:pPr>
        <w:pStyle w:val="Heading6"/>
      </w:pPr>
      <w:r>
        <w:t>California Occupational Safety and Health Administration</w:t>
      </w:r>
    </w:p>
    <w:p w14:paraId="4F253A10" w14:textId="3A79D05C" w:rsidR="00AA7BCD" w:rsidRDefault="00943BA6" w:rsidP="00580CB0">
      <w:pPr>
        <w:pStyle w:val="BodyText"/>
        <w:spacing w:line="260" w:lineRule="exact"/>
      </w:pPr>
      <w:r w:rsidRPr="00943BA6">
        <w:t xml:space="preserve">In accordance with </w:t>
      </w:r>
      <w:r w:rsidR="00C5480C">
        <w:t xml:space="preserve">8 </w:t>
      </w:r>
      <w:r w:rsidRPr="00943BA6">
        <w:t xml:space="preserve">CCR Section 1270, </w:t>
      </w:r>
      <w:r w:rsidR="00D838B0">
        <w:t>“</w:t>
      </w:r>
      <w:r w:rsidRPr="00943BA6">
        <w:t>Fire Prevention,</w:t>
      </w:r>
      <w:r w:rsidR="00D838B0">
        <w:t>”</w:t>
      </w:r>
      <w:r w:rsidRPr="00943BA6">
        <w:t xml:space="preserve"> and Section 6773, </w:t>
      </w:r>
      <w:r w:rsidR="00D838B0">
        <w:t>“</w:t>
      </w:r>
      <w:r w:rsidRPr="00943BA6">
        <w:t>Fire Protection and Fire Fighting Equipment,</w:t>
      </w:r>
      <w:r w:rsidR="00D838B0">
        <w:t>”</w:t>
      </w:r>
      <w:r w:rsidRPr="00943BA6">
        <w:t xml:space="preserve"> the California Occupational Safety and Health Administration has established minimum standards for fire suppression and emergency medical services. The standards include guidelines on the handling of highly combustible materials; fire hose sizing requirements; restrictions on the use of compressed air; access roads; and the testing, maintenance, and use of all firefighting and emergency medical equipment.</w:t>
      </w:r>
    </w:p>
    <w:p w14:paraId="332203A4" w14:textId="2E2C3D35" w:rsidR="00943BA6" w:rsidRDefault="00CE2F01" w:rsidP="00D103C3">
      <w:pPr>
        <w:pStyle w:val="Heading6"/>
      </w:pPr>
      <w:r>
        <w:t>Emergency Response/Evacuation Plans</w:t>
      </w:r>
    </w:p>
    <w:p w14:paraId="458D40E1" w14:textId="602F5C77" w:rsidR="004B70D6" w:rsidRDefault="005F3C97" w:rsidP="00580CB0">
      <w:pPr>
        <w:pStyle w:val="BodyText"/>
        <w:spacing w:line="260" w:lineRule="exact"/>
      </w:pPr>
      <w:r>
        <w:t>The State of California passed legislation authorizing the Office of Emergency Services to prepare a</w:t>
      </w:r>
      <w:r w:rsidR="00487AED">
        <w:t xml:space="preserve"> </w:t>
      </w:r>
      <w:r>
        <w:t>Standard Emergency Management System (SEMS) program, which sets forth measures by which a jurisdiction</w:t>
      </w:r>
      <w:r w:rsidR="00487AED">
        <w:t xml:space="preserve"> </w:t>
      </w:r>
      <w:r>
        <w:t>should handle emergency disasters. Non-compliance with SEMS could result in the State withholding disaster</w:t>
      </w:r>
      <w:r w:rsidR="00487AED">
        <w:t xml:space="preserve"> </w:t>
      </w:r>
      <w:r>
        <w:t>relief from the non-complying jurisdiction in the event of an emergency disaster. The preservation of life,</w:t>
      </w:r>
      <w:r w:rsidR="00487AED">
        <w:t xml:space="preserve"> </w:t>
      </w:r>
      <w:r>
        <w:t>property and the environment is an inherent responsibility of local, state, and federal government</w:t>
      </w:r>
      <w:r w:rsidR="00F06A3A">
        <w:t>s</w:t>
      </w:r>
      <w:r>
        <w:t xml:space="preserve">. Each </w:t>
      </w:r>
      <w:r w:rsidR="00D103C3">
        <w:t>jurisdiction</w:t>
      </w:r>
      <w:r>
        <w:t xml:space="preserve"> within the treatable landscape is required to prepare and implement an emergency operations plan. </w:t>
      </w:r>
    </w:p>
    <w:p w14:paraId="08C510FD" w14:textId="04EDB7AF" w:rsidR="00D103C3" w:rsidRDefault="00BF0F9A" w:rsidP="00BF0F9A">
      <w:pPr>
        <w:pStyle w:val="Heading5"/>
      </w:pPr>
      <w:r>
        <w:t>Utilities and Service Systems</w:t>
      </w:r>
    </w:p>
    <w:p w14:paraId="5C20477A" w14:textId="2CC4F252" w:rsidR="00FF509E" w:rsidRDefault="00582C8A" w:rsidP="00582C8A">
      <w:pPr>
        <w:pStyle w:val="Heading6"/>
      </w:pPr>
      <w:r>
        <w:t>Sustainable Groundwater Management Act</w:t>
      </w:r>
    </w:p>
    <w:p w14:paraId="551C3014" w14:textId="2D968B93" w:rsidR="00582C8A" w:rsidRDefault="0070238B" w:rsidP="00580CB0">
      <w:pPr>
        <w:pStyle w:val="BodyText"/>
        <w:spacing w:line="260" w:lineRule="exact"/>
      </w:pPr>
      <w:r w:rsidRPr="0070238B">
        <w:t xml:space="preserve">The </w:t>
      </w:r>
      <w:r w:rsidR="00841197" w:rsidRPr="00841197">
        <w:t>Sustainable Groundwater Management Act</w:t>
      </w:r>
      <w:r w:rsidR="00841197">
        <w:t xml:space="preserve"> (</w:t>
      </w:r>
      <w:r w:rsidRPr="0070238B">
        <w:t>SGMA</w:t>
      </w:r>
      <w:r w:rsidR="00841197">
        <w:t>)</w:t>
      </w:r>
      <w:r w:rsidRPr="0070238B">
        <w:t xml:space="preserve"> became law on January 1, 2015 and applies to all groundwater basins in the state (Water Code Section 10720.3). (The SGMA is composed of three separate bills: Senate Bill (SB) 1168, SB 1319, and Assembly Bill (AB) 1739. All three were signed into law by the Governor on September 16, 2014.) By enacting the SGMA, the </w:t>
      </w:r>
      <w:r w:rsidR="00F06A3A">
        <w:t>L</w:t>
      </w:r>
      <w:r w:rsidRPr="0070238B">
        <w:t>egislature intended to provide local agencies with the authority and the technical and financial assistance necessary to sustainably manage groundwater within their jurisdiction</w:t>
      </w:r>
      <w:r w:rsidR="00F06A3A">
        <w:t>s</w:t>
      </w:r>
      <w:r w:rsidRPr="0070238B">
        <w:t xml:space="preserve"> (Water Code Section 10720.1).</w:t>
      </w:r>
      <w:r w:rsidR="003066D3">
        <w:t xml:space="preserve"> The source of water for treatments implemented under the CalVTP may include groundwater</w:t>
      </w:r>
      <w:r w:rsidR="0091331B">
        <w:t xml:space="preserve"> to the extent that a community water system, including its fire hydrants, relies on groundwater</w:t>
      </w:r>
      <w:r w:rsidR="003066D3">
        <w:t>. SGMA compliance would be required of the agency or entity providing the water to CAL FIRE and other project proponents.</w:t>
      </w:r>
      <w:r w:rsidR="008B018E">
        <w:t xml:space="preserve"> </w:t>
      </w:r>
    </w:p>
    <w:p w14:paraId="2AD79890" w14:textId="43900970" w:rsidR="00BD1096" w:rsidRPr="00725590" w:rsidRDefault="00CC0E51" w:rsidP="00CC0E51">
      <w:pPr>
        <w:pStyle w:val="Heading6"/>
      </w:pPr>
      <w:r w:rsidRPr="00725590">
        <w:t>California Integrated Waste Management Act</w:t>
      </w:r>
    </w:p>
    <w:p w14:paraId="07C6DCBE" w14:textId="68750566" w:rsidR="00CC0E51" w:rsidRDefault="004822C8" w:rsidP="00580CB0">
      <w:pPr>
        <w:pStyle w:val="BodyText"/>
        <w:spacing w:line="260" w:lineRule="exact"/>
      </w:pPr>
      <w:r w:rsidRPr="00725590">
        <w:t xml:space="preserve">The </w:t>
      </w:r>
      <w:bookmarkStart w:id="9" w:name="_Hlk8116123"/>
      <w:r w:rsidRPr="00725590">
        <w:t>California Waste Management Act of 1989 (AB 939</w:t>
      </w:r>
      <w:bookmarkEnd w:id="9"/>
      <w:r w:rsidRPr="00725590">
        <w:t xml:space="preserve">) requires State, County, and local governments to substantially decrease the volume of waste disposed at landfills by the year 2000 and beyond. The Act allows the </w:t>
      </w:r>
      <w:r w:rsidR="00F520BD">
        <w:t>CalRecycle</w:t>
      </w:r>
      <w:r w:rsidRPr="00725590">
        <w:t xml:space="preserve"> to use per capita disposal as an indicator in evaluating compliance with the requirements of AB 939. Jurisdictions track and report their per capita disposal rates to CalRecycle.</w:t>
      </w:r>
      <w:r>
        <w:t xml:space="preserve"> </w:t>
      </w:r>
      <w:r w:rsidR="001803C6">
        <w:t xml:space="preserve">The </w:t>
      </w:r>
      <w:r w:rsidR="00BB55C4">
        <w:t xml:space="preserve">volume of </w:t>
      </w:r>
      <w:r w:rsidR="001803C6">
        <w:t xml:space="preserve">solid </w:t>
      </w:r>
      <w:r w:rsidR="00BB55C4">
        <w:t xml:space="preserve">waste produced during treatment activities under the </w:t>
      </w:r>
      <w:r w:rsidR="003066D3">
        <w:t>CalVTP</w:t>
      </w:r>
      <w:r w:rsidR="00BB55C4">
        <w:t xml:space="preserve"> </w:t>
      </w:r>
      <w:r w:rsidR="001803C6">
        <w:t>would need to comply with</w:t>
      </w:r>
      <w:r w:rsidR="00BB55C4">
        <w:t xml:space="preserve"> </w:t>
      </w:r>
      <w:r w:rsidR="00A976C2">
        <w:t xml:space="preserve">requirements for </w:t>
      </w:r>
      <w:r w:rsidR="00BB55C4">
        <w:t xml:space="preserve">per capita disposal rate. </w:t>
      </w:r>
    </w:p>
    <w:p w14:paraId="58D8F81B" w14:textId="0D24AD1F" w:rsidR="00787298" w:rsidRDefault="00A976C2" w:rsidP="002668E2">
      <w:pPr>
        <w:pStyle w:val="Heading6"/>
      </w:pPr>
      <w:r>
        <w:lastRenderedPageBreak/>
        <w:t>Short-Lived Climate Pollutant</w:t>
      </w:r>
      <w:r w:rsidR="0091331B">
        <w:t xml:space="preserve"> Strategy/Diversion of Organic Waste from Landfills</w:t>
      </w:r>
    </w:p>
    <w:p w14:paraId="7FBD2059" w14:textId="544BC455" w:rsidR="004B70D6" w:rsidRPr="002668E2" w:rsidRDefault="00841197" w:rsidP="00AA0D79">
      <w:pPr>
        <w:pStyle w:val="BodyText"/>
      </w:pPr>
      <w:bookmarkStart w:id="10" w:name="_Hlk8116161"/>
      <w:r w:rsidRPr="00841197">
        <w:t>Short-Lived Climate Pollutant Strategy/Diversion of Organic Waste from Landfills (SB 1383</w:t>
      </w:r>
      <w:bookmarkEnd w:id="10"/>
      <w:r w:rsidRPr="00841197">
        <w:t xml:space="preserve">) </w:t>
      </w:r>
      <w:r w:rsidR="00A976C2">
        <w:t xml:space="preserve">(Statutes of 2016) </w:t>
      </w:r>
      <w:r w:rsidR="00303660">
        <w:t xml:space="preserve">established methane emissions reduction targets in a statewide effort to reduce emission of </w:t>
      </w:r>
      <w:r w:rsidR="00A976C2">
        <w:t>short-lived</w:t>
      </w:r>
      <w:r w:rsidR="00303660">
        <w:t xml:space="preserve"> climate pollutants. In addition, the new law codified CARB</w:t>
      </w:r>
      <w:r w:rsidR="00184224">
        <w:t>’s</w:t>
      </w:r>
      <w:r w:rsidR="00303660">
        <w:t xml:space="preserve"> </w:t>
      </w:r>
      <w:r w:rsidR="00303660" w:rsidRPr="00303660">
        <w:t>Short-Lived Climate Pollutant Reduction Strategy, to achieve reductions in the statewide emissions of short-lived climate pollutants.</w:t>
      </w:r>
      <w:r w:rsidR="00505D02">
        <w:t xml:space="preserve"> As i</w:t>
      </w:r>
      <w:r w:rsidR="006633E7">
        <w:t>t</w:t>
      </w:r>
      <w:r w:rsidR="00505D02">
        <w:t xml:space="preserve"> pertains to activities</w:t>
      </w:r>
      <w:r w:rsidR="003066D3">
        <w:t xml:space="preserve"> under the CalVTP</w:t>
      </w:r>
      <w:r w:rsidR="006633E7">
        <w:t>,</w:t>
      </w:r>
      <w:r w:rsidR="00505D02">
        <w:t xml:space="preserve"> SB 1383 established </w:t>
      </w:r>
      <w:r w:rsidR="003066D3">
        <w:t xml:space="preserve">CalRecycle </w:t>
      </w:r>
      <w:r w:rsidR="00505D02">
        <w:t xml:space="preserve">targets to achieve a 50 percent reduction in </w:t>
      </w:r>
      <w:r w:rsidR="003A67E8">
        <w:t xml:space="preserve">statewide </w:t>
      </w:r>
      <w:r w:rsidR="00505D02" w:rsidRPr="00505D02">
        <w:t>disposal of organic waste from the 2014 level by 2020 and a 75 percent reduction by 2025.</w:t>
      </w:r>
      <w:r w:rsidR="008B018E">
        <w:t xml:space="preserve"> </w:t>
      </w:r>
      <w:r w:rsidR="00154656">
        <w:t>These reductions would be enforced at the local agency level</w:t>
      </w:r>
      <w:r w:rsidR="00463CC1">
        <w:t xml:space="preserve"> and will r</w:t>
      </w:r>
      <w:r w:rsidR="00ED3254">
        <w:t xml:space="preserve">equire, beginning in </w:t>
      </w:r>
      <w:r w:rsidR="00463CC1">
        <w:t>2022</w:t>
      </w:r>
      <w:r w:rsidR="00917489">
        <w:t>,</w:t>
      </w:r>
      <w:r w:rsidR="00463CC1">
        <w:t xml:space="preserve"> the construction of approximately </w:t>
      </w:r>
      <w:r w:rsidR="002B6122">
        <w:t>60</w:t>
      </w:r>
      <w:r w:rsidR="00463CC1">
        <w:t xml:space="preserve"> composting facilities and </w:t>
      </w:r>
      <w:r w:rsidR="002B6122">
        <w:t>26</w:t>
      </w:r>
      <w:r w:rsidR="00D14BDD">
        <w:t xml:space="preserve"> </w:t>
      </w:r>
      <w:bookmarkStart w:id="11" w:name="_Hlk8116284"/>
      <w:r w:rsidR="00D92912">
        <w:t xml:space="preserve">anaerobic </w:t>
      </w:r>
      <w:r w:rsidR="00ED3254">
        <w:t>digestion</w:t>
      </w:r>
      <w:r w:rsidR="00D14BDD">
        <w:t xml:space="preserve"> (AD</w:t>
      </w:r>
      <w:bookmarkEnd w:id="11"/>
      <w:r w:rsidR="00D14BDD">
        <w:t>) facilities.</w:t>
      </w:r>
      <w:r w:rsidR="008B018E">
        <w:t xml:space="preserve"> </w:t>
      </w:r>
      <w:r w:rsidR="0091331B">
        <w:t>Woody biomass qualifies as an organic waste subject to diversion to comply with SB 1383</w:t>
      </w:r>
      <w:r w:rsidR="00EC6D46">
        <w:t>.</w:t>
      </w:r>
    </w:p>
    <w:p w14:paraId="1AA29180" w14:textId="4167F1FD" w:rsidR="007F4581" w:rsidRDefault="007F4581" w:rsidP="007F4581">
      <w:pPr>
        <w:pStyle w:val="Heading4"/>
      </w:pPr>
      <w:bookmarkStart w:id="12" w:name="_Toc330915509"/>
      <w:bookmarkStart w:id="13" w:name="_Toc321483590"/>
      <w:r w:rsidRPr="00C145FF">
        <w:t>Local</w:t>
      </w:r>
      <w:bookmarkEnd w:id="12"/>
    </w:p>
    <w:p w14:paraId="6733C164" w14:textId="44FCF470" w:rsidR="00B3509E" w:rsidRPr="00841197" w:rsidRDefault="00B3509E" w:rsidP="00FF1504">
      <w:pPr>
        <w:pStyle w:val="BodyText"/>
      </w:pPr>
      <w:bookmarkStart w:id="14" w:name="_Toc384132818"/>
      <w:bookmarkEnd w:id="13"/>
      <w:r>
        <w:t xml:space="preserve">When state agencies, including CAL FIRE, are conducting </w:t>
      </w:r>
      <w:r w:rsidR="00875E97">
        <w:t xml:space="preserve">governmental </w:t>
      </w:r>
      <w:r>
        <w:t>activities under the authority of state law or the State Constitution</w:t>
      </w:r>
      <w:r w:rsidR="00875E97">
        <w:t>, in this case, treatments implemented under the proposed CalVTP,</w:t>
      </w:r>
      <w:r w:rsidR="008B018E">
        <w:t xml:space="preserve"> </w:t>
      </w:r>
      <w:r>
        <w:t xml:space="preserve">they are </w:t>
      </w:r>
      <w:r w:rsidR="00875E97">
        <w:t>exempt from</w:t>
      </w:r>
      <w:r>
        <w:t xml:space="preserve"> local government plans, policies, and ordinances (unless </w:t>
      </w:r>
      <w:r w:rsidR="00630DDA">
        <w:t xml:space="preserve">a constitutional provision of statute </w:t>
      </w:r>
      <w:r w:rsidR="00171F6B">
        <w:t>directs</w:t>
      </w:r>
      <w:r w:rsidR="00630DDA">
        <w:t xml:space="preserve"> otherwise</w:t>
      </w:r>
      <w:r>
        <w:t>).</w:t>
      </w:r>
      <w:r w:rsidR="00F26490">
        <w:t xml:space="preserve"> </w:t>
      </w:r>
      <w:r>
        <w:t>Nonetheless, CAL FIRE voluntarily seeks to operate consistently with local governance to the extent feasible. Given its statewide extent and the possible number of local and regional responsible agencies, this PEIR does not identify potentially applicable local government plan</w:t>
      </w:r>
      <w:r w:rsidR="00171F6B">
        <w:t>s</w:t>
      </w:r>
      <w:r>
        <w:t>, polic</w:t>
      </w:r>
      <w:r w:rsidR="00171F6B">
        <w:t>ies</w:t>
      </w:r>
      <w:r>
        <w:t xml:space="preserve">, and </w:t>
      </w:r>
      <w:r w:rsidRPr="00B207D8">
        <w:t>ordinance</w:t>
      </w:r>
      <w:r w:rsidR="00171F6B">
        <w:t>s</w:t>
      </w:r>
      <w:r w:rsidRPr="00B207D8">
        <w:t>. This PEIR assumes that any vegetation treatments proposed by local or regional agencies under the CalVTP would</w:t>
      </w:r>
      <w:r>
        <w:t xml:space="preserve"> be consistent with local plans, policies, and ordinances, as required by SPR AD-</w:t>
      </w:r>
      <w:r w:rsidR="00114AE4">
        <w:t>3</w:t>
      </w:r>
      <w:r>
        <w:t>.</w:t>
      </w:r>
    </w:p>
    <w:p w14:paraId="5E8748E5" w14:textId="708A4662" w:rsidR="006E5312" w:rsidRPr="00A119D7" w:rsidRDefault="006E5312" w:rsidP="00496ED1">
      <w:pPr>
        <w:pStyle w:val="Heading3"/>
      </w:pPr>
      <w:r w:rsidRPr="00A119D7">
        <w:t>Impact</w:t>
      </w:r>
      <w:r w:rsidR="00DF2BED">
        <w:t xml:space="preserve"> </w:t>
      </w:r>
      <w:bookmarkEnd w:id="14"/>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7CC0B198" w14:textId="292D3F8F" w:rsidR="002668E2" w:rsidRDefault="005B77C3" w:rsidP="00FF1504">
      <w:pPr>
        <w:pStyle w:val="BodyText"/>
      </w:pPr>
      <w:r>
        <w:t xml:space="preserve">The analysis of environmental impacts </w:t>
      </w:r>
      <w:r w:rsidR="00AD1641">
        <w:t xml:space="preserve">on </w:t>
      </w:r>
      <w:r>
        <w:t>public services</w:t>
      </w:r>
      <w:r w:rsidR="00AD1641">
        <w:t xml:space="preserve"> focuses on the </w:t>
      </w:r>
      <w:r w:rsidR="00AD1641" w:rsidRPr="005B77C3">
        <w:t>potential for physical impacts associated with the provision of new or physically altered</w:t>
      </w:r>
      <w:r w:rsidR="00AD1641">
        <w:t xml:space="preserve"> governmental facilities, require new or expanded water, wastewater treatment, stormwater, drainage, electric power, natural gas, or telecommunications facilities. </w:t>
      </w:r>
      <w:r w:rsidR="00C01F1C">
        <w:t xml:space="preserve">The analysis of environmental impacts on utilities and service </w:t>
      </w:r>
      <w:r w:rsidR="00194EE8">
        <w:t>systems</w:t>
      </w:r>
      <w:r w:rsidR="00C01F1C">
        <w:t xml:space="preserve"> focuses</w:t>
      </w:r>
      <w:r w:rsidR="00194EE8">
        <w:t xml:space="preserve"> on the potential to exceed water supplies, negatively impact solid waste services, or conflict with federal, State, and local management and reduction statutes and regulations related to solid </w:t>
      </w:r>
      <w:r w:rsidR="00194EE8" w:rsidRPr="00763335">
        <w:t xml:space="preserve">waste. </w:t>
      </w:r>
      <w:r w:rsidR="005E453A" w:rsidRPr="00763335">
        <w:t>Significance determinations account for the influence of</w:t>
      </w:r>
      <w:r w:rsidR="00763335">
        <w:t xml:space="preserve"> </w:t>
      </w:r>
      <w:r w:rsidR="005E453A" w:rsidRPr="00763335">
        <w:t>relevant SPRs, which are incorporated into treatment design</w:t>
      </w:r>
      <w:r w:rsidR="00C5480C">
        <w:t xml:space="preserve"> and listed below</w:t>
      </w:r>
      <w:r w:rsidR="005E453A" w:rsidRPr="00763335">
        <w:t>.</w:t>
      </w:r>
      <w:r w:rsidR="005045D7">
        <w:t xml:space="preserve"> </w:t>
      </w:r>
    </w:p>
    <w:p w14:paraId="5AEF80D2" w14:textId="70ECD802" w:rsidR="00C5480C" w:rsidRDefault="00670F9C" w:rsidP="00267757">
      <w:pPr>
        <w:pStyle w:val="Bullet1"/>
      </w:pPr>
      <w:bookmarkStart w:id="15"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rsidRPr="008B2F92">
        <w:rPr>
          <w:u w:val="single"/>
        </w:rPr>
        <w:t>, Community Wildfire Protection Plans, CAL FIRE Unit Fire Plans</w:t>
      </w:r>
      <w:r w:rsidRPr="007A6CF2">
        <w:t xml:space="preserve">), policies, and ordinances to the extent the project is subject to them. </w:t>
      </w:r>
      <w:bookmarkStart w:id="16" w:name="_Hlk10464028"/>
      <w:r w:rsidRPr="007A6CF2">
        <w:t>This SPR applies to all treatment activities and treatment types</w:t>
      </w:r>
      <w:r w:rsidR="007E330C">
        <w:rPr>
          <w:u w:val="single"/>
        </w:rPr>
        <w:t>, including treatment maintenance</w:t>
      </w:r>
      <w:r w:rsidRPr="007A6CF2">
        <w:t>.</w:t>
      </w:r>
      <w:bookmarkEnd w:id="15"/>
      <w:bookmarkEnd w:id="16"/>
    </w:p>
    <w:p w14:paraId="74617C6E" w14:textId="2441ABEE" w:rsidR="00C5480C" w:rsidRDefault="009E360A" w:rsidP="009E360A">
      <w:pPr>
        <w:pStyle w:val="Bullet1"/>
      </w:pPr>
      <w:bookmarkStart w:id="17" w:name="_Hlk11058303"/>
      <w:r w:rsidRPr="00136B74">
        <w:rPr>
          <w:b/>
        </w:rPr>
        <w:t xml:space="preserve">SPR UTIL-1: </w:t>
      </w:r>
      <w:r>
        <w:rPr>
          <w:b/>
        </w:rPr>
        <w:t>Solid Organic</w:t>
      </w:r>
      <w:r w:rsidRPr="00136B74">
        <w:rPr>
          <w:b/>
        </w:rPr>
        <w:t xml:space="preserve"> Waste Disposition Plan</w:t>
      </w:r>
      <w:r>
        <w:t xml:space="preserve">. </w:t>
      </w:r>
      <w:r w:rsidR="0082275E">
        <w:t xml:space="preserve">For projects requiring the </w:t>
      </w:r>
      <w:r w:rsidR="00BD374A">
        <w:t>disposal</w:t>
      </w:r>
      <w:r w:rsidR="0082275E">
        <w:t xml:space="preserve"> of material outside of the </w:t>
      </w:r>
      <w:r w:rsidR="00BD374A">
        <w:t>treatment</w:t>
      </w:r>
      <w:r w:rsidR="0082275E">
        <w:t xml:space="preserve"> area, </w:t>
      </w:r>
      <w:r>
        <w:t>the project proponent will prepare an Organic Waste Disposition Plan</w:t>
      </w:r>
      <w:r w:rsidR="0082275E">
        <w:t xml:space="preserve"> prior to initiating treatment activities</w:t>
      </w:r>
      <w:r>
        <w:t xml:space="preserve">.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Pr>
          <w:shd w:val="clear" w:color="auto" w:fill="FFFFFF"/>
        </w:rPr>
        <w:t xml:space="preserve">Solid Organic Waste Disposition Plan will clearly identify the </w:t>
      </w:r>
      <w:r>
        <w:t xml:space="preserve">location and capacity of the intended processing facility, consistent with local and state regulations to demonstrate that adequate capacity exists to accept the treated materials. </w:t>
      </w:r>
      <w:bookmarkEnd w:id="17"/>
      <w:r w:rsidR="003D1217">
        <w:t>This SPR applies only to mechanical and manual treatment activities and all treatment types</w:t>
      </w:r>
      <w:r w:rsidR="007E330C">
        <w:rPr>
          <w:u w:val="single"/>
        </w:rPr>
        <w:t>, including treatment maintenance</w:t>
      </w:r>
      <w:r w:rsidR="003D1217">
        <w:t>.</w:t>
      </w:r>
    </w:p>
    <w:p w14:paraId="742631A1" w14:textId="2D408F11" w:rsidR="00435BC0" w:rsidRDefault="00171F6B" w:rsidP="00435BC0">
      <w:pPr>
        <w:pStyle w:val="Heading4"/>
      </w:pPr>
      <w:r>
        <w:lastRenderedPageBreak/>
        <w:t xml:space="preserve">Thresholds of </w:t>
      </w:r>
      <w:r w:rsidR="00435BC0">
        <w:t>Significance</w:t>
      </w:r>
    </w:p>
    <w:p w14:paraId="2AB6A55C" w14:textId="45F32B98" w:rsidR="008863E8" w:rsidRDefault="008863E8" w:rsidP="00FF1504">
      <w:pPr>
        <w:pStyle w:val="BodyText"/>
      </w:pPr>
      <w:bookmarkStart w:id="18" w:name="_Hlk2608515"/>
      <w:r w:rsidRPr="00E325A0">
        <w:t xml:space="preserve">Thresholds of significance are based on Appendix G of the State CEQA Guidelines. </w:t>
      </w:r>
      <w:r w:rsidR="007E10EB">
        <w:t xml:space="preserve">A treatment implemented under the proposed CalVTP </w:t>
      </w:r>
      <w:r w:rsidRPr="00E325A0">
        <w:t xml:space="preserve">would result in a significant impact on </w:t>
      </w:r>
      <w:bookmarkEnd w:id="18"/>
      <w:r w:rsidR="002D559D">
        <w:t>public services, utilities, and service systems</w:t>
      </w:r>
      <w:r w:rsidRPr="00E325A0">
        <w:t xml:space="preserve"> if it would:</w:t>
      </w:r>
    </w:p>
    <w:p w14:paraId="6BC4C369" w14:textId="465DF334" w:rsidR="002D559D" w:rsidRPr="00415C70" w:rsidRDefault="00664123" w:rsidP="00664123">
      <w:pPr>
        <w:pStyle w:val="Bullet1"/>
      </w:pPr>
      <w:r w:rsidRPr="00415C70">
        <w:t xml:space="preserve">result in substantial adverse physical impacts associated with the provision of new or physically altered governmental facilities, need for new or physically altered governmental facilities, the construction of which could cause significant environmental impacts, </w:t>
      </w:r>
      <w:r w:rsidR="00267757">
        <w:t>to</w:t>
      </w:r>
      <w:r w:rsidRPr="00415C70">
        <w:t xml:space="preserve"> maintain acceptable service ratios, response times or other performance objectives for any of the public services:</w:t>
      </w:r>
    </w:p>
    <w:p w14:paraId="3C63B835" w14:textId="57FA1C16" w:rsidR="00664123" w:rsidRPr="00415C70" w:rsidRDefault="00664123" w:rsidP="00267757">
      <w:pPr>
        <w:pStyle w:val="Bullet2"/>
      </w:pPr>
      <w:r w:rsidRPr="00415C70">
        <w:t>fire protection,</w:t>
      </w:r>
    </w:p>
    <w:p w14:paraId="31146431" w14:textId="5688954E" w:rsidR="00664123" w:rsidRPr="00415C70" w:rsidRDefault="00664123" w:rsidP="00664123">
      <w:pPr>
        <w:pStyle w:val="Bullet2"/>
      </w:pPr>
      <w:r w:rsidRPr="00415C70">
        <w:t>police protection,</w:t>
      </w:r>
    </w:p>
    <w:p w14:paraId="672B2B99" w14:textId="77777777" w:rsidR="00CE5EEF" w:rsidRPr="00415C70" w:rsidRDefault="00664123" w:rsidP="00664123">
      <w:pPr>
        <w:pStyle w:val="Bullet2"/>
      </w:pPr>
      <w:r w:rsidRPr="00415C70">
        <w:t>schools,</w:t>
      </w:r>
      <w:r w:rsidR="00636858" w:rsidRPr="00415C70">
        <w:t xml:space="preserve"> </w:t>
      </w:r>
    </w:p>
    <w:p w14:paraId="50D4C10E" w14:textId="673D63ED" w:rsidR="00664123" w:rsidRPr="00415C70" w:rsidRDefault="00A976C2" w:rsidP="00664123">
      <w:pPr>
        <w:pStyle w:val="Bullet2"/>
      </w:pPr>
      <w:r w:rsidRPr="00415C70">
        <w:t>p</w:t>
      </w:r>
      <w:r w:rsidR="00CE5EEF" w:rsidRPr="00415C70">
        <w:t xml:space="preserve">arks, </w:t>
      </w:r>
      <w:r w:rsidR="00636858" w:rsidRPr="00415C70">
        <w:t>and</w:t>
      </w:r>
    </w:p>
    <w:p w14:paraId="40FE7120" w14:textId="0E39A8A1" w:rsidR="00664123" w:rsidRPr="00B0026F" w:rsidRDefault="00C7122F" w:rsidP="00664123">
      <w:pPr>
        <w:pStyle w:val="Bullet2"/>
      </w:pPr>
      <w:r w:rsidRPr="00B0026F">
        <w:t>libraries</w:t>
      </w:r>
      <w:r w:rsidR="00664123" w:rsidRPr="00B0026F">
        <w:t xml:space="preserve">. </w:t>
      </w:r>
    </w:p>
    <w:p w14:paraId="01755459" w14:textId="0EBB5DD8" w:rsidR="00664123" w:rsidRPr="004D6D83" w:rsidRDefault="00C8260E" w:rsidP="00664123">
      <w:pPr>
        <w:pStyle w:val="Bullet1"/>
      </w:pPr>
      <w:r w:rsidRPr="00B0026F">
        <w:t xml:space="preserve">require or result in the relocation or construction of new or expanded water, wastewater treatment or storm water drainage, electric power, natural gas, or telecommunications facilities, the construction or relocation of </w:t>
      </w:r>
      <w:r w:rsidRPr="004D6D83">
        <w:t>which could cause significant environmental effects;</w:t>
      </w:r>
    </w:p>
    <w:p w14:paraId="55B4E26E" w14:textId="0C69A394" w:rsidR="00C8260E" w:rsidRPr="00EC056C" w:rsidRDefault="004304D1" w:rsidP="00664123">
      <w:pPr>
        <w:pStyle w:val="Bullet1"/>
      </w:pPr>
      <w:r w:rsidRPr="004D6D83">
        <w:t xml:space="preserve">have sufficient water supplies available to serve the project and reasonably foreseeable future development </w:t>
      </w:r>
      <w:r w:rsidRPr="00EC056C">
        <w:t>during normal, dry, and multiple dry years;</w:t>
      </w:r>
    </w:p>
    <w:p w14:paraId="4BB52461" w14:textId="3E2550AD" w:rsidR="004304D1" w:rsidRPr="00EC056C" w:rsidRDefault="00F01AD8" w:rsidP="00664123">
      <w:pPr>
        <w:pStyle w:val="Bullet1"/>
      </w:pPr>
      <w:r w:rsidRPr="00EC056C">
        <w:t>result in a determination by the wastewater treatment provider which serves or may serve the project that it has adequate capacity to serve the project</w:t>
      </w:r>
      <w:r w:rsidR="00D838B0">
        <w:t>’</w:t>
      </w:r>
      <w:r w:rsidRPr="00EC056C">
        <w:t>s projected demand in addition to the provider</w:t>
      </w:r>
      <w:r w:rsidR="00D838B0">
        <w:t>’</w:t>
      </w:r>
      <w:r w:rsidRPr="00EC056C">
        <w:t>s existing commitments;</w:t>
      </w:r>
    </w:p>
    <w:p w14:paraId="561E0AFA" w14:textId="146A8035" w:rsidR="00F01AD8" w:rsidRDefault="001704A7" w:rsidP="00664123">
      <w:pPr>
        <w:pStyle w:val="Bullet1"/>
      </w:pPr>
      <w:r>
        <w:t>generate solid waste in excess of State or local standards or in excess of the capacity of local infrastructure;</w:t>
      </w:r>
    </w:p>
    <w:p w14:paraId="2E586C3B" w14:textId="0C9A8625" w:rsidR="001704A7" w:rsidRPr="00267757" w:rsidRDefault="001704A7" w:rsidP="00664123">
      <w:pPr>
        <w:pStyle w:val="Bullet1"/>
        <w:rPr>
          <w:spacing w:val="-2"/>
        </w:rPr>
      </w:pPr>
      <w:r w:rsidRPr="00267757">
        <w:rPr>
          <w:spacing w:val="-2"/>
        </w:rPr>
        <w:t>negatively impact the provision of solid waste services or impair the attainment of solid waste reduction goals;</w:t>
      </w:r>
      <w:r w:rsidR="00267757" w:rsidRPr="00267757">
        <w:rPr>
          <w:spacing w:val="-2"/>
        </w:rPr>
        <w:t xml:space="preserve"> and</w:t>
      </w:r>
    </w:p>
    <w:p w14:paraId="0DE70199" w14:textId="5DF03213" w:rsidR="001704A7" w:rsidRPr="00E325A0" w:rsidRDefault="001704A7" w:rsidP="00664123">
      <w:pPr>
        <w:pStyle w:val="Bullet1"/>
      </w:pPr>
      <w:r>
        <w:t>comply with federal, State, and local management and reduction statu</w:t>
      </w:r>
      <w:r w:rsidR="00442417">
        <w:t>t</w:t>
      </w:r>
      <w:r>
        <w:t>es and regulations</w:t>
      </w:r>
      <w:r w:rsidR="00442417">
        <w:t xml:space="preserve"> related</w:t>
      </w:r>
      <w:r>
        <w:t xml:space="preserve"> to solid waste.</w:t>
      </w:r>
    </w:p>
    <w:p w14:paraId="6FC9691B" w14:textId="3F00EDF8" w:rsidR="00D158A8" w:rsidRDefault="00D158A8" w:rsidP="00D158A8">
      <w:pPr>
        <w:pStyle w:val="Heading4"/>
      </w:pPr>
      <w:r>
        <w:t xml:space="preserve">Issues Not </w:t>
      </w:r>
      <w:r w:rsidR="00DF2BED">
        <w:t>Evaluated</w:t>
      </w:r>
      <w:r>
        <w:t xml:space="preserve"> Further</w:t>
      </w:r>
    </w:p>
    <w:p w14:paraId="33BB28EE" w14:textId="2C0E44AF" w:rsidR="00DB15B7" w:rsidRDefault="00DB15B7" w:rsidP="00660C2C">
      <w:pPr>
        <w:pStyle w:val="BodyText"/>
      </w:pPr>
      <w:r w:rsidRPr="00DB15B7">
        <w:t>Implementation of the</w:t>
      </w:r>
      <w:r>
        <w:t xml:space="preserve"> CalVTP would consist of</w:t>
      </w:r>
      <w:r w:rsidRPr="00041382">
        <w:t xml:space="preserve"> treatment</w:t>
      </w:r>
      <w:r>
        <w:t xml:space="preserve"> </w:t>
      </w:r>
      <w:r w:rsidRPr="00041382">
        <w:t>activities</w:t>
      </w:r>
      <w:r>
        <w:t xml:space="preserve"> that would modify portions of the treatable landscape to reduce </w:t>
      </w:r>
      <w:r w:rsidR="00B75738">
        <w:t>wildfire risk</w:t>
      </w:r>
      <w:r>
        <w:t xml:space="preserve">. </w:t>
      </w:r>
      <w:r w:rsidR="00D36735">
        <w:t>Treatment activities could include prescribed burning, pile burning, mechanical treatment, manual treatment, prescribed herbivory, and herbicide</w:t>
      </w:r>
      <w:r w:rsidR="000F45D4">
        <w:t xml:space="preserve"> application</w:t>
      </w:r>
      <w:r w:rsidR="00D36735">
        <w:t xml:space="preserve">. Implementation of treatment activities within the SRA </w:t>
      </w:r>
      <w:r w:rsidRPr="00FC7432">
        <w:t xml:space="preserve">would not directly affect the provision of public services, nor contribute to population growth that could result in </w:t>
      </w:r>
      <w:r w:rsidR="00796B5C">
        <w:t xml:space="preserve">a need for </w:t>
      </w:r>
      <w:r w:rsidR="00083AB1" w:rsidRPr="00415C70">
        <w:t>new or physically altered governmental facilities, the construction of which could cause significant environmental impacts, to maintain acceptable service ratios, response times or other performance objectives</w:t>
      </w:r>
      <w:r w:rsidR="00083AB1">
        <w:t xml:space="preserve"> for public service providers.</w:t>
      </w:r>
      <w:r w:rsidRPr="00FC7432">
        <w:t xml:space="preserve"> </w:t>
      </w:r>
      <w:r w:rsidR="000F45D4" w:rsidRPr="000F45D4">
        <w:t xml:space="preserve">However, implementation of the proposed CalVTP would </w:t>
      </w:r>
      <w:r w:rsidR="00B75738" w:rsidRPr="000F45D4">
        <w:t xml:space="preserve">result in the creation of new jobs on a localized basis </w:t>
      </w:r>
      <w:r w:rsidR="00B75738">
        <w:t xml:space="preserve">to achieve the targeted </w:t>
      </w:r>
      <w:r w:rsidR="000F45D4" w:rsidRPr="000F45D4">
        <w:t xml:space="preserve">increase the pace and scale of vegetation. </w:t>
      </w:r>
      <w:r w:rsidR="00B75738">
        <w:t xml:space="preserve">As described in Section 3.12, </w:t>
      </w:r>
      <w:r w:rsidR="00D838B0">
        <w:t>“</w:t>
      </w:r>
      <w:bookmarkStart w:id="19" w:name="_Toc534290430"/>
      <w:r w:rsidR="00B75738" w:rsidRPr="00853F0D">
        <w:t>Land Use and Planning, Population and Housing</w:t>
      </w:r>
      <w:bookmarkEnd w:id="19"/>
      <w:r w:rsidR="008B018E">
        <w:t>,</w:t>
      </w:r>
      <w:r w:rsidR="00D838B0">
        <w:t>”</w:t>
      </w:r>
      <w:r w:rsidR="00B75738">
        <w:t xml:space="preserve"> t</w:t>
      </w:r>
      <w:r w:rsidR="000F45D4" w:rsidRPr="000F45D4">
        <w:t xml:space="preserve">he number of employment opportunities per CAL FIRE Unit would vary according to the geographic location </w:t>
      </w:r>
      <w:r w:rsidR="00B75738">
        <w:t xml:space="preserve">of </w:t>
      </w:r>
      <w:r w:rsidR="000F45D4" w:rsidRPr="000F45D4">
        <w:t xml:space="preserve">and selected treatment activities within the </w:t>
      </w:r>
      <w:r w:rsidR="00B75738">
        <w:t>purview</w:t>
      </w:r>
      <w:r w:rsidR="000F45D4" w:rsidRPr="000F45D4">
        <w:t xml:space="preserve"> of each CAL FIRE Unit or project proponent. Accordingly, the number of new employees would be dispersed over a large geographic area rather than concentrated in the same location.</w:t>
      </w:r>
      <w:r w:rsidR="000F45D4">
        <w:t xml:space="preserve"> This would disperse pressure on public services such as police, fire, schools, parks, and libraries. </w:t>
      </w:r>
      <w:r w:rsidR="00D36735">
        <w:t xml:space="preserve">Therefore, implementation of the CalVTP would not </w:t>
      </w:r>
      <w:r w:rsidR="00D36735" w:rsidRPr="00D36735">
        <w:t>require the provision of new or physically altered</w:t>
      </w:r>
      <w:r w:rsidR="00D36735">
        <w:t xml:space="preserve"> </w:t>
      </w:r>
      <w:r w:rsidR="00B75738">
        <w:t>governmental</w:t>
      </w:r>
      <w:r w:rsidR="00D36735">
        <w:t xml:space="preserve"> facility, and this issue is not evaluated further. </w:t>
      </w:r>
    </w:p>
    <w:p w14:paraId="2EA7DF69" w14:textId="1FD76A26" w:rsidR="00030344" w:rsidRDefault="000157CF" w:rsidP="00660C2C">
      <w:pPr>
        <w:pStyle w:val="BodyText"/>
      </w:pPr>
      <w:r w:rsidRPr="001E10BD">
        <w:t xml:space="preserve">Treatment activities </w:t>
      </w:r>
      <w:r w:rsidR="001E10BD" w:rsidRPr="001E10BD">
        <w:t>would not involve development of residential communities or other similar types of development or induce population growth in an area that would require the</w:t>
      </w:r>
      <w:r w:rsidR="00F417E3">
        <w:t xml:space="preserve"> expansion or</w:t>
      </w:r>
      <w:r w:rsidR="001E10BD" w:rsidRPr="001E10BD">
        <w:t xml:space="preserve"> construction of </w:t>
      </w:r>
      <w:r w:rsidR="00F417E3">
        <w:t>water infrastructure, wastewater treatment</w:t>
      </w:r>
      <w:r w:rsidR="006616D6">
        <w:t xml:space="preserve"> facilities</w:t>
      </w:r>
      <w:r w:rsidR="00F417E3">
        <w:t>, or storm drainage facilities.</w:t>
      </w:r>
      <w:r w:rsidR="00CA50DD">
        <w:t xml:space="preserve"> As discussed in Section 2.5.2, </w:t>
      </w:r>
      <w:r w:rsidR="00D838B0">
        <w:t>“</w:t>
      </w:r>
      <w:r w:rsidR="00CA50DD">
        <w:t>Description of Treatment Activities,</w:t>
      </w:r>
      <w:r w:rsidR="00D838B0">
        <w:t>”</w:t>
      </w:r>
      <w:r w:rsidR="00CA50DD">
        <w:t xml:space="preserve"> implementation of treatment activities would not require connections to </w:t>
      </w:r>
      <w:r w:rsidR="00CA50DD" w:rsidRPr="001E10BD">
        <w:t>electric power, natural gas, or telecommunications facilities</w:t>
      </w:r>
      <w:r w:rsidR="00CA50DD">
        <w:t xml:space="preserve">. Typically, an impact from construction or expansion of utilities and service systems </w:t>
      </w:r>
      <w:r w:rsidR="00CA50DD">
        <w:lastRenderedPageBreak/>
        <w:t xml:space="preserve">results when a project induces population growth. </w:t>
      </w:r>
      <w:r w:rsidR="00B0026F">
        <w:t xml:space="preserve">As discussed previously, the number of new employees </w:t>
      </w:r>
      <w:r w:rsidR="00B75738">
        <w:t xml:space="preserve">needed to achieve the treatment acreage targets of the CalVTP </w:t>
      </w:r>
      <w:r w:rsidR="00B0026F">
        <w:t xml:space="preserve">would be dispersed over a large geographic area rather than concentrated in the same location. This would disperse pressure on existing </w:t>
      </w:r>
      <w:r w:rsidR="00B0026F" w:rsidRPr="001E10BD">
        <w:t>water</w:t>
      </w:r>
      <w:r w:rsidR="00CA50DD">
        <w:t xml:space="preserve"> infrastructure</w:t>
      </w:r>
      <w:r w:rsidR="00B0026F" w:rsidRPr="001E10BD">
        <w:t xml:space="preserve">, wastewater treatment </w:t>
      </w:r>
      <w:r w:rsidR="00CA50DD">
        <w:t xml:space="preserve">facilities, </w:t>
      </w:r>
      <w:r w:rsidR="00B0026F" w:rsidRPr="001E10BD">
        <w:t>storm water drainage</w:t>
      </w:r>
      <w:r w:rsidR="00CA50DD">
        <w:t xml:space="preserve"> facilities</w:t>
      </w:r>
      <w:r w:rsidR="00B0026F" w:rsidRPr="001E10BD">
        <w:t>, electric power, natural gas, or telecommunications facilitie</w:t>
      </w:r>
      <w:r w:rsidR="00B0026F">
        <w:t xml:space="preserve">s. Therefore, implementation of the proposed CalVTP would not require the construction or relocation of existing </w:t>
      </w:r>
      <w:r w:rsidR="00B0026F" w:rsidRPr="001E10BD">
        <w:t>water, wastewater treatment</w:t>
      </w:r>
      <w:r w:rsidR="00CA50DD">
        <w:t xml:space="preserve">, </w:t>
      </w:r>
      <w:r w:rsidR="00B0026F" w:rsidRPr="001E10BD">
        <w:t>storm water drainage, electric power, natural gas, or telecommunications facilitie</w:t>
      </w:r>
      <w:r w:rsidR="00B0026F">
        <w:t>s</w:t>
      </w:r>
      <w:r w:rsidR="00CA50DD">
        <w:t>, and this</w:t>
      </w:r>
      <w:r w:rsidR="00B0026F">
        <w:t xml:space="preserve"> issue is not evaluated further. </w:t>
      </w:r>
    </w:p>
    <w:p w14:paraId="13FF1A16" w14:textId="6DFA4029" w:rsidR="00EC4C19" w:rsidRDefault="0095674F" w:rsidP="00660C2C">
      <w:pPr>
        <w:pStyle w:val="BodyText"/>
      </w:pPr>
      <w:r>
        <w:t>D</w:t>
      </w:r>
      <w:r w:rsidR="00AC4A76">
        <w:t xml:space="preserve">epending on the location and duration of </w:t>
      </w:r>
      <w:r w:rsidR="003F2383">
        <w:t xml:space="preserve">treatment activities, portable restrooms </w:t>
      </w:r>
      <w:r>
        <w:t xml:space="preserve">may be </w:t>
      </w:r>
      <w:r w:rsidR="003F2383">
        <w:t xml:space="preserve">provided </w:t>
      </w:r>
      <w:r>
        <w:t>by project proponents</w:t>
      </w:r>
      <w:r w:rsidR="003F2383">
        <w:t xml:space="preserve">. </w:t>
      </w:r>
      <w:r>
        <w:t xml:space="preserve">This would be the only source of wastewater generated by the CalVTP. </w:t>
      </w:r>
      <w:r w:rsidR="00A90F63">
        <w:t>Portable restrooms would be cleaned</w:t>
      </w:r>
      <w:r w:rsidR="00DA5286">
        <w:t xml:space="preserve"> periodically, and the waste would be </w:t>
      </w:r>
      <w:r w:rsidR="00770E7A">
        <w:t>hauled</w:t>
      </w:r>
      <w:r w:rsidR="00DA5286">
        <w:t xml:space="preserve"> off-site to a wastewater treatment facility for disposal. This service is typically provided by an independent contractor </w:t>
      </w:r>
      <w:r w:rsidR="004869D3">
        <w:t>permitted to handle</w:t>
      </w:r>
      <w:r w:rsidR="00642064">
        <w:t xml:space="preserve">, </w:t>
      </w:r>
      <w:r w:rsidR="00AB0A59">
        <w:t>haul</w:t>
      </w:r>
      <w:r w:rsidR="00642064">
        <w:t xml:space="preserve">, and </w:t>
      </w:r>
      <w:r w:rsidR="004869D3">
        <w:t>dispose</w:t>
      </w:r>
      <w:r w:rsidR="007855D3">
        <w:t xml:space="preserve"> of sanitary sewage</w:t>
      </w:r>
      <w:r w:rsidR="004869D3">
        <w:t>.</w:t>
      </w:r>
      <w:r w:rsidR="007855D3">
        <w:t xml:space="preserve"> </w:t>
      </w:r>
      <w:r w:rsidR="002A7E77">
        <w:t xml:space="preserve">Pursuant to </w:t>
      </w:r>
      <w:r w:rsidR="00C5480C">
        <w:t xml:space="preserve">40 </w:t>
      </w:r>
      <w:r w:rsidR="00D96BB8">
        <w:t xml:space="preserve">CFR Part 403.5, hauled waste must be disposed of at </w:t>
      </w:r>
      <w:r w:rsidR="00770E7A">
        <w:t>a designated publicly owned treatment facility. Typically, publicly owned treatment facilities are responsible for implementing permit programs for hauled waste</w:t>
      </w:r>
      <w:r w:rsidR="00AB0A59">
        <w:t xml:space="preserve"> and ensure that adequate treatment capacity exists</w:t>
      </w:r>
      <w:r w:rsidR="00770E7A">
        <w:t xml:space="preserve">. </w:t>
      </w:r>
      <w:r>
        <w:t xml:space="preserve">Because new employees required to implement the CalVTP would be located over a large geographic area such that it would not </w:t>
      </w:r>
      <w:r w:rsidRPr="001E10BD">
        <w:t xml:space="preserve">induce </w:t>
      </w:r>
      <w:r>
        <w:t xml:space="preserve">substantial unplanned </w:t>
      </w:r>
      <w:r w:rsidRPr="001E10BD">
        <w:t>population growth</w:t>
      </w:r>
      <w:r>
        <w:t xml:space="preserve"> in any area, the demand for wastewater treatment would be minimal and dispersed. Therefore, wastewater treatment demand would not exceed the capacity of any wastewater treatment provider</w:t>
      </w:r>
      <w:r w:rsidR="00AB0A59">
        <w:t xml:space="preserve">, and this issue is not evaluated further. </w:t>
      </w:r>
    </w:p>
    <w:p w14:paraId="51180AAE" w14:textId="7A79B71F" w:rsidR="00435BC0" w:rsidRDefault="00435BC0" w:rsidP="00435BC0">
      <w:pPr>
        <w:pStyle w:val="Heading4"/>
      </w:pPr>
      <w:r>
        <w:t>Impact</w:t>
      </w:r>
      <w:r w:rsidR="00DF2BED">
        <w:t xml:space="preserve"> Analysis</w:t>
      </w:r>
    </w:p>
    <w:p w14:paraId="1126C7DE" w14:textId="5594C859" w:rsidR="00CC6290" w:rsidRPr="00CC6793" w:rsidRDefault="00CC6290" w:rsidP="00CE5792">
      <w:pPr>
        <w:pStyle w:val="ImpactNo"/>
      </w:pPr>
      <w:r w:rsidRPr="00CC6793">
        <w:t xml:space="preserve">Impact </w:t>
      </w:r>
      <w:r w:rsidR="001C6FE1">
        <w:t>UTIL</w:t>
      </w:r>
      <w:r w:rsidR="00C71CB9">
        <w:t>-</w:t>
      </w:r>
      <w:r w:rsidR="0077407F">
        <w:t>1</w:t>
      </w:r>
      <w:r w:rsidRPr="00CC6793">
        <w:t xml:space="preserve">: </w:t>
      </w:r>
      <w:r w:rsidR="00461551">
        <w:t xml:space="preserve">Result in </w:t>
      </w:r>
      <w:r w:rsidR="00F66706">
        <w:t>Physical Impacts Associated with Provision of Sufficient Water Supplies, Including Related Infrastructure Needs</w:t>
      </w:r>
    </w:p>
    <w:p w14:paraId="7BA75AD7" w14:textId="084B3F7D" w:rsidR="004E14DF" w:rsidRDefault="00BB2E9B" w:rsidP="00660C2C">
      <w:pPr>
        <w:pStyle w:val="Impactdescription"/>
      </w:pPr>
      <w:bookmarkStart w:id="20" w:name="_Toc464034589"/>
      <w:r>
        <w:t>Implementation of treatment activities wi</w:t>
      </w:r>
      <w:r w:rsidR="00D21D6A">
        <w:t xml:space="preserve">thin the </w:t>
      </w:r>
      <w:r w:rsidR="00011BB7">
        <w:t xml:space="preserve">treatable landscape </w:t>
      </w:r>
      <w:r w:rsidR="00D21D6A">
        <w:t xml:space="preserve">would require on-site water supplies </w:t>
      </w:r>
      <w:r w:rsidR="00D21D6A" w:rsidRPr="00457266">
        <w:t xml:space="preserve">for fire suppression during </w:t>
      </w:r>
      <w:r w:rsidR="00D21D6A" w:rsidRPr="00660C2C">
        <w:t>prescribed</w:t>
      </w:r>
      <w:r w:rsidR="00D21D6A" w:rsidRPr="00457266">
        <w:t xml:space="preserve"> burning activities and for dust control during vegetation removal within non-shaded fuel breaks</w:t>
      </w:r>
      <w:r w:rsidR="00D21D6A">
        <w:t xml:space="preserve">. </w:t>
      </w:r>
      <w:r w:rsidR="00011BB7">
        <w:t>Water needed to implement treatments would be minimal. Also, t</w:t>
      </w:r>
      <w:r w:rsidR="00DF44CE" w:rsidRPr="00DF44CE">
        <w:t xml:space="preserve">reatment activities would occur over a large geographic area which would disperse pressure on local water providers. Therefore, </w:t>
      </w:r>
      <w:r w:rsidR="00011BB7">
        <w:t xml:space="preserve">the increase in demand for water attributable to </w:t>
      </w:r>
      <w:r w:rsidR="00DF44CE" w:rsidRPr="00DF44CE">
        <w:t xml:space="preserve">implementation of the CalVTP would </w:t>
      </w:r>
      <w:r w:rsidR="00011BB7">
        <w:t>be negligible and would not discernably affect the availability of</w:t>
      </w:r>
      <w:r w:rsidR="00DF44CE" w:rsidRPr="00DF44CE">
        <w:t xml:space="preserve"> water supply</w:t>
      </w:r>
      <w:r w:rsidR="00011BB7">
        <w:t>. T</w:t>
      </w:r>
      <w:r w:rsidR="00DF44CE" w:rsidRPr="00DF44CE">
        <w:t xml:space="preserve">his impact would be </w:t>
      </w:r>
      <w:r w:rsidR="00DF44CE" w:rsidRPr="007E3069">
        <w:rPr>
          <w:b/>
        </w:rPr>
        <w:t>less than significant</w:t>
      </w:r>
      <w:r w:rsidR="00DF44CE" w:rsidRPr="00DF44CE">
        <w:t>.</w:t>
      </w:r>
    </w:p>
    <w:p w14:paraId="3E8A24DC" w14:textId="5C13D6AB" w:rsidR="00457266" w:rsidRDefault="00457266" w:rsidP="00660C2C">
      <w:pPr>
        <w:pStyle w:val="BodyText"/>
      </w:pPr>
      <w:r w:rsidRPr="00DB15B7">
        <w:t>Implementation of the</w:t>
      </w:r>
      <w:r>
        <w:t xml:space="preserve"> CalVTP would consist of</w:t>
      </w:r>
      <w:r w:rsidRPr="00041382">
        <w:t xml:space="preserve"> treatment</w:t>
      </w:r>
      <w:r>
        <w:t xml:space="preserve"> </w:t>
      </w:r>
      <w:r w:rsidRPr="00041382">
        <w:t>activities</w:t>
      </w:r>
      <w:r>
        <w:t xml:space="preserve"> </w:t>
      </w:r>
      <w:r w:rsidR="00011BB7">
        <w:t>to reduce wildfire risk</w:t>
      </w:r>
      <w:r w:rsidRPr="00457266">
        <w:t xml:space="preserve">. Treatment activities </w:t>
      </w:r>
      <w:r w:rsidR="00011BB7">
        <w:t xml:space="preserve">would </w:t>
      </w:r>
      <w:r w:rsidRPr="00457266">
        <w:t xml:space="preserve">include prescribed burning, pile burning, mechanical treatment, manual treatment, prescribed herbivory, and herbicide application. </w:t>
      </w:r>
      <w:r w:rsidR="00DC6F9F">
        <w:t xml:space="preserve">As discussed in Section 3.12, </w:t>
      </w:r>
      <w:r w:rsidR="00D838B0">
        <w:t>“</w:t>
      </w:r>
      <w:r w:rsidR="00DC6F9F">
        <w:t>Land Use and Planning, Population and Housing,</w:t>
      </w:r>
      <w:r w:rsidR="00210F54">
        <w:t>”</w:t>
      </w:r>
      <w:r w:rsidR="00DC6F9F">
        <w:t xml:space="preserve"> i</w:t>
      </w:r>
      <w:r w:rsidRPr="00457266">
        <w:t xml:space="preserve">mplementation of treatment activities </w:t>
      </w:r>
      <w:r w:rsidR="00011BB7">
        <w:t>in the treatable landscape</w:t>
      </w:r>
      <w:r w:rsidRPr="00457266">
        <w:t xml:space="preserve"> would</w:t>
      </w:r>
      <w:r w:rsidR="001B4F72">
        <w:t xml:space="preserve"> not </w:t>
      </w:r>
      <w:r w:rsidR="001B4F72" w:rsidRPr="001E10BD">
        <w:t>involve development of residential communities or other similar types of development or induce population growth in an area that would</w:t>
      </w:r>
      <w:r w:rsidR="001B4F72">
        <w:t xml:space="preserve"> </w:t>
      </w:r>
      <w:r w:rsidR="001B4F72" w:rsidRPr="00457266">
        <w:t>increase demand for water</w:t>
      </w:r>
      <w:r w:rsidR="001B4F72">
        <w:t>.</w:t>
      </w:r>
      <w:r w:rsidRPr="00457266">
        <w:t xml:space="preserve"> </w:t>
      </w:r>
      <w:r w:rsidR="00011BB7">
        <w:t>A</w:t>
      </w:r>
      <w:r w:rsidR="00D21D6A">
        <w:t xml:space="preserve"> minimal amount of water</w:t>
      </w:r>
      <w:r w:rsidR="000F74C6">
        <w:t xml:space="preserve"> </w:t>
      </w:r>
      <w:r w:rsidRPr="00457266">
        <w:t xml:space="preserve">would be required for fire suppression during prescribed burning activities and for dust control during vegetation removal within non-shaded fuel breaks. </w:t>
      </w:r>
      <w:r w:rsidR="000F74C6">
        <w:t xml:space="preserve">Depending on the location of the treatment activity, </w:t>
      </w:r>
      <w:r w:rsidR="000F74C6" w:rsidRPr="000F74C6">
        <w:t>w</w:t>
      </w:r>
      <w:r w:rsidRPr="000F74C6">
        <w:t xml:space="preserve">ater would be supplied </w:t>
      </w:r>
      <w:r w:rsidR="00011BB7">
        <w:t xml:space="preserve">(from surface of groundwater by local water providers) </w:t>
      </w:r>
      <w:r w:rsidRPr="000F74C6">
        <w:t>via nearby fire hydrants</w:t>
      </w:r>
      <w:r w:rsidR="00011BB7">
        <w:t xml:space="preserve"> or</w:t>
      </w:r>
      <w:r w:rsidR="000F74C6" w:rsidRPr="000F74C6">
        <w:t xml:space="preserve"> </w:t>
      </w:r>
      <w:r w:rsidR="00FD6F6C">
        <w:t xml:space="preserve">be </w:t>
      </w:r>
      <w:r w:rsidR="000F74C6">
        <w:t>transport</w:t>
      </w:r>
      <w:r w:rsidR="00FD6F6C">
        <w:t>ed</w:t>
      </w:r>
      <w:r w:rsidR="000F74C6">
        <w:t xml:space="preserve"> to </w:t>
      </w:r>
      <w:r w:rsidR="00FD6F6C" w:rsidRPr="000F74C6">
        <w:t xml:space="preserve">remote or undeveloped </w:t>
      </w:r>
      <w:r w:rsidR="000F74C6">
        <w:t>treatment area</w:t>
      </w:r>
      <w:r w:rsidR="00FD6F6C">
        <w:t>s</w:t>
      </w:r>
      <w:r w:rsidR="000F74C6">
        <w:t xml:space="preserve"> via fire trucks. </w:t>
      </w:r>
      <w:r w:rsidR="00FD6F6C">
        <w:t>T</w:t>
      </w:r>
      <w:r w:rsidR="006A1902">
        <w:t>reatment activities would occur over a large geographic area</w:t>
      </w:r>
      <w:r w:rsidR="006A1902" w:rsidRPr="006A1902">
        <w:t xml:space="preserve"> </w:t>
      </w:r>
      <w:r w:rsidR="006A1902" w:rsidRPr="00457266">
        <w:t>which would disperse</w:t>
      </w:r>
      <w:r w:rsidR="00FD6F6C">
        <w:t xml:space="preserve"> the minimal demand </w:t>
      </w:r>
      <w:r w:rsidR="006A1902" w:rsidRPr="00457266">
        <w:t>on local water providers</w:t>
      </w:r>
      <w:r w:rsidR="006A1902">
        <w:t>. Ther</w:t>
      </w:r>
      <w:r w:rsidR="009762E6">
        <w:t>e</w:t>
      </w:r>
      <w:r w:rsidR="006A1902">
        <w:t xml:space="preserve">fore, implementation of the CalVTP would not </w:t>
      </w:r>
      <w:r w:rsidR="006F4C57">
        <w:t xml:space="preserve">result in a physical impact associated with provision of sufficient water supplies, including related infrastructure needs </w:t>
      </w:r>
      <w:r w:rsidR="009762E6">
        <w:t xml:space="preserve">and this </w:t>
      </w:r>
      <w:r w:rsidR="00861CE7">
        <w:t xml:space="preserve">impact would be </w:t>
      </w:r>
      <w:r w:rsidR="00861CE7" w:rsidRPr="00861CE7">
        <w:rPr>
          <w:b/>
        </w:rPr>
        <w:t>less than significant</w:t>
      </w:r>
      <w:r w:rsidR="00861CE7">
        <w:t>.</w:t>
      </w:r>
    </w:p>
    <w:p w14:paraId="0ABD743F" w14:textId="6C6B35DB" w:rsidR="00E56BAA" w:rsidRDefault="00E56BAA" w:rsidP="00E56BAA">
      <w:pPr>
        <w:pStyle w:val="Heading5"/>
      </w:pPr>
      <w:r w:rsidRPr="009328EF">
        <w:t>Mitigation Measures</w:t>
      </w:r>
    </w:p>
    <w:p w14:paraId="212156FA" w14:textId="07DE26F7" w:rsidR="00E56BAA" w:rsidRDefault="00E56BAA" w:rsidP="00E56BAA">
      <w:pPr>
        <w:pStyle w:val="Mitigationtext"/>
      </w:pPr>
      <w:r>
        <w:t xml:space="preserve">No mitigation </w:t>
      </w:r>
      <w:r w:rsidR="00565F76">
        <w:t>is required</w:t>
      </w:r>
      <w:r>
        <w:t xml:space="preserve"> for this impact. </w:t>
      </w:r>
    </w:p>
    <w:p w14:paraId="711153F5" w14:textId="78D474C4" w:rsidR="00681E3E" w:rsidRDefault="005E6278" w:rsidP="005E6278">
      <w:pPr>
        <w:pStyle w:val="ImpactNo"/>
      </w:pPr>
      <w:r>
        <w:lastRenderedPageBreak/>
        <w:t>Impact UTIL-</w:t>
      </w:r>
      <w:r w:rsidR="00F57327">
        <w:t>2</w:t>
      </w:r>
      <w:r w:rsidR="00EE60F7">
        <w:t xml:space="preserve">: </w:t>
      </w:r>
      <w:r w:rsidR="00FC37DC">
        <w:t xml:space="preserve">Generate </w:t>
      </w:r>
      <w:r w:rsidR="00F66706">
        <w:t xml:space="preserve">Solid Waste in Excess of </w:t>
      </w:r>
      <w:r w:rsidR="00FC37DC">
        <w:t xml:space="preserve">State </w:t>
      </w:r>
      <w:r w:rsidR="00F66706">
        <w:t xml:space="preserve">Standards or </w:t>
      </w:r>
      <w:bookmarkStart w:id="21" w:name="_Hlk6836454"/>
      <w:r w:rsidR="00F66706">
        <w:t>Exceed Local Infrastructure Capacity</w:t>
      </w:r>
    </w:p>
    <w:bookmarkEnd w:id="21"/>
    <w:p w14:paraId="28B4737E" w14:textId="3D879771" w:rsidR="001F31F5" w:rsidRDefault="00C220E5" w:rsidP="00660C2C">
      <w:pPr>
        <w:pStyle w:val="Impactdescription"/>
      </w:pPr>
      <w:r>
        <w:t>T</w:t>
      </w:r>
      <w:r w:rsidRPr="00C220E5">
        <w:t xml:space="preserve">he </w:t>
      </w:r>
      <w:r w:rsidR="009D4C24">
        <w:t xml:space="preserve">increase in </w:t>
      </w:r>
      <w:r w:rsidRPr="00C220E5">
        <w:t xml:space="preserve">pace and scale of vegetation treatments </w:t>
      </w:r>
      <w:r w:rsidR="009D4C24">
        <w:t xml:space="preserve">under the CalVTP would result in an associated </w:t>
      </w:r>
      <w:r>
        <w:t xml:space="preserve">increase </w:t>
      </w:r>
      <w:r w:rsidR="009D4C24">
        <w:t xml:space="preserve">in </w:t>
      </w:r>
      <w:r>
        <w:t>the volume of</w:t>
      </w:r>
      <w:r w:rsidR="006F3CD8">
        <w:t xml:space="preserve"> solid</w:t>
      </w:r>
      <w:r>
        <w:t xml:space="preserve"> </w:t>
      </w:r>
      <w:r w:rsidR="00105DBB">
        <w:t xml:space="preserve">organic </w:t>
      </w:r>
      <w:r>
        <w:t xml:space="preserve">waste </w:t>
      </w:r>
      <w:r w:rsidR="0091331B">
        <w:t xml:space="preserve">generated during treatment. The volume of biomass </w:t>
      </w:r>
      <w:r w:rsidR="004D4D89">
        <w:t xml:space="preserve">transported offsite to </w:t>
      </w:r>
      <w:r w:rsidR="002848D7">
        <w:t xml:space="preserve">existing </w:t>
      </w:r>
      <w:r w:rsidR="004D4D89">
        <w:t>biomass power plants, wood product processing facilities, and/or composting facilities for processing</w:t>
      </w:r>
      <w:r w:rsidR="00C5795E">
        <w:t xml:space="preserve"> would also increase</w:t>
      </w:r>
      <w:r w:rsidR="004D4D89">
        <w:t xml:space="preserve">. </w:t>
      </w:r>
      <w:r w:rsidR="004D4D89" w:rsidRPr="004D4D89">
        <w:t>Although</w:t>
      </w:r>
      <w:r w:rsidR="00105DBB">
        <w:t xml:space="preserve"> </w:t>
      </w:r>
      <w:r w:rsidR="004D4D89" w:rsidRPr="004D4D89">
        <w:t>additional infrastructure for the processing of organic materials is expected to</w:t>
      </w:r>
      <w:r w:rsidR="00C5795E">
        <w:t xml:space="preserve"> be developed </w:t>
      </w:r>
      <w:r w:rsidR="004D4D89" w:rsidRPr="004D4D89">
        <w:t>in the near future</w:t>
      </w:r>
      <w:r w:rsidR="00105DBB">
        <w:t xml:space="preserve"> in California in response to waste </w:t>
      </w:r>
      <w:r w:rsidR="00105DBB" w:rsidRPr="00660C2C">
        <w:t>management</w:t>
      </w:r>
      <w:r w:rsidR="00105DBB">
        <w:t xml:space="preserve"> </w:t>
      </w:r>
      <w:r w:rsidR="00C5795E">
        <w:t>statutes</w:t>
      </w:r>
      <w:r w:rsidR="009C26A7">
        <w:t>, expanded in-state market for wood products, and increasing demand for alternative energy sources</w:t>
      </w:r>
      <w:r w:rsidR="004D4D89" w:rsidRPr="004D4D89">
        <w:t xml:space="preserve">, it is too speculative to assume that this growth would occur consistent with the </w:t>
      </w:r>
      <w:r w:rsidR="009D4C24">
        <w:t xml:space="preserve">increased </w:t>
      </w:r>
      <w:r w:rsidR="004D4D89" w:rsidRPr="004D4D89">
        <w:t>pace and scale of vegetation treatments. Therefore, implementation of the CalVTP may generate</w:t>
      </w:r>
      <w:r w:rsidR="009F307E" w:rsidRPr="009F307E">
        <w:t xml:space="preserve"> </w:t>
      </w:r>
      <w:r w:rsidR="009F307E">
        <w:t xml:space="preserve">solid </w:t>
      </w:r>
      <w:r w:rsidR="007F54BE">
        <w:t>organic</w:t>
      </w:r>
      <w:r w:rsidR="004D4D89" w:rsidRPr="004D4D89">
        <w:t xml:space="preserve"> waste in excess of infrastructure capacity. </w:t>
      </w:r>
      <w:r w:rsidR="001F31F5">
        <w:t>Thus, to meet CEQA</w:t>
      </w:r>
      <w:r w:rsidR="00D838B0">
        <w:t>’</w:t>
      </w:r>
      <w:r w:rsidR="001F31F5">
        <w:t xml:space="preserve">s mandate of good faith disclosure and to not risk understating potential future impacts in light of the uncertainties, this PEIR classifies this impact as </w:t>
      </w:r>
      <w:r w:rsidR="001F31F5" w:rsidRPr="00145C45">
        <w:rPr>
          <w:b/>
        </w:rPr>
        <w:t>potentially significant</w:t>
      </w:r>
      <w:r w:rsidR="001F31F5">
        <w:t>, notwithstanding the possibility that capacity could increase with the scale of treatments such that it would not be exceeded for most or all individual treatments.</w:t>
      </w:r>
    </w:p>
    <w:p w14:paraId="2FB2A92F" w14:textId="1F704776" w:rsidR="007B13A7" w:rsidRDefault="00801BB1" w:rsidP="0098377D">
      <w:pPr>
        <w:pStyle w:val="BodyText"/>
        <w:spacing w:line="260" w:lineRule="exact"/>
      </w:pPr>
      <w:r>
        <w:t>Implementation of t</w:t>
      </w:r>
      <w:r w:rsidRPr="00457266">
        <w:t xml:space="preserve">reatment activities </w:t>
      </w:r>
      <w:r>
        <w:t xml:space="preserve">within the SRA </w:t>
      </w:r>
      <w:r w:rsidRPr="00457266">
        <w:t>could include prescribed burning, pile burning, mechanical treatment, manual treatment, prescribed herbivory, and herbicide application.</w:t>
      </w:r>
      <w:r>
        <w:t xml:space="preserve"> These types of activities </w:t>
      </w:r>
      <w:r w:rsidR="00513640">
        <w:t xml:space="preserve">generate </w:t>
      </w:r>
      <w:r w:rsidR="009C26A7">
        <w:t xml:space="preserve">solid </w:t>
      </w:r>
      <w:r w:rsidR="00DC19A4">
        <w:t xml:space="preserve">organic </w:t>
      </w:r>
      <w:r w:rsidR="00513640">
        <w:t>waste during mechanical and manual vegetation removal</w:t>
      </w:r>
      <w:r w:rsidR="009C26A7">
        <w:t>, in the form of organic woody biomass</w:t>
      </w:r>
      <w:r w:rsidR="00513640">
        <w:t xml:space="preserve">. </w:t>
      </w:r>
      <w:r w:rsidR="00461551">
        <w:t xml:space="preserve">The </w:t>
      </w:r>
      <w:r w:rsidR="009F307E">
        <w:t xml:space="preserve">solid </w:t>
      </w:r>
      <w:r w:rsidR="009C26A7">
        <w:t>organic</w:t>
      </w:r>
      <w:r w:rsidR="00461551">
        <w:t xml:space="preserve"> waste generated from CAL FIRE</w:t>
      </w:r>
      <w:r w:rsidR="00D838B0">
        <w:t>’</w:t>
      </w:r>
      <w:r w:rsidR="00461551">
        <w:t xml:space="preserve">s current vegetation treatment activities are not disposed in landfills. </w:t>
      </w:r>
      <w:r w:rsidR="00A43327">
        <w:t xml:space="preserve">Currently, </w:t>
      </w:r>
      <w:r w:rsidR="00077AD0">
        <w:rPr>
          <w:shd w:val="clear" w:color="auto" w:fill="FFFFFF"/>
        </w:rPr>
        <w:t xml:space="preserve">70 percent of the </w:t>
      </w:r>
      <w:r w:rsidR="009F307E">
        <w:t xml:space="preserve">solid </w:t>
      </w:r>
      <w:r w:rsidR="009C26A7">
        <w:rPr>
          <w:shd w:val="clear" w:color="auto" w:fill="FFFFFF"/>
        </w:rPr>
        <w:t xml:space="preserve">organic </w:t>
      </w:r>
      <w:r w:rsidR="00077AD0">
        <w:rPr>
          <w:shd w:val="clear" w:color="auto" w:fill="FFFFFF"/>
        </w:rPr>
        <w:t xml:space="preserve">waste generated during treatment activities are </w:t>
      </w:r>
      <w:r w:rsidR="00461551">
        <w:t>managed</w:t>
      </w:r>
      <w:r w:rsidR="00077AD0">
        <w:t xml:space="preserve"> on-site by scattering wood material within the treatment boundary, generating unburned wood piles, and blowing wood chips to the ground as mulch. </w:t>
      </w:r>
      <w:r w:rsidR="0057289A">
        <w:t xml:space="preserve">During wet seasonal </w:t>
      </w:r>
      <w:r w:rsidR="00FE62BD">
        <w:t>periods</w:t>
      </w:r>
      <w:r w:rsidR="00804FDD">
        <w:t xml:space="preserve">, </w:t>
      </w:r>
      <w:r w:rsidR="00077AD0">
        <w:t xml:space="preserve">approximately 25 percent of </w:t>
      </w:r>
      <w:r w:rsidR="009F307E">
        <w:t xml:space="preserve">solid </w:t>
      </w:r>
      <w:r w:rsidR="009C26A7">
        <w:t xml:space="preserve">organic </w:t>
      </w:r>
      <w:r w:rsidR="00077AD0">
        <w:t>waste is pile burned in combination with manual and mechanical treatment activities.</w:t>
      </w:r>
      <w:r w:rsidR="00804FDD">
        <w:t xml:space="preserve"> </w:t>
      </w:r>
      <w:r w:rsidR="00FE62BD">
        <w:rPr>
          <w:shd w:val="clear" w:color="auto" w:fill="FFFFFF"/>
        </w:rPr>
        <w:t>The remaining</w:t>
      </w:r>
      <w:r w:rsidR="00AB6BEC">
        <w:rPr>
          <w:shd w:val="clear" w:color="auto" w:fill="FFFFFF"/>
        </w:rPr>
        <w:t xml:space="preserve"> 5 percent </w:t>
      </w:r>
      <w:r w:rsidR="00FE62BD">
        <w:rPr>
          <w:shd w:val="clear" w:color="auto" w:fill="FFFFFF"/>
        </w:rPr>
        <w:t>is</w:t>
      </w:r>
      <w:r w:rsidR="00AB6BEC">
        <w:rPr>
          <w:shd w:val="clear" w:color="auto" w:fill="FFFFFF"/>
        </w:rPr>
        <w:t xml:space="preserve"> transported to a biomass facility for processing. </w:t>
      </w:r>
      <w:r w:rsidR="00233FA1">
        <w:t>I</w:t>
      </w:r>
      <w:r w:rsidR="00233FA1" w:rsidRPr="000F45D4">
        <w:t xml:space="preserve">mplementation of the proposed CalVTP would increase the pace and scale of vegetation treatments from approximately </w:t>
      </w:r>
      <w:r w:rsidR="009D4C24">
        <w:t>3</w:t>
      </w:r>
      <w:r w:rsidR="009D4C24" w:rsidRPr="000F45D4">
        <w:t>3</w:t>
      </w:r>
      <w:r w:rsidR="00233FA1" w:rsidRPr="000F45D4">
        <w:t xml:space="preserve">,000 acres per year </w:t>
      </w:r>
      <w:r w:rsidR="009D4C24">
        <w:t xml:space="preserve">(as treated by CAL FIRE in 2017/2018) </w:t>
      </w:r>
      <w:r w:rsidR="00233FA1" w:rsidRPr="000F45D4">
        <w:t xml:space="preserve">to </w:t>
      </w:r>
      <w:r w:rsidR="00CB7C8F">
        <w:t xml:space="preserve">approximately </w:t>
      </w:r>
      <w:r w:rsidR="00233FA1" w:rsidRPr="000F45D4">
        <w:t>250,000 acres per year.</w:t>
      </w:r>
      <w:r w:rsidR="00233FA1">
        <w:t xml:space="preserve"> </w:t>
      </w:r>
      <w:r w:rsidR="000A71C4">
        <w:t>This would increase the</w:t>
      </w:r>
      <w:r w:rsidR="0053143C">
        <w:t xml:space="preserve"> annual</w:t>
      </w:r>
      <w:r w:rsidR="000A71C4">
        <w:t xml:space="preserve"> volume of </w:t>
      </w:r>
      <w:r w:rsidR="009F307E">
        <w:t xml:space="preserve">solid </w:t>
      </w:r>
      <w:r w:rsidR="009C26A7">
        <w:t xml:space="preserve">organic </w:t>
      </w:r>
      <w:r w:rsidR="000A71C4">
        <w:t xml:space="preserve">waste </w:t>
      </w:r>
      <w:r w:rsidR="0053143C">
        <w:t>removed during</w:t>
      </w:r>
      <w:r w:rsidR="009D4C24">
        <w:t xml:space="preserve"> manual and</w:t>
      </w:r>
      <w:r w:rsidR="0053143C">
        <w:t xml:space="preserve"> mechanical treatment</w:t>
      </w:r>
      <w:r w:rsidR="009D4C24">
        <w:t xml:space="preserve"> activitie</w:t>
      </w:r>
      <w:r w:rsidR="0053143C">
        <w:t xml:space="preserve">s. Depending on the scale and location of the treatment activity, a significant portion of </w:t>
      </w:r>
      <w:r w:rsidR="009F307E">
        <w:t xml:space="preserve">solid </w:t>
      </w:r>
      <w:r w:rsidR="009C26A7">
        <w:t>organic</w:t>
      </w:r>
      <w:r w:rsidR="0053143C">
        <w:t xml:space="preserve"> waste could be managed on-site, and pile burned during wet seasonal periods. Future disposition of </w:t>
      </w:r>
      <w:r w:rsidR="009F307E">
        <w:t xml:space="preserve">solid </w:t>
      </w:r>
      <w:r w:rsidR="009C26A7">
        <w:t>organic</w:t>
      </w:r>
      <w:r w:rsidR="0053143C">
        <w:t xml:space="preserve"> waste could also include</w:t>
      </w:r>
      <w:r w:rsidR="009C26A7">
        <w:t>;</w:t>
      </w:r>
      <w:r w:rsidR="0053143C">
        <w:t xml:space="preserve"> transport to biomass power plants</w:t>
      </w:r>
      <w:r w:rsidR="005C6C49">
        <w:t>,</w:t>
      </w:r>
      <w:r w:rsidR="009C26A7">
        <w:t xml:space="preserve"> biorefineries, </w:t>
      </w:r>
      <w:r w:rsidR="0053143C">
        <w:t>wood product processing facilities</w:t>
      </w:r>
      <w:r w:rsidR="005C6C49">
        <w:t>,</w:t>
      </w:r>
      <w:r w:rsidR="007D74E4">
        <w:t xml:space="preserve"> landfills</w:t>
      </w:r>
      <w:r w:rsidR="007C3005">
        <w:t>,</w:t>
      </w:r>
      <w:r w:rsidR="005C6C49">
        <w:t xml:space="preserve"> and/or composting facilities</w:t>
      </w:r>
      <w:r w:rsidR="0053143C">
        <w:t xml:space="preserve">. </w:t>
      </w:r>
    </w:p>
    <w:p w14:paraId="45AA560D" w14:textId="6D2282A8" w:rsidR="002570D5" w:rsidRDefault="007B13A7" w:rsidP="0098377D">
      <w:pPr>
        <w:pStyle w:val="BodyText"/>
        <w:spacing w:line="260" w:lineRule="exact"/>
        <w:rPr>
          <w:shd w:val="clear" w:color="auto" w:fill="FFFFFF"/>
        </w:rPr>
      </w:pPr>
      <w:r>
        <w:t>As discussed above, t</w:t>
      </w:r>
      <w:r w:rsidR="00CA273E">
        <w:t xml:space="preserve">he </w:t>
      </w:r>
      <w:r w:rsidR="009F307E">
        <w:t xml:space="preserve">solid </w:t>
      </w:r>
      <w:r w:rsidR="00F14AEA">
        <w:t>organic</w:t>
      </w:r>
      <w:r w:rsidR="00CA273E">
        <w:t xml:space="preserve"> waste that would be generated by CalVTP treatment activities is specifically categorized as woody biomass. </w:t>
      </w:r>
      <w:r w:rsidR="00CA273E">
        <w:rPr>
          <w:shd w:val="clear" w:color="auto" w:fill="FFFFFF"/>
        </w:rPr>
        <w:t xml:space="preserve">California currently has infrastructure for the processing of woody biomass for energy production and wood products, including approximately </w:t>
      </w:r>
      <w:r w:rsidR="00FA1981">
        <w:rPr>
          <w:shd w:val="clear" w:color="auto" w:fill="FFFFFF"/>
        </w:rPr>
        <w:t>24</w:t>
      </w:r>
      <w:r w:rsidR="005C6C49">
        <w:rPr>
          <w:shd w:val="clear" w:color="auto" w:fill="FFFFFF"/>
        </w:rPr>
        <w:t xml:space="preserve"> biomass power plants and </w:t>
      </w:r>
      <w:r w:rsidR="00CA273E">
        <w:rPr>
          <w:shd w:val="clear" w:color="auto" w:fill="FFFFFF"/>
        </w:rPr>
        <w:t xml:space="preserve">77 </w:t>
      </w:r>
      <w:r w:rsidR="00CA273E">
        <w:t>wood product processing facilities.</w:t>
      </w:r>
      <w:r w:rsidR="00D44D77">
        <w:t xml:space="preserve"> As shown in Table 3.16-1, </w:t>
      </w:r>
      <w:r w:rsidR="00FA1981">
        <w:t xml:space="preserve">wood product processing facilities have the capacity to generate </w:t>
      </w:r>
      <w:r w:rsidR="00D44D77">
        <w:t xml:space="preserve">a variety of products </w:t>
      </w:r>
      <w:r w:rsidR="00210422">
        <w:t>from woody biomass</w:t>
      </w:r>
      <w:r w:rsidR="004D1B26">
        <w:t xml:space="preserve"> including electricity, biofuels, paper, soil additives, and engineered wood</w:t>
      </w:r>
      <w:r w:rsidR="00210422">
        <w:t xml:space="preserve">. </w:t>
      </w:r>
      <w:r w:rsidR="004D1B26">
        <w:t xml:space="preserve">Although the </w:t>
      </w:r>
      <w:r w:rsidR="004D1B26" w:rsidRPr="00F227FF">
        <w:rPr>
          <w:shd w:val="clear" w:color="auto" w:fill="FFFFFF"/>
        </w:rPr>
        <w:t>California Natural Resources Agency</w:t>
      </w:r>
      <w:r w:rsidR="004D1B26">
        <w:rPr>
          <w:shd w:val="clear" w:color="auto" w:fill="FFFFFF"/>
        </w:rPr>
        <w:t xml:space="preserve"> has recommended the use of mass timber to the state legislature, </w:t>
      </w:r>
      <w:r w:rsidR="00210422">
        <w:t>a widespread market and processing infrastructure</w:t>
      </w:r>
      <w:r w:rsidR="00774E79">
        <w:t xml:space="preserve"> is still in early</w:t>
      </w:r>
      <w:r w:rsidR="002570D5">
        <w:t xml:space="preserve"> stages of</w:t>
      </w:r>
      <w:r w:rsidR="00774E79">
        <w:t xml:space="preserve"> development</w:t>
      </w:r>
      <w:r w:rsidR="00210422">
        <w:t xml:space="preserve">. </w:t>
      </w:r>
      <w:r w:rsidR="004B188E">
        <w:t>With respect to biomass</w:t>
      </w:r>
      <w:r w:rsidR="003B0B6D">
        <w:t xml:space="preserve"> electricity generation</w:t>
      </w:r>
      <w:r w:rsidR="004B188E">
        <w:t>, the</w:t>
      </w:r>
      <w:r w:rsidR="003B0B6D">
        <w:t xml:space="preserve">re are several factors that would limit the use of </w:t>
      </w:r>
      <w:r w:rsidR="003B0B6D" w:rsidRPr="009F307E">
        <w:t>forest</w:t>
      </w:r>
      <w:r w:rsidR="003B0B6D">
        <w:t>-sourced woody biomass in direct-combustion power plants. The number of biomass power plant facilities has declined in the last few decades and</w:t>
      </w:r>
      <w:r w:rsidR="00774E79">
        <w:rPr>
          <w:shd w:val="clear" w:color="auto" w:fill="FFFFFF"/>
        </w:rPr>
        <w:t xml:space="preserve"> </w:t>
      </w:r>
      <w:r w:rsidR="003B0B6D">
        <w:rPr>
          <w:shd w:val="clear" w:color="auto" w:fill="FFFFFF"/>
        </w:rPr>
        <w:t>m</w:t>
      </w:r>
      <w:r w:rsidR="00774E79">
        <w:rPr>
          <w:shd w:val="clear" w:color="auto" w:fill="FFFFFF"/>
        </w:rPr>
        <w:t xml:space="preserve">any of the existing plants are operating </w:t>
      </w:r>
      <w:r w:rsidR="003B0B6D">
        <w:rPr>
          <w:shd w:val="clear" w:color="auto" w:fill="FFFFFF"/>
        </w:rPr>
        <w:t xml:space="preserve">under </w:t>
      </w:r>
      <w:r w:rsidR="00774E79">
        <w:rPr>
          <w:shd w:val="clear" w:color="auto" w:fill="FFFFFF"/>
        </w:rPr>
        <w:t xml:space="preserve">energy contracts that are set to expire </w:t>
      </w:r>
      <w:r w:rsidR="002570D5">
        <w:rPr>
          <w:shd w:val="clear" w:color="auto" w:fill="FFFFFF"/>
        </w:rPr>
        <w:t>by 2022.</w:t>
      </w:r>
      <w:r w:rsidR="003B0B6D">
        <w:rPr>
          <w:shd w:val="clear" w:color="auto" w:fill="FFFFFF"/>
        </w:rPr>
        <w:t xml:space="preserve"> Additionally,</w:t>
      </w:r>
      <w:r w:rsidR="00774E79">
        <w:rPr>
          <w:shd w:val="clear" w:color="auto" w:fill="FFFFFF"/>
        </w:rPr>
        <w:t xml:space="preserve"> </w:t>
      </w:r>
      <w:r w:rsidR="00CA708B">
        <w:rPr>
          <w:shd w:val="clear" w:color="auto" w:fill="FFFFFF"/>
        </w:rPr>
        <w:t>treatment site</w:t>
      </w:r>
      <w:r w:rsidR="00774E79">
        <w:rPr>
          <w:shd w:val="clear" w:color="auto" w:fill="FFFFFF"/>
        </w:rPr>
        <w:t>s</w:t>
      </w:r>
      <w:r w:rsidR="00CA708B">
        <w:rPr>
          <w:shd w:val="clear" w:color="auto" w:fill="FFFFFF"/>
        </w:rPr>
        <w:t xml:space="preserve"> </w:t>
      </w:r>
      <w:r w:rsidR="003B0B6D">
        <w:rPr>
          <w:shd w:val="clear" w:color="auto" w:fill="FFFFFF"/>
        </w:rPr>
        <w:t xml:space="preserve">must generally be within </w:t>
      </w:r>
      <w:r w:rsidR="00CA708B">
        <w:rPr>
          <w:shd w:val="clear" w:color="auto" w:fill="FFFFFF"/>
        </w:rPr>
        <w:t>50 miles or less</w:t>
      </w:r>
      <w:r w:rsidR="003B0B6D">
        <w:rPr>
          <w:shd w:val="clear" w:color="auto" w:fill="FFFFFF"/>
        </w:rPr>
        <w:t xml:space="preserve"> in order for projects to have long-term economic viability </w:t>
      </w:r>
      <w:r w:rsidR="00267757">
        <w:rPr>
          <w:shd w:val="clear" w:color="auto" w:fill="FFFFFF"/>
        </w:rPr>
        <w:t>because of</w:t>
      </w:r>
      <w:r w:rsidR="003B0B6D">
        <w:rPr>
          <w:shd w:val="clear" w:color="auto" w:fill="FFFFFF"/>
        </w:rPr>
        <w:t xml:space="preserve"> the high cost of transporting woody biomass material from remote locations</w:t>
      </w:r>
      <w:r w:rsidR="00CA708B">
        <w:rPr>
          <w:shd w:val="clear" w:color="auto" w:fill="FFFFFF"/>
        </w:rPr>
        <w:t>.</w:t>
      </w:r>
      <w:r w:rsidR="00587017">
        <w:rPr>
          <w:shd w:val="clear" w:color="auto" w:fill="FFFFFF"/>
        </w:rPr>
        <w:t xml:space="preserve"> </w:t>
      </w:r>
      <w:r w:rsidR="003B0B6D">
        <w:rPr>
          <w:shd w:val="clear" w:color="auto" w:fill="FFFFFF"/>
        </w:rPr>
        <w:t xml:space="preserve">Conversion of woody biomass </w:t>
      </w:r>
      <w:r w:rsidR="005D634B">
        <w:rPr>
          <w:shd w:val="clear" w:color="auto" w:fill="FFFFFF"/>
        </w:rPr>
        <w:t>into biofuels with higher energy densities, with greater portability and increased market value is currently being researched.</w:t>
      </w:r>
      <w:r w:rsidR="008B018E">
        <w:rPr>
          <w:shd w:val="clear" w:color="auto" w:fill="FFFFFF"/>
        </w:rPr>
        <w:t xml:space="preserve"> </w:t>
      </w:r>
      <w:r w:rsidR="005D634B">
        <w:rPr>
          <w:shd w:val="clear" w:color="auto" w:fill="FFFFFF"/>
        </w:rPr>
        <w:t>Biochar byproducts created through the biofuel conversion process are additionally being explored as soil amendments for</w:t>
      </w:r>
      <w:r w:rsidR="000B7771">
        <w:rPr>
          <w:shd w:val="clear" w:color="auto" w:fill="FFFFFF"/>
        </w:rPr>
        <w:t xml:space="preserve"> achieving carbon dioxide sequestration pursuant to state</w:t>
      </w:r>
      <w:r w:rsidR="00D838B0">
        <w:rPr>
          <w:shd w:val="clear" w:color="auto" w:fill="FFFFFF"/>
        </w:rPr>
        <w:t>’</w:t>
      </w:r>
      <w:r w:rsidR="000B7771">
        <w:rPr>
          <w:shd w:val="clear" w:color="auto" w:fill="FFFFFF"/>
        </w:rPr>
        <w:t>s climate policies.</w:t>
      </w:r>
      <w:r w:rsidR="008B018E">
        <w:rPr>
          <w:shd w:val="clear" w:color="auto" w:fill="FFFFFF"/>
        </w:rPr>
        <w:t xml:space="preserve"> </w:t>
      </w:r>
    </w:p>
    <w:p w14:paraId="5F703EFF" w14:textId="381B3111" w:rsidR="0045351A" w:rsidRPr="000B7771" w:rsidRDefault="009F307E" w:rsidP="0098377D">
      <w:pPr>
        <w:pStyle w:val="BodyText"/>
        <w:spacing w:line="260" w:lineRule="exact"/>
        <w:rPr>
          <w:shd w:val="clear" w:color="auto" w:fill="FFFFFF"/>
        </w:rPr>
      </w:pPr>
      <w:r>
        <w:t xml:space="preserve">Solid </w:t>
      </w:r>
      <w:r>
        <w:rPr>
          <w:shd w:val="clear" w:color="auto" w:fill="FFFFFF"/>
        </w:rPr>
        <w:t>o</w:t>
      </w:r>
      <w:r w:rsidR="000B7771">
        <w:rPr>
          <w:shd w:val="clear" w:color="auto" w:fill="FFFFFF"/>
        </w:rPr>
        <w:t>rganic</w:t>
      </w:r>
      <w:r w:rsidR="000A3E2C">
        <w:rPr>
          <w:shd w:val="clear" w:color="auto" w:fill="FFFFFF"/>
        </w:rPr>
        <w:t xml:space="preserve"> waste generated from treatment activities could also be transported</w:t>
      </w:r>
      <w:r w:rsidR="000B7771">
        <w:rPr>
          <w:shd w:val="clear" w:color="auto" w:fill="FFFFFF"/>
        </w:rPr>
        <w:t xml:space="preserve"> </w:t>
      </w:r>
      <w:r w:rsidR="000A3E2C">
        <w:rPr>
          <w:shd w:val="clear" w:color="auto" w:fill="FFFFFF"/>
        </w:rPr>
        <w:t>to nearby composting facilit</w:t>
      </w:r>
      <w:r w:rsidR="00FA1981">
        <w:rPr>
          <w:shd w:val="clear" w:color="auto" w:fill="FFFFFF"/>
        </w:rPr>
        <w:t>ies</w:t>
      </w:r>
      <w:r w:rsidR="000A3E2C">
        <w:rPr>
          <w:shd w:val="clear" w:color="auto" w:fill="FFFFFF"/>
        </w:rPr>
        <w:t xml:space="preserve">. Currently, there are approximately 130 operating entities in the state with the capacity to process </w:t>
      </w:r>
      <w:r w:rsidR="00A156AB" w:rsidRPr="00DD4E22">
        <w:t xml:space="preserve">an average of 49,000 tons </w:t>
      </w:r>
      <w:r w:rsidR="00114AE4" w:rsidRPr="00DD4E22">
        <w:t xml:space="preserve">of </w:t>
      </w:r>
      <w:r w:rsidR="00114AE4" w:rsidRPr="009F307E">
        <w:t>solid</w:t>
      </w:r>
      <w:r>
        <w:t xml:space="preserve"> </w:t>
      </w:r>
      <w:r w:rsidR="000B7771">
        <w:t>organic</w:t>
      </w:r>
      <w:r w:rsidR="00A156AB" w:rsidRPr="00DD4E22">
        <w:t xml:space="preserve"> materials per year (CalRecycle 2019b).</w:t>
      </w:r>
      <w:r w:rsidR="00A156AB">
        <w:t xml:space="preserve"> </w:t>
      </w:r>
      <w:r w:rsidR="000B7771">
        <w:t>An additional 60 composting facilities are anticipated to be added in California starting in 2022 i</w:t>
      </w:r>
      <w:r w:rsidR="00525C4D">
        <w:t xml:space="preserve">n response to statewide </w:t>
      </w:r>
      <w:r>
        <w:t xml:space="preserve">solid </w:t>
      </w:r>
      <w:r w:rsidR="00525C4D">
        <w:t>organic waste diversion regulations</w:t>
      </w:r>
      <w:r w:rsidR="002570D5">
        <w:t xml:space="preserve"> mandated under SB 1383 (</w:t>
      </w:r>
      <w:bookmarkStart w:id="22" w:name="_Hlk8116360"/>
      <w:r w:rsidR="002570D5">
        <w:t>CalRecycle 2018</w:t>
      </w:r>
      <w:bookmarkEnd w:id="22"/>
      <w:r w:rsidR="002570D5">
        <w:t>)</w:t>
      </w:r>
      <w:r w:rsidR="000B7771">
        <w:t xml:space="preserve">. These </w:t>
      </w:r>
      <w:r w:rsidR="002570D5">
        <w:t>new</w:t>
      </w:r>
      <w:r w:rsidR="000B7771">
        <w:t xml:space="preserve"> facilities w</w:t>
      </w:r>
      <w:r w:rsidR="002570D5">
        <w:t>ould</w:t>
      </w:r>
      <w:r w:rsidR="000B7771">
        <w:t xml:space="preserve"> create add</w:t>
      </w:r>
      <w:r w:rsidR="002570D5">
        <w:t>itional</w:t>
      </w:r>
      <w:r w:rsidR="000B7771">
        <w:t xml:space="preserve"> capacity to process </w:t>
      </w:r>
      <w:r>
        <w:t xml:space="preserve">solid </w:t>
      </w:r>
      <w:r w:rsidR="000B7771">
        <w:t>organic waste currently being disposed in landfills, which includes woody biomass waste.</w:t>
      </w:r>
      <w:r w:rsidR="008B018E">
        <w:t xml:space="preserve"> </w:t>
      </w:r>
    </w:p>
    <w:p w14:paraId="6A9DB50E" w14:textId="56C36F35" w:rsidR="00435C59" w:rsidRDefault="00686574" w:rsidP="00435C59">
      <w:pPr>
        <w:pStyle w:val="BodyText"/>
      </w:pPr>
      <w:r>
        <w:lastRenderedPageBreak/>
        <w:t>G</w:t>
      </w:r>
      <w:r w:rsidR="007D1C6E" w:rsidRPr="00686574">
        <w:t xml:space="preserve">iven </w:t>
      </w:r>
      <w:r w:rsidR="00331F9C">
        <w:t xml:space="preserve">large geographic area of the </w:t>
      </w:r>
      <w:r w:rsidR="00442F31">
        <w:t>treatable</w:t>
      </w:r>
      <w:r w:rsidR="00331F9C">
        <w:t xml:space="preserve"> landscape and the variability of organic material produces</w:t>
      </w:r>
      <w:r w:rsidR="00442F31">
        <w:t xml:space="preserve"> by different fuel types</w:t>
      </w:r>
      <w:r w:rsidR="00331F9C">
        <w:t>, it is not possible to quantify</w:t>
      </w:r>
      <w:r w:rsidR="007D1C6E" w:rsidRPr="00686574">
        <w:t xml:space="preserve"> the volume of </w:t>
      </w:r>
      <w:r w:rsidR="009F307E">
        <w:t xml:space="preserve">solid </w:t>
      </w:r>
      <w:r w:rsidR="00F14AEA">
        <w:t>organic</w:t>
      </w:r>
      <w:r w:rsidR="007D1C6E" w:rsidRPr="00686574">
        <w:t xml:space="preserve"> waste that would be </w:t>
      </w:r>
      <w:r>
        <w:t>processed offsite</w:t>
      </w:r>
      <w:r w:rsidR="007D1C6E" w:rsidRPr="00686574">
        <w:t xml:space="preserve">, </w:t>
      </w:r>
      <w:r w:rsidR="00442F31">
        <w:t xml:space="preserve">and </w:t>
      </w:r>
      <w:r w:rsidR="007D1C6E" w:rsidRPr="00686574">
        <w:t xml:space="preserve">the </w:t>
      </w:r>
      <w:r w:rsidR="00442F31">
        <w:t>specific</w:t>
      </w:r>
      <w:r w:rsidR="007D1C6E" w:rsidRPr="00686574">
        <w:t xml:space="preserve"> method</w:t>
      </w:r>
      <w:r w:rsidR="00442F31">
        <w:t xml:space="preserve"> or methods</w:t>
      </w:r>
      <w:r w:rsidR="007D1C6E" w:rsidRPr="00686574">
        <w:t xml:space="preserve"> of disposition</w:t>
      </w:r>
      <w:r w:rsidR="00331F9C">
        <w:t xml:space="preserve"> </w:t>
      </w:r>
      <w:r w:rsidR="00442F31">
        <w:t xml:space="preserve">for each project </w:t>
      </w:r>
      <w:r w:rsidR="00331F9C">
        <w:t>cannot be known</w:t>
      </w:r>
      <w:r w:rsidR="00442F31">
        <w:t xml:space="preserve"> at this time</w:t>
      </w:r>
      <w:r w:rsidR="007D1C6E" w:rsidRPr="00686574">
        <w:t>. SPR UTIL-1 require</w:t>
      </w:r>
      <w:r w:rsidR="00442F31">
        <w:t>s</w:t>
      </w:r>
      <w:r w:rsidR="00E12286">
        <w:t xml:space="preserve"> </w:t>
      </w:r>
      <w:r w:rsidR="007D1C6E" w:rsidRPr="00686574">
        <w:t>proponent</w:t>
      </w:r>
      <w:r w:rsidR="007D74E4">
        <w:t>s of projects</w:t>
      </w:r>
      <w:r w:rsidR="003F215C">
        <w:t xml:space="preserve"> </w:t>
      </w:r>
      <w:r w:rsidR="00E12286">
        <w:t>that would</w:t>
      </w:r>
      <w:r w:rsidR="007D74E4">
        <w:t xml:space="preserve"> </w:t>
      </w:r>
      <w:r w:rsidR="007C3005">
        <w:t>transport</w:t>
      </w:r>
      <w:r w:rsidR="003F215C">
        <w:t xml:space="preserve"> solid organic waste offsite</w:t>
      </w:r>
      <w:r w:rsidR="007D1C6E" w:rsidRPr="00686574">
        <w:t xml:space="preserve"> to </w:t>
      </w:r>
      <w:r w:rsidR="007D1C6E" w:rsidRPr="0045351A">
        <w:t xml:space="preserve">prepare </w:t>
      </w:r>
      <w:r w:rsidR="007D1C6E" w:rsidRPr="0045351A">
        <w:rPr>
          <w:shd w:val="clear" w:color="auto" w:fill="FFFFFF"/>
        </w:rPr>
        <w:t xml:space="preserve">a </w:t>
      </w:r>
      <w:r w:rsidR="009F307E">
        <w:t>Solid O</w:t>
      </w:r>
      <w:r w:rsidR="00F14AEA">
        <w:rPr>
          <w:shd w:val="clear" w:color="auto" w:fill="FFFFFF"/>
        </w:rPr>
        <w:t>rganic</w:t>
      </w:r>
      <w:r w:rsidR="007D1C6E" w:rsidRPr="0045351A">
        <w:rPr>
          <w:shd w:val="clear" w:color="auto" w:fill="FFFFFF"/>
        </w:rPr>
        <w:t xml:space="preserve"> Waste Disposition Plan </w:t>
      </w:r>
      <w:r w:rsidRPr="0045351A">
        <w:rPr>
          <w:shd w:val="clear" w:color="auto" w:fill="FFFFFF"/>
        </w:rPr>
        <w:t xml:space="preserve">that </w:t>
      </w:r>
      <w:r w:rsidR="00442F31">
        <w:rPr>
          <w:shd w:val="clear" w:color="auto" w:fill="FFFFFF"/>
        </w:rPr>
        <w:t>identifies</w:t>
      </w:r>
      <w:r w:rsidRPr="0045351A">
        <w:rPr>
          <w:shd w:val="clear" w:color="auto" w:fill="FFFFFF"/>
        </w:rPr>
        <w:t xml:space="preserve"> the </w:t>
      </w:r>
      <w:r w:rsidR="00442F31">
        <w:t>amount</w:t>
      </w:r>
      <w:r w:rsidR="009F307E">
        <w:t xml:space="preserve"> (e.g., tons)</w:t>
      </w:r>
      <w:r w:rsidRPr="0045351A">
        <w:t xml:space="preserve"> of </w:t>
      </w:r>
      <w:r w:rsidR="009F307E">
        <w:t xml:space="preserve">solid </w:t>
      </w:r>
      <w:r w:rsidR="00F14AEA">
        <w:t>organic</w:t>
      </w:r>
      <w:r w:rsidRPr="0045351A">
        <w:t xml:space="preserve"> waste to be managed onsite (i.e., scattering of wood materials, generating unburned piles, pile burning</w:t>
      </w:r>
      <w:r w:rsidR="002570D5">
        <w:t>, mobile biofuels refinement and/or biochar generation</w:t>
      </w:r>
      <w:r w:rsidRPr="0045351A">
        <w:t xml:space="preserve">) and </w:t>
      </w:r>
      <w:r w:rsidR="007F3910">
        <w:t xml:space="preserve">transported </w:t>
      </w:r>
      <w:r w:rsidRPr="0045351A">
        <w:t xml:space="preserve">offsite </w:t>
      </w:r>
      <w:r w:rsidR="007F3910">
        <w:t xml:space="preserve">for processing </w:t>
      </w:r>
      <w:r w:rsidRPr="0045351A">
        <w:t xml:space="preserve">(i.e., biomass power plant, wood product processing facility, composting). If the project proponent intends to </w:t>
      </w:r>
      <w:r w:rsidR="00CA4887" w:rsidRPr="0045351A">
        <w:t xml:space="preserve">transport </w:t>
      </w:r>
      <w:r w:rsidR="009F307E">
        <w:t xml:space="preserve">solid </w:t>
      </w:r>
      <w:r w:rsidR="002570D5">
        <w:t>organic</w:t>
      </w:r>
      <w:r w:rsidR="00CA4887" w:rsidRPr="0045351A">
        <w:t xml:space="preserve"> waste offsite, the </w:t>
      </w:r>
      <w:r w:rsidR="009F307E">
        <w:t xml:space="preserve">Solid </w:t>
      </w:r>
      <w:r w:rsidR="00F14AEA">
        <w:rPr>
          <w:shd w:val="clear" w:color="auto" w:fill="FFFFFF"/>
        </w:rPr>
        <w:t>Organic</w:t>
      </w:r>
      <w:r w:rsidR="00CA4887" w:rsidRPr="0045351A">
        <w:rPr>
          <w:shd w:val="clear" w:color="auto" w:fill="FFFFFF"/>
        </w:rPr>
        <w:t xml:space="preserve"> Waste Disposition Plan </w:t>
      </w:r>
      <w:r w:rsidR="00442F31">
        <w:rPr>
          <w:shd w:val="clear" w:color="auto" w:fill="FFFFFF"/>
        </w:rPr>
        <w:t>will</w:t>
      </w:r>
      <w:r w:rsidR="00CA4887" w:rsidRPr="0045351A">
        <w:rPr>
          <w:shd w:val="clear" w:color="auto" w:fill="FFFFFF"/>
        </w:rPr>
        <w:t xml:space="preserve"> clearly identify the </w:t>
      </w:r>
      <w:r w:rsidRPr="0045351A">
        <w:t>location and capacity of the</w:t>
      </w:r>
      <w:r w:rsidR="00CA4887" w:rsidRPr="0045351A">
        <w:t xml:space="preserve"> processing</w:t>
      </w:r>
      <w:r w:rsidRPr="0045351A">
        <w:t xml:space="preserve"> facility</w:t>
      </w:r>
      <w:r w:rsidR="00CA4887" w:rsidRPr="0045351A">
        <w:t xml:space="preserve">, consistent with local and state regulations. </w:t>
      </w:r>
      <w:r w:rsidR="00AA06D9" w:rsidRPr="0045351A">
        <w:rPr>
          <w:shd w:val="clear" w:color="auto" w:fill="FFFFFF"/>
        </w:rPr>
        <w:t>Implementation of</w:t>
      </w:r>
      <w:r w:rsidR="00B76712" w:rsidRPr="0045351A">
        <w:rPr>
          <w:shd w:val="clear" w:color="auto" w:fill="FFFFFF"/>
        </w:rPr>
        <w:t xml:space="preserve"> SPR</w:t>
      </w:r>
      <w:r w:rsidR="00AA06D9" w:rsidRPr="0045351A">
        <w:rPr>
          <w:shd w:val="clear" w:color="auto" w:fill="FFFFFF"/>
        </w:rPr>
        <w:t xml:space="preserve"> UTIL-1 would </w:t>
      </w:r>
      <w:r w:rsidR="007C3005">
        <w:rPr>
          <w:shd w:val="clear" w:color="auto" w:fill="FFFFFF"/>
        </w:rPr>
        <w:t>require</w:t>
      </w:r>
      <w:r w:rsidR="007C3005" w:rsidRPr="0045351A">
        <w:rPr>
          <w:shd w:val="clear" w:color="auto" w:fill="FFFFFF"/>
        </w:rPr>
        <w:t xml:space="preserve"> </w:t>
      </w:r>
      <w:r w:rsidR="00CC0CA3" w:rsidRPr="0045351A">
        <w:rPr>
          <w:shd w:val="clear" w:color="auto" w:fill="FFFFFF"/>
        </w:rPr>
        <w:t xml:space="preserve">that disposition of </w:t>
      </w:r>
      <w:r w:rsidR="009F307E">
        <w:t xml:space="preserve">solid </w:t>
      </w:r>
      <w:r w:rsidR="002570D5">
        <w:rPr>
          <w:shd w:val="clear" w:color="auto" w:fill="FFFFFF"/>
        </w:rPr>
        <w:t>organic</w:t>
      </w:r>
      <w:r w:rsidR="00CC0CA3" w:rsidRPr="0045351A">
        <w:rPr>
          <w:shd w:val="clear" w:color="auto" w:fill="FFFFFF"/>
        </w:rPr>
        <w:t xml:space="preserve"> waste is adequately </w:t>
      </w:r>
      <w:r w:rsidR="00B85401" w:rsidRPr="0045351A">
        <w:rPr>
          <w:shd w:val="clear" w:color="auto" w:fill="FFFFFF"/>
        </w:rPr>
        <w:t>managed</w:t>
      </w:r>
      <w:r w:rsidR="00CC0CA3" w:rsidRPr="0045351A">
        <w:rPr>
          <w:shd w:val="clear" w:color="auto" w:fill="FFFFFF"/>
        </w:rPr>
        <w:t xml:space="preserve"> and </w:t>
      </w:r>
      <w:r w:rsidR="00454B82">
        <w:rPr>
          <w:shd w:val="clear" w:color="auto" w:fill="FFFFFF"/>
        </w:rPr>
        <w:t xml:space="preserve">is not transported to a facility that lacks the processing capacity. </w:t>
      </w:r>
      <w:r w:rsidR="00D3285F">
        <w:rPr>
          <w:shd w:val="clear" w:color="auto" w:fill="FFFFFF"/>
        </w:rPr>
        <w:t xml:space="preserve">However, </w:t>
      </w:r>
      <w:r w:rsidR="00190B72">
        <w:rPr>
          <w:shd w:val="clear" w:color="auto" w:fill="FFFFFF"/>
        </w:rPr>
        <w:t xml:space="preserve">existing biomass power plants, wood product processing, and composting facilities may not have the capacity to process the amount of </w:t>
      </w:r>
      <w:r w:rsidR="009F307E">
        <w:t xml:space="preserve">solid </w:t>
      </w:r>
      <w:r w:rsidR="002570D5">
        <w:rPr>
          <w:shd w:val="clear" w:color="auto" w:fill="FFFFFF"/>
        </w:rPr>
        <w:t>organic</w:t>
      </w:r>
      <w:r w:rsidR="00190B72">
        <w:rPr>
          <w:shd w:val="clear" w:color="auto" w:fill="FFFFFF"/>
        </w:rPr>
        <w:t xml:space="preserve"> waste that could be generated by CalVTP treatment activities. Although, </w:t>
      </w:r>
      <w:r w:rsidR="00AC724A">
        <w:t>a</w:t>
      </w:r>
      <w:r w:rsidR="00AC724A">
        <w:rPr>
          <w:shd w:val="clear" w:color="auto" w:fill="FFFFFF"/>
        </w:rPr>
        <w:t>dditional infrastructure</w:t>
      </w:r>
      <w:r w:rsidR="005B10FF">
        <w:rPr>
          <w:shd w:val="clear" w:color="auto" w:fill="FFFFFF"/>
        </w:rPr>
        <w:t xml:space="preserve"> and market demand</w:t>
      </w:r>
      <w:r w:rsidR="00AC724A">
        <w:rPr>
          <w:shd w:val="clear" w:color="auto" w:fill="FFFFFF"/>
        </w:rPr>
        <w:t xml:space="preserve"> for the processing of organic materials is expected to increase </w:t>
      </w:r>
      <w:r w:rsidR="005B10FF">
        <w:rPr>
          <w:shd w:val="clear" w:color="auto" w:fill="FFFFFF"/>
        </w:rPr>
        <w:t xml:space="preserve">in the near future in response to state regulations, </w:t>
      </w:r>
      <w:r w:rsidR="00AC724A">
        <w:rPr>
          <w:shd w:val="clear" w:color="auto" w:fill="FFFFFF"/>
        </w:rPr>
        <w:t>it is too speculative to assume that this growth would occur consistent wit</w:t>
      </w:r>
      <w:r w:rsidR="00E82BFB">
        <w:rPr>
          <w:shd w:val="clear" w:color="auto" w:fill="FFFFFF"/>
        </w:rPr>
        <w:t xml:space="preserve">h the </w:t>
      </w:r>
      <w:r w:rsidR="00E82BFB" w:rsidRPr="000F45D4">
        <w:t>pace and scale of vegetation treatments</w:t>
      </w:r>
      <w:r w:rsidR="00E82BFB">
        <w:t xml:space="preserve">. </w:t>
      </w:r>
      <w:r w:rsidR="00435C59">
        <w:t xml:space="preserve">Therefore, </w:t>
      </w:r>
      <w:r w:rsidR="00435C59" w:rsidRPr="00E73FDD">
        <w:t>because of some uncertainty in future predictions</w:t>
      </w:r>
      <w:r w:rsidR="00435C59">
        <w:t xml:space="preserve"> related to the solid organic waste processing industry</w:t>
      </w:r>
      <w:r w:rsidR="00435C59" w:rsidRPr="00E73FDD">
        <w:t>, to meet CEQA</w:t>
      </w:r>
      <w:r w:rsidR="00D838B0">
        <w:t>’</w:t>
      </w:r>
      <w:r w:rsidR="00435C59" w:rsidRPr="00E73FDD">
        <w:t>s mandate of good faith disclosure (</w:t>
      </w:r>
      <w:r w:rsidR="00435C59" w:rsidRPr="00E73FDD">
        <w:rPr>
          <w:i/>
        </w:rPr>
        <w:t>California Native Plant Society v. City of Santa Cruz, supra,</w:t>
      </w:r>
      <w:r w:rsidR="00435C59" w:rsidRPr="00E73FDD">
        <w:t xml:space="preserve"> 177 Cal.App.4th at p. 979) and to not risk understating potential future impacts in light of the uncertainties, this PEIR classifies this impact as </w:t>
      </w:r>
      <w:r w:rsidR="00435C59" w:rsidRPr="00E73FDD">
        <w:rPr>
          <w:b/>
        </w:rPr>
        <w:t>potentially significant</w:t>
      </w:r>
      <w:r w:rsidR="00435C59">
        <w:t>, notwithstanding the possibility that capacity could increase with the scale of treatments such that it would not be exceeded</w:t>
      </w:r>
      <w:r w:rsidR="001F31F5">
        <w:t xml:space="preserve"> for most or all individual treatments</w:t>
      </w:r>
      <w:r w:rsidR="00435C59">
        <w:t xml:space="preserve">. </w:t>
      </w:r>
    </w:p>
    <w:p w14:paraId="33634945" w14:textId="77777777" w:rsidR="00FD6F6C" w:rsidRPr="003A0B04" w:rsidRDefault="00FD6F6C" w:rsidP="00FD6F6C">
      <w:pPr>
        <w:pStyle w:val="Heading5"/>
      </w:pPr>
      <w:r w:rsidRPr="003A0B04">
        <w:t>Mitigation Measures</w:t>
      </w:r>
    </w:p>
    <w:p w14:paraId="753E8845" w14:textId="2BFAFCB6" w:rsidR="009949F2" w:rsidRPr="003A0B04" w:rsidRDefault="00EE7B9C" w:rsidP="001F3BFA">
      <w:pPr>
        <w:pStyle w:val="Mitigationtext"/>
      </w:pPr>
      <w:r>
        <w:t xml:space="preserve">To reduce the potential for capacity of existing solid organic waste facilities to be exceeded, the amount of material generated during treatments under the CalVTP </w:t>
      </w:r>
      <w:r w:rsidR="007E3408">
        <w:t xml:space="preserve">that requires offsite disposal </w:t>
      </w:r>
      <w:r>
        <w:t>would have to be reduced</w:t>
      </w:r>
      <w:r w:rsidR="00C5795E">
        <w:t xml:space="preserve"> or the capacity of infrastructure receiving biomass would need to expand</w:t>
      </w:r>
      <w:r>
        <w:t>.</w:t>
      </w:r>
      <w:r w:rsidR="007E3408">
        <w:t xml:space="preserve"> </w:t>
      </w:r>
      <w:r w:rsidR="00C5795E">
        <w:t>R</w:t>
      </w:r>
      <w:r w:rsidR="007E3408">
        <w:t xml:space="preserve">eduction </w:t>
      </w:r>
      <w:r w:rsidR="00C5795E">
        <w:t xml:space="preserve">of transported biomass </w:t>
      </w:r>
      <w:r w:rsidR="007E3408">
        <w:t>would require more debris to be disposed onsite</w:t>
      </w:r>
      <w:r w:rsidR="00C5795E">
        <w:t xml:space="preserve"> (by chipping or pile burning), which would create adverse impact trade-offs of the risk of excessive mulch from chipping or an increase in smoke emissions from pile burning.</w:t>
      </w:r>
      <w:r w:rsidR="007E3408">
        <w:t xml:space="preserve"> Therefore, t</w:t>
      </w:r>
      <w:r w:rsidR="00295EAB" w:rsidRPr="003A0B04">
        <w:t xml:space="preserve">here </w:t>
      </w:r>
      <w:r w:rsidR="00C5795E">
        <w:t>would be</w:t>
      </w:r>
      <w:r w:rsidR="00C5795E" w:rsidRPr="003A0B04">
        <w:t xml:space="preserve"> </w:t>
      </w:r>
      <w:r w:rsidR="00295EAB" w:rsidRPr="003A0B04">
        <w:t>no</w:t>
      </w:r>
      <w:r>
        <w:t xml:space="preserve"> feasible</w:t>
      </w:r>
      <w:r w:rsidR="00295EAB" w:rsidRPr="003A0B04">
        <w:t xml:space="preserve"> measures </w:t>
      </w:r>
      <w:r>
        <w:t xml:space="preserve">to </w:t>
      </w:r>
      <w:r w:rsidR="00C5795E">
        <w:t xml:space="preserve">adequately </w:t>
      </w:r>
      <w:r>
        <w:t>reduce</w:t>
      </w:r>
      <w:r w:rsidR="00295EAB" w:rsidRPr="003A0B04">
        <w:t xml:space="preserve"> the </w:t>
      </w:r>
      <w:r w:rsidR="00A51B04" w:rsidRPr="003A0B04">
        <w:t xml:space="preserve">volume of </w:t>
      </w:r>
      <w:r w:rsidR="00F14AEA">
        <w:t>organic</w:t>
      </w:r>
      <w:r w:rsidR="00A51B04" w:rsidRPr="003A0B04">
        <w:t xml:space="preserve"> waste </w:t>
      </w:r>
      <w:r>
        <w:t>generated</w:t>
      </w:r>
      <w:r w:rsidR="00A51B04" w:rsidRPr="003A0B04">
        <w:t xml:space="preserve"> </w:t>
      </w:r>
      <w:r w:rsidR="007E3408">
        <w:t>by</w:t>
      </w:r>
      <w:r w:rsidR="00A51B04" w:rsidRPr="003A0B04">
        <w:t xml:space="preserve"> </w:t>
      </w:r>
      <w:r w:rsidR="007E3408">
        <w:t xml:space="preserve">CalVTP </w:t>
      </w:r>
      <w:r w:rsidR="00A51B04" w:rsidRPr="003A0B04">
        <w:t>treatment activities.</w:t>
      </w:r>
      <w:r w:rsidR="008B018E">
        <w:t xml:space="preserve"> </w:t>
      </w:r>
    </w:p>
    <w:p w14:paraId="284E1E97" w14:textId="77777777" w:rsidR="00A51B04" w:rsidRDefault="00A51B04" w:rsidP="00A51B04">
      <w:pPr>
        <w:pStyle w:val="Heading6"/>
      </w:pPr>
      <w:r>
        <w:t>Significance after Mitigation</w:t>
      </w:r>
    </w:p>
    <w:p w14:paraId="0A3FD78F" w14:textId="415BB723" w:rsidR="00A15C3F" w:rsidRDefault="00FD381B" w:rsidP="001F3BFA">
      <w:pPr>
        <w:pStyle w:val="BodyText"/>
      </w:pPr>
      <w:r>
        <w:t>A</w:t>
      </w:r>
      <w:r w:rsidR="001E296E">
        <w:t>n increase</w:t>
      </w:r>
      <w:r w:rsidR="004235D2">
        <w:t xml:space="preserve"> in the</w:t>
      </w:r>
      <w:r w:rsidR="001E296E">
        <w:t xml:space="preserve"> capaci</w:t>
      </w:r>
      <w:r w:rsidR="004235D2">
        <w:t xml:space="preserve">ty </w:t>
      </w:r>
      <w:r w:rsidR="001E296E">
        <w:t>of</w:t>
      </w:r>
      <w:r w:rsidR="00E243E5">
        <w:t xml:space="preserve"> local infrastructure to process woody biomass</w:t>
      </w:r>
      <w:r w:rsidR="004235D2">
        <w:t xml:space="preserve"> and other organic materials</w:t>
      </w:r>
      <w:r w:rsidR="00E243E5">
        <w:t xml:space="preserve"> </w:t>
      </w:r>
      <w:r w:rsidR="00380CB3">
        <w:t>could</w:t>
      </w:r>
      <w:r w:rsidR="00E243E5">
        <w:t xml:space="preserve"> occur </w:t>
      </w:r>
      <w:r>
        <w:t>over</w:t>
      </w:r>
      <w:r w:rsidR="00A22386">
        <w:t xml:space="preserve"> the</w:t>
      </w:r>
      <w:r w:rsidR="00EE5EF1">
        <w:t xml:space="preserve"> next several years</w:t>
      </w:r>
      <w:r w:rsidR="00913563">
        <w:t xml:space="preserve">. </w:t>
      </w:r>
      <w:r w:rsidR="00E135EF">
        <w:t>I</w:t>
      </w:r>
      <w:r w:rsidR="00913563">
        <w:t>ncreased capacity</w:t>
      </w:r>
      <w:r w:rsidR="00E135EF">
        <w:t xml:space="preserve"> for the processing of woody biomass</w:t>
      </w:r>
      <w:r w:rsidR="00913563">
        <w:t xml:space="preserve"> </w:t>
      </w:r>
      <w:r w:rsidR="00E135EF">
        <w:t>c</w:t>
      </w:r>
      <w:r w:rsidR="00380CB3">
        <w:t>ould be added</w:t>
      </w:r>
      <w:r w:rsidR="00913563">
        <w:t xml:space="preserve"> </w:t>
      </w:r>
      <w:r w:rsidR="00E135EF">
        <w:t xml:space="preserve">though a market response to increased supplies of feedstock material and demand for products that can be produced from these materials. The deployment of advanced processing and manufacturing techniques in recent years, such as Aerated Static Piles for composting, gasification for biomass energy conversion, and panelized building materials </w:t>
      </w:r>
      <w:r w:rsidR="007A2A87">
        <w:t xml:space="preserve">derived </w:t>
      </w:r>
      <w:r w:rsidR="00E135EF">
        <w:t xml:space="preserve">from mass timber are </w:t>
      </w:r>
      <w:r w:rsidR="007A2A87">
        <w:t xml:space="preserve">creating new pathways for the disposition of biomass wastes that previously did not exist. On-site </w:t>
      </w:r>
      <w:r w:rsidR="00777227">
        <w:t>chipping and blowing</w:t>
      </w:r>
      <w:r w:rsidR="007A2A87">
        <w:t xml:space="preserve">, </w:t>
      </w:r>
      <w:r w:rsidR="006134D4">
        <w:t xml:space="preserve">pile </w:t>
      </w:r>
      <w:r w:rsidR="007A2A87">
        <w:t xml:space="preserve">burning or transport to direct-combustion biomass facilities are no longer the only viable options </w:t>
      </w:r>
      <w:r w:rsidR="00777227">
        <w:t xml:space="preserve">for managing the waste generated from dead and dying vegetation removed for purposes of fire fuels reduction. Technological advancements, state policies and demand for renewable fuel sources </w:t>
      </w:r>
      <w:r w:rsidR="00A15C3F">
        <w:t>are</w:t>
      </w:r>
      <w:r w:rsidR="00777227">
        <w:t xml:space="preserve"> driving a nascent market transformation</w:t>
      </w:r>
      <w:r w:rsidR="00A15C3F">
        <w:t xml:space="preserve"> for biomass</w:t>
      </w:r>
      <w:r w:rsidR="00777227">
        <w:t xml:space="preserve"> </w:t>
      </w:r>
      <w:r w:rsidR="00A15C3F">
        <w:t>that provides additional options for disposition.</w:t>
      </w:r>
      <w:r w:rsidR="008B018E">
        <w:t xml:space="preserve"> </w:t>
      </w:r>
    </w:p>
    <w:p w14:paraId="5DBD43D4" w14:textId="7E027D8D" w:rsidR="00A865E3" w:rsidRDefault="003B3B4D" w:rsidP="001F3BFA">
      <w:pPr>
        <w:pStyle w:val="BodyText"/>
      </w:pPr>
      <w:r>
        <w:t>A variety of programs have been implemented by state agencies to encourage alternative biomass</w:t>
      </w:r>
      <w:r w:rsidR="0017129A">
        <w:t xml:space="preserve"> applications</w:t>
      </w:r>
      <w:r>
        <w:t xml:space="preserve">. </w:t>
      </w:r>
      <w:r w:rsidR="00FA57ED">
        <w:t>Since 2014</w:t>
      </w:r>
      <w:r w:rsidR="00F66706">
        <w:t>,</w:t>
      </w:r>
      <w:r w:rsidR="00FA57ED">
        <w:t xml:space="preserve"> CalRecycle has invested $63.3 million in grants supporting the development of 14 expanded composting facilities throughout the state</w:t>
      </w:r>
      <w:r w:rsidR="005D6AD2">
        <w:t>, some of which are capable of processing biomass.</w:t>
      </w:r>
      <w:r w:rsidR="00FA57ED">
        <w:t xml:space="preserve"> The California Energy Commission has funded research on gasification technologies for</w:t>
      </w:r>
      <w:r w:rsidR="005D6AD2">
        <w:t xml:space="preserve"> </w:t>
      </w:r>
      <w:r w:rsidR="00FA57ED">
        <w:t xml:space="preserve">biomass, and two </w:t>
      </w:r>
      <w:r w:rsidR="00D82203">
        <w:t xml:space="preserve">demonstration </w:t>
      </w:r>
      <w:r w:rsidR="00FA57ED">
        <w:t xml:space="preserve">projects </w:t>
      </w:r>
      <w:r w:rsidR="00D82203">
        <w:t>to explore the feasibility and scalability of</w:t>
      </w:r>
      <w:r w:rsidR="005D6AD2">
        <w:t xml:space="preserve"> converting</w:t>
      </w:r>
      <w:r w:rsidR="00D82203">
        <w:t xml:space="preserve"> forest-based fuels into renewable gas. </w:t>
      </w:r>
      <w:r w:rsidR="00D82203" w:rsidRPr="00D82203">
        <w:t>The California Natural Resources Agency</w:t>
      </w:r>
      <w:r w:rsidR="00D82203">
        <w:t xml:space="preserve"> has also formed a Wood Products Working Group which has provided recommendations on exp</w:t>
      </w:r>
      <w:r w:rsidR="005D6AD2">
        <w:t xml:space="preserve">anding markets for products created from </w:t>
      </w:r>
      <w:r w:rsidR="00333ADA">
        <w:t>woody biomass derived from vegetation treatment</w:t>
      </w:r>
      <w:r w:rsidR="005D6AD2">
        <w:t xml:space="preserve"> activities. Through these efforts California</w:t>
      </w:r>
      <w:r w:rsidR="00D838B0">
        <w:t>’</w:t>
      </w:r>
      <w:r w:rsidR="005D6AD2">
        <w:t>s solid waste infrastructure</w:t>
      </w:r>
      <w:r>
        <w:t xml:space="preserve"> may</w:t>
      </w:r>
      <w:r w:rsidR="005D6AD2">
        <w:t xml:space="preserve"> expand and evolve into a system with long-term</w:t>
      </w:r>
      <w:r>
        <w:t xml:space="preserve"> capacity to</w:t>
      </w:r>
      <w:r w:rsidR="005D6AD2">
        <w:t xml:space="preserve"> manag</w:t>
      </w:r>
      <w:r>
        <w:t>e</w:t>
      </w:r>
      <w:r w:rsidR="005D6AD2">
        <w:t xml:space="preserve"> the woody biomass generated from the activities proposed under CalVTP</w:t>
      </w:r>
      <w:r w:rsidR="0017129A">
        <w:t xml:space="preserve"> and other organic wastes generated from statewide landfill waste diversion</w:t>
      </w:r>
      <w:r w:rsidR="005D6AD2">
        <w:t>.</w:t>
      </w:r>
    </w:p>
    <w:p w14:paraId="4C089A74" w14:textId="1263D560" w:rsidR="00FD381B" w:rsidRDefault="00FD381B" w:rsidP="001F3BFA">
      <w:pPr>
        <w:pStyle w:val="BodyText"/>
      </w:pPr>
      <w:r>
        <w:lastRenderedPageBreak/>
        <w:t xml:space="preserve">Adequate capacity to process solid organic waste must be developed through a coordinated public agency and private industry response. </w:t>
      </w:r>
      <w:r w:rsidR="00A865E3">
        <w:t xml:space="preserve">The success of the private sector in responding </w:t>
      </w:r>
      <w:r>
        <w:t xml:space="preserve">to the increase in </w:t>
      </w:r>
      <w:r w:rsidR="0017129A">
        <w:t xml:space="preserve">solid organic </w:t>
      </w:r>
      <w:r w:rsidR="00A865E3">
        <w:t>waste cannot be predicted due to many e</w:t>
      </w:r>
      <w:r w:rsidR="00A16C68">
        <w:t>xternal</w:t>
      </w:r>
      <w:r w:rsidR="00A865E3">
        <w:t xml:space="preserve"> factors that influence investment. </w:t>
      </w:r>
      <w:r w:rsidR="0012657F">
        <w:t xml:space="preserve">Furthermore, there is a geographic consideration inherent to this conclusion that recognizes that market responses do not occur uniformly across the state. </w:t>
      </w:r>
      <w:r>
        <w:t>This impact assessment uses t</w:t>
      </w:r>
      <w:r w:rsidR="00A865E3">
        <w:t xml:space="preserve">he threshold of significance </w:t>
      </w:r>
      <w:r>
        <w:t xml:space="preserve">from State CEQA Guidelines </w:t>
      </w:r>
      <w:r w:rsidR="00A865E3">
        <w:t>Appendix G</w:t>
      </w:r>
      <w:r>
        <w:t>,</w:t>
      </w:r>
      <w:r w:rsidR="00A16C68">
        <w:t xml:space="preserve"> </w:t>
      </w:r>
      <w:r>
        <w:t xml:space="preserve">which </w:t>
      </w:r>
      <w:r w:rsidR="00A865E3">
        <w:t xml:space="preserve">indicates that exceeding the capacity of </w:t>
      </w:r>
      <w:r w:rsidR="00A865E3" w:rsidRPr="00A865E3">
        <w:rPr>
          <w:i/>
        </w:rPr>
        <w:t>local</w:t>
      </w:r>
      <w:r w:rsidR="000751B0">
        <w:t xml:space="preserve"> solid waste </w:t>
      </w:r>
      <w:r w:rsidR="00A865E3">
        <w:t xml:space="preserve">infrastructure is the </w:t>
      </w:r>
      <w:r>
        <w:t>primary consideration</w:t>
      </w:r>
      <w:r w:rsidR="00A865E3">
        <w:t>. While some local</w:t>
      </w:r>
      <w:r w:rsidR="0012657F">
        <w:t>ities</w:t>
      </w:r>
      <w:r w:rsidR="00A865E3">
        <w:t xml:space="preserve"> within the state may currently have the requisite infrastructure to process woody biomass or may develop </w:t>
      </w:r>
      <w:r w:rsidR="0012657F">
        <w:t>this capacity</w:t>
      </w:r>
      <w:r w:rsidR="00A865E3">
        <w:t xml:space="preserve"> in the near future in response to the previously mentioned state policies and programs, it cannot be guaranteed</w:t>
      </w:r>
      <w:r w:rsidR="00333ADA">
        <w:t>,</w:t>
      </w:r>
      <w:r w:rsidR="00A865E3">
        <w:t xml:space="preserve"> that all localities </w:t>
      </w:r>
      <w:r w:rsidR="000751B0">
        <w:t>across</w:t>
      </w:r>
      <w:r w:rsidR="00A865E3">
        <w:t xml:space="preserve"> the state would develop the capacities to process excess </w:t>
      </w:r>
      <w:r w:rsidR="0012657F">
        <w:t xml:space="preserve">solid organic </w:t>
      </w:r>
      <w:r w:rsidR="00A865E3">
        <w:t>waste</w:t>
      </w:r>
      <w:r w:rsidR="000751B0">
        <w:t xml:space="preserve"> produced from treatment activities within the timeframes of the proposed activities. </w:t>
      </w:r>
      <w:r>
        <w:t xml:space="preserve">For this reason, </w:t>
      </w:r>
      <w:r w:rsidR="001F31F5">
        <w:t xml:space="preserve">because mitigation is not available, </w:t>
      </w:r>
      <w:r w:rsidR="00435C59" w:rsidRPr="000F68F9">
        <w:t>and to not risk understating potential future impacts in light of uncertainties</w:t>
      </w:r>
      <w:r w:rsidR="00435C59">
        <w:t xml:space="preserve"> about market response</w:t>
      </w:r>
      <w:r w:rsidR="00435C59" w:rsidRPr="000F68F9">
        <w:t xml:space="preserve">, this PEIR classifies this impact as </w:t>
      </w:r>
      <w:r w:rsidR="00435C59" w:rsidRPr="000F68F9">
        <w:rPr>
          <w:b/>
        </w:rPr>
        <w:t>potentially significant and unavoidable</w:t>
      </w:r>
      <w:r w:rsidR="00435C59" w:rsidRPr="000F68F9">
        <w:t xml:space="preserve">, </w:t>
      </w:r>
      <w:r w:rsidR="001F31F5">
        <w:t>notwithstanding the possibility that capacity could increase with the scale of treatments such that it would not be exceeded for most or all individual treatments</w:t>
      </w:r>
      <w:r w:rsidR="00435C59" w:rsidRPr="000F68F9">
        <w:t>.</w:t>
      </w:r>
      <w:r w:rsidR="008B018E">
        <w:t xml:space="preserve"> </w:t>
      </w:r>
      <w:r w:rsidR="00435C59" w:rsidRPr="000F68F9">
        <w:t xml:space="preserve">Even though the predicted outcome would be less than significant, the </w:t>
      </w:r>
      <w:r w:rsidR="00D838B0">
        <w:t>“</w:t>
      </w:r>
      <w:r w:rsidR="00435C59" w:rsidRPr="000F68F9">
        <w:t>potentially significant and unavoidable</w:t>
      </w:r>
      <w:r w:rsidR="00D838B0">
        <w:t>”</w:t>
      </w:r>
      <w:r w:rsidR="00435C59" w:rsidRPr="000F68F9">
        <w:t xml:space="preserve"> determination is intended </w:t>
      </w:r>
      <w:r w:rsidR="001F31F5" w:rsidRPr="000F68F9">
        <w:t>to meet CEQA</w:t>
      </w:r>
      <w:r w:rsidR="00D838B0">
        <w:t>’</w:t>
      </w:r>
      <w:r w:rsidR="001F31F5" w:rsidRPr="000F68F9">
        <w:t xml:space="preserve">s mandate of good faith disclosure </w:t>
      </w:r>
      <w:r w:rsidR="001F31F5">
        <w:t>of</w:t>
      </w:r>
      <w:r w:rsidR="00435C59" w:rsidRPr="000F68F9">
        <w:t xml:space="preserve"> </w:t>
      </w:r>
      <w:r w:rsidR="00435C59">
        <w:t xml:space="preserve">all </w:t>
      </w:r>
      <w:r w:rsidR="00435C59" w:rsidRPr="000F68F9">
        <w:t>potential effects</w:t>
      </w:r>
      <w:r w:rsidR="00435C59">
        <w:t xml:space="preserve"> related </w:t>
      </w:r>
      <w:r w:rsidR="001F31F5">
        <w:t>solid waste capacity exceedance</w:t>
      </w:r>
      <w:r w:rsidR="00435C59">
        <w:t>, in consideration of the program as a whole</w:t>
      </w:r>
      <w:r w:rsidR="00435C59" w:rsidRPr="000F68F9">
        <w:t>.</w:t>
      </w:r>
      <w:r w:rsidR="008B018E">
        <w:t xml:space="preserve"> </w:t>
      </w:r>
    </w:p>
    <w:p w14:paraId="5A935D6E" w14:textId="6F1B177E" w:rsidR="00AA00DF" w:rsidRDefault="00AA00DF" w:rsidP="00AA00DF">
      <w:pPr>
        <w:pStyle w:val="ImpactNo"/>
      </w:pPr>
      <w:r>
        <w:t>Impact UTIL-</w:t>
      </w:r>
      <w:r w:rsidR="00F57327">
        <w:t>3</w:t>
      </w:r>
      <w:r>
        <w:t xml:space="preserve">: </w:t>
      </w:r>
      <w:r w:rsidR="00696F99">
        <w:t xml:space="preserve">Comply with </w:t>
      </w:r>
      <w:r w:rsidR="00F66706">
        <w:t xml:space="preserve">Federal, </w:t>
      </w:r>
      <w:r w:rsidR="00696F99">
        <w:t>State</w:t>
      </w:r>
      <w:r w:rsidR="00F66706">
        <w:t>, and Local Management and Reduction Goals, Statutes, and Regulations Related to Solid Waste</w:t>
      </w:r>
    </w:p>
    <w:p w14:paraId="606F9884" w14:textId="2D1A9035" w:rsidR="00673C47" w:rsidRDefault="00C8403C" w:rsidP="00A07AD6">
      <w:pPr>
        <w:pStyle w:val="Impactdescription"/>
      </w:pPr>
      <w:r>
        <w:t xml:space="preserve">Implementation of the CalVTP would divert </w:t>
      </w:r>
      <w:r w:rsidR="009F307E">
        <w:t xml:space="preserve">solid </w:t>
      </w:r>
      <w:r w:rsidR="00F14AEA">
        <w:t xml:space="preserve">organic </w:t>
      </w:r>
      <w:r>
        <w:t xml:space="preserve">waste generated from treatment activities from solid waste facilities to </w:t>
      </w:r>
      <w:r w:rsidR="002848D7" w:rsidRPr="0045351A">
        <w:t xml:space="preserve">biomass power plant, wood product processing facility, </w:t>
      </w:r>
      <w:r w:rsidR="002848D7">
        <w:t xml:space="preserve">and/or </w:t>
      </w:r>
      <w:r w:rsidR="002848D7" w:rsidRPr="0045351A">
        <w:t>composting</w:t>
      </w:r>
      <w:r w:rsidR="002848D7">
        <w:t xml:space="preserve"> for processing</w:t>
      </w:r>
      <w:r>
        <w:t>. This would decrease the amount of waste transported to solid waste facilities consistent with AB 939</w:t>
      </w:r>
      <w:r w:rsidR="000D48D4">
        <w:t xml:space="preserve"> and SB 1383</w:t>
      </w:r>
      <w:r>
        <w:t xml:space="preserve">. Therefore, the impact would be </w:t>
      </w:r>
      <w:r w:rsidRPr="00C8403C">
        <w:rPr>
          <w:b/>
        </w:rPr>
        <w:t>less than significant</w:t>
      </w:r>
      <w:r w:rsidRPr="005A7DE7">
        <w:rPr>
          <w:bCs/>
        </w:rPr>
        <w:t>.</w:t>
      </w:r>
    </w:p>
    <w:p w14:paraId="79DAE295" w14:textId="33730D1B" w:rsidR="0000771B" w:rsidRPr="008B5E4D" w:rsidRDefault="005D05EB" w:rsidP="00A07AD6">
      <w:pPr>
        <w:pStyle w:val="BodyText"/>
      </w:pPr>
      <w:r>
        <w:t xml:space="preserve">Treatment activities implemented under the CalVTP would not involve activities that would generate solid waste. </w:t>
      </w:r>
      <w:r w:rsidR="0036351A">
        <w:t xml:space="preserve">Currently, 95 percent of </w:t>
      </w:r>
      <w:r w:rsidR="009F307E">
        <w:t xml:space="preserve">solid </w:t>
      </w:r>
      <w:r w:rsidR="00F14AEA">
        <w:t xml:space="preserve">organic </w:t>
      </w:r>
      <w:r w:rsidR="0036351A">
        <w:t>waste</w:t>
      </w:r>
      <w:r w:rsidR="0002671D">
        <w:t xml:space="preserve"> generated during treatment activities is</w:t>
      </w:r>
      <w:r w:rsidR="0036351A">
        <w:t xml:space="preserve"> scattered on-site, or pile burned. </w:t>
      </w:r>
      <w:r w:rsidR="0036351A">
        <w:rPr>
          <w:shd w:val="clear" w:color="auto" w:fill="FFFFFF"/>
        </w:rPr>
        <w:t xml:space="preserve">Approximately, 5 percent of the </w:t>
      </w:r>
      <w:r w:rsidR="009F307E">
        <w:t xml:space="preserve">solid </w:t>
      </w:r>
      <w:r w:rsidR="00F14AEA">
        <w:t xml:space="preserve">organic </w:t>
      </w:r>
      <w:r w:rsidR="0036351A">
        <w:rPr>
          <w:shd w:val="clear" w:color="auto" w:fill="FFFFFF"/>
        </w:rPr>
        <w:t xml:space="preserve">waste </w:t>
      </w:r>
      <w:r w:rsidR="0002671D">
        <w:rPr>
          <w:shd w:val="clear" w:color="auto" w:fill="FFFFFF"/>
        </w:rPr>
        <w:t>is</w:t>
      </w:r>
      <w:r w:rsidR="0036351A">
        <w:rPr>
          <w:shd w:val="clear" w:color="auto" w:fill="FFFFFF"/>
        </w:rPr>
        <w:t xml:space="preserve"> transported to a biomass facility for processing. </w:t>
      </w:r>
      <w:r w:rsidR="0036351A">
        <w:t>I</w:t>
      </w:r>
      <w:r w:rsidR="0036351A" w:rsidRPr="000F45D4">
        <w:t xml:space="preserve">mplementation of the proposed CalVTP would increase the pace and scale of vegetation treatments from approximately </w:t>
      </w:r>
      <w:r w:rsidR="00CB7C8F">
        <w:t>3</w:t>
      </w:r>
      <w:r w:rsidR="00CB7C8F" w:rsidRPr="000F45D4">
        <w:t xml:space="preserve">3,000 acres per year </w:t>
      </w:r>
      <w:r w:rsidR="00CB7C8F">
        <w:t xml:space="preserve">(as treated by CAL FIRE in 2017/2018) </w:t>
      </w:r>
      <w:r w:rsidR="00CB7C8F" w:rsidRPr="000F45D4">
        <w:t xml:space="preserve">to </w:t>
      </w:r>
      <w:r w:rsidR="00CB7C8F">
        <w:t xml:space="preserve">approximately </w:t>
      </w:r>
      <w:r w:rsidR="0036351A" w:rsidRPr="000F45D4">
        <w:t>250,000 acres per year.</w:t>
      </w:r>
      <w:r w:rsidR="0036351A">
        <w:t xml:space="preserve"> This would increase the amount of </w:t>
      </w:r>
      <w:r w:rsidR="00F14AEA">
        <w:t xml:space="preserve">organic </w:t>
      </w:r>
      <w:r w:rsidR="0036351A">
        <w:t xml:space="preserve">waste that would be transported </w:t>
      </w:r>
      <w:r w:rsidR="00196D5A">
        <w:t>offsite for processing</w:t>
      </w:r>
      <w:r w:rsidR="0036351A">
        <w:t>.</w:t>
      </w:r>
      <w:r w:rsidR="00FB4AC3">
        <w:t xml:space="preserve"> </w:t>
      </w:r>
      <w:r w:rsidR="0000771B">
        <w:t xml:space="preserve">Pursuant to </w:t>
      </w:r>
      <w:r w:rsidR="00FB4AC3">
        <w:t>AB 939</w:t>
      </w:r>
      <w:r w:rsidR="0000771B">
        <w:t xml:space="preserve">, state, county, </w:t>
      </w:r>
      <w:r w:rsidR="0000771B" w:rsidRPr="00725590">
        <w:t>and local governments</w:t>
      </w:r>
      <w:r w:rsidR="0000771B">
        <w:t xml:space="preserve"> are required to </w:t>
      </w:r>
      <w:r w:rsidR="0000771B" w:rsidRPr="00725590">
        <w:t>decrease the volume of waste disposed at landfills by the year 2000 and beyond.</w:t>
      </w:r>
      <w:r w:rsidR="0000771B">
        <w:t xml:space="preserve"> </w:t>
      </w:r>
      <w:r w:rsidR="000D48D4">
        <w:t xml:space="preserve">In addition, SB 1383 established targets to achieve a 50 percent reduction in statewide </w:t>
      </w:r>
      <w:r w:rsidR="000D48D4" w:rsidRPr="00505D02">
        <w:t xml:space="preserve">disposal of organic waste from the 2014 level by 2020 and a 75 percent reduction by 2025. </w:t>
      </w:r>
      <w:r w:rsidR="0002671D">
        <w:t>Currently, b</w:t>
      </w:r>
      <w:r w:rsidR="00946EB8">
        <w:t>iomass facilities help local governments by diverting 4.3 million tons of low value wood residue for fuel annually</w:t>
      </w:r>
      <w:r w:rsidR="00E46A9C">
        <w:t xml:space="preserve"> (</w:t>
      </w:r>
      <w:bookmarkStart w:id="23" w:name="_Hlk8116415"/>
      <w:r w:rsidR="00E46A9C">
        <w:t>CBEA 2019</w:t>
      </w:r>
      <w:bookmarkEnd w:id="23"/>
      <w:r w:rsidR="00E46A9C">
        <w:t>)</w:t>
      </w:r>
      <w:r w:rsidR="00946EB8">
        <w:t xml:space="preserve">. </w:t>
      </w:r>
      <w:r w:rsidR="002A2262">
        <w:t>SPR UTIL-</w:t>
      </w:r>
      <w:r w:rsidR="003864C2">
        <w:t>1</w:t>
      </w:r>
      <w:r w:rsidR="002A2262">
        <w:t xml:space="preserve"> </w:t>
      </w:r>
      <w:r w:rsidR="003864C2" w:rsidRPr="00686574">
        <w:t>require</w:t>
      </w:r>
      <w:r w:rsidR="00CB7C8F">
        <w:t>s</w:t>
      </w:r>
      <w:r w:rsidR="003864C2" w:rsidRPr="00686574">
        <w:t xml:space="preserve"> the project proponent to </w:t>
      </w:r>
      <w:r w:rsidR="003864C2" w:rsidRPr="0045351A">
        <w:t xml:space="preserve">prepare </w:t>
      </w:r>
      <w:r w:rsidR="00533C1F" w:rsidRPr="0045351A">
        <w:rPr>
          <w:shd w:val="clear" w:color="auto" w:fill="FFFFFF"/>
        </w:rPr>
        <w:t xml:space="preserve">a </w:t>
      </w:r>
      <w:r w:rsidR="00533C1F" w:rsidRPr="009F307E">
        <w:t>Solid</w:t>
      </w:r>
      <w:r w:rsidR="009F307E">
        <w:t xml:space="preserve"> </w:t>
      </w:r>
      <w:r w:rsidR="00F14AEA">
        <w:rPr>
          <w:shd w:val="clear" w:color="auto" w:fill="FFFFFF"/>
        </w:rPr>
        <w:t>Organic</w:t>
      </w:r>
      <w:r w:rsidR="003864C2" w:rsidRPr="0045351A">
        <w:rPr>
          <w:shd w:val="clear" w:color="auto" w:fill="FFFFFF"/>
        </w:rPr>
        <w:t xml:space="preserve"> Waste Disposition Plan that </w:t>
      </w:r>
      <w:r w:rsidR="00CB7C8F">
        <w:rPr>
          <w:shd w:val="clear" w:color="auto" w:fill="FFFFFF"/>
        </w:rPr>
        <w:t>identifies</w:t>
      </w:r>
      <w:r w:rsidR="003864C2" w:rsidRPr="0045351A">
        <w:rPr>
          <w:shd w:val="clear" w:color="auto" w:fill="FFFFFF"/>
        </w:rPr>
        <w:t xml:space="preserve"> the </w:t>
      </w:r>
      <w:r w:rsidR="00CB7C8F">
        <w:t>amount</w:t>
      </w:r>
      <w:r w:rsidR="003864C2" w:rsidRPr="0045351A">
        <w:t xml:space="preserve"> of </w:t>
      </w:r>
      <w:r w:rsidR="009F307E">
        <w:t xml:space="preserve">solid </w:t>
      </w:r>
      <w:r w:rsidR="00F14AEA">
        <w:t>organic</w:t>
      </w:r>
      <w:r w:rsidR="003864C2" w:rsidRPr="0045351A">
        <w:t xml:space="preserve"> waste to be </w:t>
      </w:r>
      <w:r w:rsidR="003864C2">
        <w:t xml:space="preserve">transported </w:t>
      </w:r>
      <w:r w:rsidR="003864C2" w:rsidRPr="0045351A">
        <w:t xml:space="preserve">offsite </w:t>
      </w:r>
      <w:r w:rsidR="003864C2">
        <w:t xml:space="preserve">to </w:t>
      </w:r>
      <w:r w:rsidR="003864C2" w:rsidRPr="0045351A">
        <w:t xml:space="preserve">biomass power plant, wood product processing facility, </w:t>
      </w:r>
      <w:r w:rsidR="003864C2">
        <w:t xml:space="preserve">and/or </w:t>
      </w:r>
      <w:r w:rsidR="003864C2" w:rsidRPr="0045351A">
        <w:t>composting</w:t>
      </w:r>
      <w:r w:rsidR="003864C2">
        <w:t xml:space="preserve"> for processing. </w:t>
      </w:r>
      <w:r w:rsidR="00CB7C8F">
        <w:t xml:space="preserve">This SPR also prohibits </w:t>
      </w:r>
      <w:r w:rsidR="009F307E">
        <w:t xml:space="preserve">solid </w:t>
      </w:r>
      <w:r w:rsidR="00CB7C8F">
        <w:t>o</w:t>
      </w:r>
      <w:r w:rsidR="00F14AEA">
        <w:t>rganic</w:t>
      </w:r>
      <w:r w:rsidR="003864C2">
        <w:t xml:space="preserve"> waste generated during </w:t>
      </w:r>
      <w:r w:rsidR="00CB7C8F">
        <w:t>vegetation</w:t>
      </w:r>
      <w:r w:rsidR="003864C2">
        <w:t xml:space="preserve"> treatments </w:t>
      </w:r>
      <w:r w:rsidR="00CB7C8F">
        <w:t>form being</w:t>
      </w:r>
      <w:r w:rsidR="003864C2">
        <w:t xml:space="preserve"> transported to a landfill for disposal</w:t>
      </w:r>
      <w:r w:rsidR="00FD6F6C">
        <w:t xml:space="preserve">. Therefore, </w:t>
      </w:r>
      <w:r w:rsidR="00B1397C">
        <w:t>i</w:t>
      </w:r>
      <w:r w:rsidR="00946EB8">
        <w:t xml:space="preserve">mplementation of the CalVTP would contribute to the amount of </w:t>
      </w:r>
      <w:r w:rsidR="00F14AEA">
        <w:t xml:space="preserve">organic </w:t>
      </w:r>
      <w:r w:rsidR="00E46A9C">
        <w:t>waste diverted from solid waste facilities consistent with AB 939</w:t>
      </w:r>
      <w:r w:rsidR="000D48D4">
        <w:t xml:space="preserve"> and SB 1383</w:t>
      </w:r>
      <w:r w:rsidR="00B1397C">
        <w:t xml:space="preserve"> </w:t>
      </w:r>
      <w:r w:rsidR="00533C1F">
        <w:t>and would</w:t>
      </w:r>
      <w:r w:rsidR="00E46A9C">
        <w:t xml:space="preserve"> </w:t>
      </w:r>
      <w:r w:rsidR="0002671D">
        <w:t>be consistent with</w:t>
      </w:r>
      <w:r w:rsidR="00E46A9C">
        <w:t xml:space="preserve"> solid waste reduction goals</w:t>
      </w:r>
      <w:r w:rsidR="00CB7C8F">
        <w:t xml:space="preserve">. This </w:t>
      </w:r>
      <w:r w:rsidR="00E46A9C">
        <w:t xml:space="preserve">impact would be </w:t>
      </w:r>
      <w:r w:rsidR="00E46A9C" w:rsidRPr="00E46A9C">
        <w:rPr>
          <w:b/>
        </w:rPr>
        <w:t>less than significant</w:t>
      </w:r>
      <w:r w:rsidR="00E46A9C">
        <w:t>.</w:t>
      </w:r>
    </w:p>
    <w:p w14:paraId="1C06EBD0" w14:textId="77777777" w:rsidR="00AA00DF" w:rsidRDefault="00AA00DF" w:rsidP="00AA00DF">
      <w:pPr>
        <w:pStyle w:val="Heading5"/>
      </w:pPr>
      <w:r w:rsidRPr="009328EF">
        <w:t>Mitigation Measures</w:t>
      </w:r>
    </w:p>
    <w:p w14:paraId="50913FC3" w14:textId="77777777" w:rsidR="00AA00DF" w:rsidRDefault="00AA00DF" w:rsidP="00AA00DF">
      <w:pPr>
        <w:pStyle w:val="Mitigationtext"/>
      </w:pPr>
      <w:r>
        <w:t xml:space="preserve">No mitigation is required for this impact. </w:t>
      </w:r>
    </w:p>
    <w:bookmarkEnd w:id="20"/>
    <w:sectPr w:rsidR="00AA00DF"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8CC6" w14:textId="77777777" w:rsidR="00C114D2" w:rsidRDefault="00C114D2" w:rsidP="00B53904">
      <w:r>
        <w:separator/>
      </w:r>
    </w:p>
  </w:endnote>
  <w:endnote w:type="continuationSeparator" w:id="0">
    <w:p w14:paraId="64B0F271" w14:textId="77777777" w:rsidR="00C114D2" w:rsidRDefault="00C114D2"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51561490" w:rsidR="007B6929" w:rsidRPr="00AE4D3F" w:rsidRDefault="007B6929"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6A08E9">
      <w:rPr>
        <w:rFonts w:cs="Segoe UI Semilight"/>
        <w:noProof/>
      </w:rPr>
      <w:t>3.16-2</w:t>
    </w:r>
    <w:r w:rsidRPr="00AE4D3F">
      <w:rPr>
        <w:rFonts w:cs="Segoe UI Semilight"/>
        <w:noProof/>
      </w:rPr>
      <w:fldChar w:fldCharType="end"/>
    </w:r>
    <w:r>
      <w:rPr>
        <w:rFonts w:cs="Segoe UI Semilight"/>
        <w:noProof/>
      </w:rPr>
      <w:tab/>
    </w:r>
    <w:r w:rsidR="004C5F27">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0661922D" w:rsidR="007B6929" w:rsidRPr="00AE4D3F" w:rsidRDefault="007B6929" w:rsidP="00E16BE3">
    <w:pPr>
      <w:pStyle w:val="Footer"/>
    </w:pPr>
    <w:r w:rsidRPr="00AE4D3F">
      <w:t>Board of Forestry and Fire Protection</w:t>
    </w:r>
    <w:r w:rsidRPr="00AE4D3F">
      <w:tab/>
    </w:r>
    <w:r>
      <w:br/>
    </w:r>
    <w:r w:rsidR="004C5F27">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6A08E9">
      <w:rPr>
        <w:rFonts w:cs="Segoe UI Semilight"/>
        <w:noProof/>
      </w:rPr>
      <w:t>3.16-1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08C3" w14:textId="77777777" w:rsidR="00C114D2" w:rsidRDefault="00C114D2" w:rsidP="00B53904">
      <w:r>
        <w:separator/>
      </w:r>
    </w:p>
  </w:footnote>
  <w:footnote w:type="continuationSeparator" w:id="0">
    <w:p w14:paraId="4CCCD725" w14:textId="77777777" w:rsidR="00C114D2" w:rsidRDefault="00C114D2" w:rsidP="00B53904">
      <w:r>
        <w:continuationSeparator/>
      </w:r>
    </w:p>
  </w:footnote>
  <w:footnote w:id="1">
    <w:p w14:paraId="688186B7" w14:textId="644E20E8" w:rsidR="007B6929" w:rsidRDefault="007B6929" w:rsidP="00132288">
      <w:pPr>
        <w:pStyle w:val="footnote"/>
      </w:pPr>
      <w:r>
        <w:footnoteRef/>
      </w:r>
      <w:r>
        <w:t xml:space="preserve"> </w:t>
      </w:r>
      <w:r w:rsidR="00132288">
        <w:tab/>
      </w:r>
      <w:r>
        <w:t xml:space="preserve">In the context of the Utilities and Service Systems analysis in this PEIR, </w:t>
      </w:r>
      <w:r w:rsidR="00D838B0">
        <w:t>“</w:t>
      </w:r>
      <w:r>
        <w:t>forest</w:t>
      </w:r>
      <w:r w:rsidR="00D838B0">
        <w:t>”</w:t>
      </w:r>
      <w:r>
        <w:t xml:space="preserve"> as presented in CalRecycle 2017 is encompassed within the tree fuel type described in Chapter 2, </w:t>
      </w:r>
      <w:r w:rsidR="00D838B0">
        <w:t>“</w:t>
      </w:r>
      <w:r>
        <w:t>Program Description</w:t>
      </w:r>
      <w:r w:rsidR="008B018E">
        <w:t>.</w:t>
      </w:r>
      <w:r w:rsidR="00D838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442ACD5E" w:rsidR="007B6929" w:rsidRPr="00D55292" w:rsidRDefault="007B6929" w:rsidP="001C6FE1">
    <w:pPr>
      <w:pStyle w:val="Header"/>
      <w:tabs>
        <w:tab w:val="clear" w:pos="5040"/>
        <w:tab w:val="center" w:pos="5760"/>
      </w:tabs>
    </w:pPr>
    <w:r>
      <w:rPr>
        <w:rFonts w:eastAsia="Times New Roman" w:cs="Arial"/>
      </w:rPr>
      <w:t>Public Services, Utilities, and Service Systems</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45CF7E3D" w:rsidR="007B6929" w:rsidRPr="00D55292" w:rsidRDefault="007B6929" w:rsidP="001C6FE1">
    <w:pPr>
      <w:pStyle w:val="Header"/>
      <w:tabs>
        <w:tab w:val="clear" w:pos="5040"/>
        <w:tab w:val="center" w:pos="4320"/>
      </w:tabs>
    </w:pPr>
    <w:r w:rsidRPr="00D55292">
      <w:t>Ascent Environmental</w:t>
    </w:r>
    <w:r w:rsidRPr="00D55292">
      <w:tab/>
    </w:r>
    <w:r w:rsidRPr="00D55292">
      <w:tab/>
    </w:r>
    <w:r>
      <w:rPr>
        <w:rFonts w:eastAsia="Times New Roman" w:cs="Arial"/>
      </w:rPr>
      <w:t>Public Services, Utilities, and Service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7B6929" w:rsidRDefault="007B6929" w:rsidP="00FA47AA">
    <w:pPr>
      <w:pStyle w:val="Header"/>
      <w:pBdr>
        <w:bottom w:val="none" w:sz="0" w:space="0" w:color="auto"/>
      </w:pBdr>
      <w:jc w:val="center"/>
    </w:pPr>
    <w:r w:rsidRPr="00B352A5">
      <w:t>Draft for Internal Review and Deliberation</w:t>
    </w:r>
  </w:p>
  <w:p w14:paraId="0A8F0FFA" w14:textId="77777777" w:rsidR="007B6929" w:rsidRDefault="007B6929"/>
  <w:p w14:paraId="2A53CF5F" w14:textId="77777777" w:rsidR="007B6929" w:rsidRDefault="007B69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F3B04FB2"/>
    <w:lvl w:ilvl="0">
      <w:start w:val="3"/>
      <w:numFmt w:val="decimal"/>
      <w:pStyle w:val="Heading1"/>
      <w:lvlText w:val="%1"/>
      <w:lvlJc w:val="center"/>
      <w:pPr>
        <w:ind w:left="0" w:firstLine="0"/>
      </w:pPr>
      <w:rPr>
        <w:rFonts w:hint="default"/>
        <w:specVanish w:val="0"/>
      </w:rPr>
    </w:lvl>
    <w:lvl w:ilvl="1">
      <w:start w:val="16"/>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6B03A7"/>
    <w:multiLevelType w:val="hybridMultilevel"/>
    <w:tmpl w:val="B808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3FC2"/>
    <w:multiLevelType w:val="hybridMultilevel"/>
    <w:tmpl w:val="5FA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A30AB"/>
    <w:multiLevelType w:val="hybridMultilevel"/>
    <w:tmpl w:val="B898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11BA6"/>
    <w:multiLevelType w:val="hybridMultilevel"/>
    <w:tmpl w:val="B61E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42A3E"/>
    <w:multiLevelType w:val="hybridMultilevel"/>
    <w:tmpl w:val="A7F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8"/>
  </w:num>
  <w:num w:numId="6">
    <w:abstractNumId w:val="3"/>
  </w:num>
  <w:num w:numId="7">
    <w:abstractNumId w:val="12"/>
  </w:num>
  <w:num w:numId="8">
    <w:abstractNumId w:val="2"/>
  </w:num>
  <w:num w:numId="9">
    <w:abstractNumId w:val="7"/>
  </w:num>
  <w:num w:numId="10">
    <w:abstractNumId w:val="9"/>
  </w:num>
  <w:num w:numId="11">
    <w:abstractNumId w:val="6"/>
  </w:num>
  <w:num w:numId="12">
    <w:abstractNumId w:val="5"/>
  </w:num>
  <w:num w:numId="13">
    <w:abstractNumId w:val="10"/>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FXcgKpBZjbbUFFeBHlNLKs5aUzs9MFBq82e0MhyFkdn34z02g3ytTVvYXbj4YnNfnsMaykpRB8feE955TLKXRA==" w:salt="3An4s5b4IWatSMYyc0ZeAQ=="/>
  <w:defaultTabStop w:val="720"/>
  <w:evenAndOddHeaders/>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LKwMDazMDE3MjJR0lEKTi0uzszPAykwrAUArKxORiwAAAA="/>
  </w:docVars>
  <w:rsids>
    <w:rsidRoot w:val="003F37AC"/>
    <w:rsid w:val="000006C7"/>
    <w:rsid w:val="0000139D"/>
    <w:rsid w:val="00001A56"/>
    <w:rsid w:val="00001BFE"/>
    <w:rsid w:val="00001C49"/>
    <w:rsid w:val="000031F0"/>
    <w:rsid w:val="000047F6"/>
    <w:rsid w:val="000055CA"/>
    <w:rsid w:val="00005657"/>
    <w:rsid w:val="00006315"/>
    <w:rsid w:val="0000641B"/>
    <w:rsid w:val="00006D45"/>
    <w:rsid w:val="00007415"/>
    <w:rsid w:val="0000770B"/>
    <w:rsid w:val="0000771B"/>
    <w:rsid w:val="00011A1E"/>
    <w:rsid w:val="00011BB7"/>
    <w:rsid w:val="0001240E"/>
    <w:rsid w:val="0001328E"/>
    <w:rsid w:val="00013B48"/>
    <w:rsid w:val="00013E6A"/>
    <w:rsid w:val="00014CA7"/>
    <w:rsid w:val="00014F58"/>
    <w:rsid w:val="000157CF"/>
    <w:rsid w:val="000159C7"/>
    <w:rsid w:val="00015CAF"/>
    <w:rsid w:val="00016301"/>
    <w:rsid w:val="000163EB"/>
    <w:rsid w:val="00020851"/>
    <w:rsid w:val="00021028"/>
    <w:rsid w:val="0002376E"/>
    <w:rsid w:val="00026409"/>
    <w:rsid w:val="000264EA"/>
    <w:rsid w:val="0002671D"/>
    <w:rsid w:val="00027CC4"/>
    <w:rsid w:val="00030344"/>
    <w:rsid w:val="00030618"/>
    <w:rsid w:val="00030C06"/>
    <w:rsid w:val="00030FD4"/>
    <w:rsid w:val="00031F2B"/>
    <w:rsid w:val="000347E4"/>
    <w:rsid w:val="000366A3"/>
    <w:rsid w:val="000366DD"/>
    <w:rsid w:val="00036B93"/>
    <w:rsid w:val="000372E8"/>
    <w:rsid w:val="00040A80"/>
    <w:rsid w:val="00040CA0"/>
    <w:rsid w:val="0004163D"/>
    <w:rsid w:val="00042295"/>
    <w:rsid w:val="00042621"/>
    <w:rsid w:val="000426A3"/>
    <w:rsid w:val="00043B1B"/>
    <w:rsid w:val="0004499E"/>
    <w:rsid w:val="00044AF6"/>
    <w:rsid w:val="0004585F"/>
    <w:rsid w:val="00045FFE"/>
    <w:rsid w:val="0004600A"/>
    <w:rsid w:val="00046313"/>
    <w:rsid w:val="000468C6"/>
    <w:rsid w:val="00046DFA"/>
    <w:rsid w:val="00047390"/>
    <w:rsid w:val="0004752D"/>
    <w:rsid w:val="00047887"/>
    <w:rsid w:val="00050F7D"/>
    <w:rsid w:val="00054087"/>
    <w:rsid w:val="00054B80"/>
    <w:rsid w:val="00055058"/>
    <w:rsid w:val="0005612D"/>
    <w:rsid w:val="00056217"/>
    <w:rsid w:val="00056AAD"/>
    <w:rsid w:val="00057C76"/>
    <w:rsid w:val="00061E40"/>
    <w:rsid w:val="00062DE3"/>
    <w:rsid w:val="000639AB"/>
    <w:rsid w:val="00064877"/>
    <w:rsid w:val="0006604D"/>
    <w:rsid w:val="000665B4"/>
    <w:rsid w:val="00066900"/>
    <w:rsid w:val="000670A3"/>
    <w:rsid w:val="0006763E"/>
    <w:rsid w:val="0007034A"/>
    <w:rsid w:val="000703D4"/>
    <w:rsid w:val="000751B0"/>
    <w:rsid w:val="00075482"/>
    <w:rsid w:val="00077680"/>
    <w:rsid w:val="00077AD0"/>
    <w:rsid w:val="000815EB"/>
    <w:rsid w:val="00081B55"/>
    <w:rsid w:val="000826E4"/>
    <w:rsid w:val="00082B43"/>
    <w:rsid w:val="000832E6"/>
    <w:rsid w:val="00083952"/>
    <w:rsid w:val="00083AB1"/>
    <w:rsid w:val="0008704A"/>
    <w:rsid w:val="0008745E"/>
    <w:rsid w:val="00090C1A"/>
    <w:rsid w:val="00091FCC"/>
    <w:rsid w:val="00092231"/>
    <w:rsid w:val="00092547"/>
    <w:rsid w:val="00092F79"/>
    <w:rsid w:val="00092FEC"/>
    <w:rsid w:val="000948C4"/>
    <w:rsid w:val="00094C43"/>
    <w:rsid w:val="000954B9"/>
    <w:rsid w:val="000956AE"/>
    <w:rsid w:val="00097279"/>
    <w:rsid w:val="000978B8"/>
    <w:rsid w:val="000A0113"/>
    <w:rsid w:val="000A1C94"/>
    <w:rsid w:val="000A1E51"/>
    <w:rsid w:val="000A1E55"/>
    <w:rsid w:val="000A3E2C"/>
    <w:rsid w:val="000A438F"/>
    <w:rsid w:val="000A4FB2"/>
    <w:rsid w:val="000A7014"/>
    <w:rsid w:val="000A71C4"/>
    <w:rsid w:val="000A7558"/>
    <w:rsid w:val="000A78AB"/>
    <w:rsid w:val="000B0586"/>
    <w:rsid w:val="000B11E6"/>
    <w:rsid w:val="000B1394"/>
    <w:rsid w:val="000B17DC"/>
    <w:rsid w:val="000B185D"/>
    <w:rsid w:val="000B1F49"/>
    <w:rsid w:val="000B5383"/>
    <w:rsid w:val="000B7771"/>
    <w:rsid w:val="000B7DDB"/>
    <w:rsid w:val="000C0C81"/>
    <w:rsid w:val="000C1419"/>
    <w:rsid w:val="000C2269"/>
    <w:rsid w:val="000C26D7"/>
    <w:rsid w:val="000C2E4F"/>
    <w:rsid w:val="000C5D09"/>
    <w:rsid w:val="000C60E2"/>
    <w:rsid w:val="000D036B"/>
    <w:rsid w:val="000D0574"/>
    <w:rsid w:val="000D0593"/>
    <w:rsid w:val="000D2C79"/>
    <w:rsid w:val="000D48D4"/>
    <w:rsid w:val="000D792E"/>
    <w:rsid w:val="000E07B4"/>
    <w:rsid w:val="000E0C2A"/>
    <w:rsid w:val="000E12C6"/>
    <w:rsid w:val="000E3A72"/>
    <w:rsid w:val="000E3BE1"/>
    <w:rsid w:val="000E3C33"/>
    <w:rsid w:val="000E3C96"/>
    <w:rsid w:val="000E418D"/>
    <w:rsid w:val="000E438C"/>
    <w:rsid w:val="000E439C"/>
    <w:rsid w:val="000E4AF9"/>
    <w:rsid w:val="000E57AC"/>
    <w:rsid w:val="000E7284"/>
    <w:rsid w:val="000F0B63"/>
    <w:rsid w:val="000F167B"/>
    <w:rsid w:val="000F2869"/>
    <w:rsid w:val="000F31CF"/>
    <w:rsid w:val="000F39FC"/>
    <w:rsid w:val="000F4113"/>
    <w:rsid w:val="000F45D4"/>
    <w:rsid w:val="000F5280"/>
    <w:rsid w:val="000F5E63"/>
    <w:rsid w:val="000F61D1"/>
    <w:rsid w:val="000F6DF5"/>
    <w:rsid w:val="000F6FD6"/>
    <w:rsid w:val="000F74C6"/>
    <w:rsid w:val="001007D3"/>
    <w:rsid w:val="00100CC0"/>
    <w:rsid w:val="00100CDF"/>
    <w:rsid w:val="00101232"/>
    <w:rsid w:val="00101950"/>
    <w:rsid w:val="001026CD"/>
    <w:rsid w:val="001035C7"/>
    <w:rsid w:val="001040F4"/>
    <w:rsid w:val="00105061"/>
    <w:rsid w:val="0010550D"/>
    <w:rsid w:val="00105C25"/>
    <w:rsid w:val="00105C5E"/>
    <w:rsid w:val="00105CF5"/>
    <w:rsid w:val="00105DBB"/>
    <w:rsid w:val="00106092"/>
    <w:rsid w:val="00106E0F"/>
    <w:rsid w:val="001078BF"/>
    <w:rsid w:val="0011196C"/>
    <w:rsid w:val="00111DF1"/>
    <w:rsid w:val="00111F9D"/>
    <w:rsid w:val="00112ECE"/>
    <w:rsid w:val="0011325F"/>
    <w:rsid w:val="00113719"/>
    <w:rsid w:val="00113A7E"/>
    <w:rsid w:val="00114AE4"/>
    <w:rsid w:val="0012078C"/>
    <w:rsid w:val="00120C1D"/>
    <w:rsid w:val="00120FBF"/>
    <w:rsid w:val="0012133F"/>
    <w:rsid w:val="0012419A"/>
    <w:rsid w:val="00124DE5"/>
    <w:rsid w:val="0012554E"/>
    <w:rsid w:val="0012657F"/>
    <w:rsid w:val="00126858"/>
    <w:rsid w:val="00126D0B"/>
    <w:rsid w:val="001272B3"/>
    <w:rsid w:val="00130BFE"/>
    <w:rsid w:val="00132288"/>
    <w:rsid w:val="00134E1E"/>
    <w:rsid w:val="00135902"/>
    <w:rsid w:val="0013656B"/>
    <w:rsid w:val="001372E2"/>
    <w:rsid w:val="001376BC"/>
    <w:rsid w:val="0013776C"/>
    <w:rsid w:val="00137A92"/>
    <w:rsid w:val="0014044D"/>
    <w:rsid w:val="001406B8"/>
    <w:rsid w:val="00140E73"/>
    <w:rsid w:val="00141230"/>
    <w:rsid w:val="00142891"/>
    <w:rsid w:val="00142E30"/>
    <w:rsid w:val="001441A4"/>
    <w:rsid w:val="001447BF"/>
    <w:rsid w:val="00145602"/>
    <w:rsid w:val="001459E5"/>
    <w:rsid w:val="00145C58"/>
    <w:rsid w:val="00145E14"/>
    <w:rsid w:val="00147EDF"/>
    <w:rsid w:val="0015003F"/>
    <w:rsid w:val="00150232"/>
    <w:rsid w:val="001504FE"/>
    <w:rsid w:val="001507CE"/>
    <w:rsid w:val="00151F6A"/>
    <w:rsid w:val="0015207D"/>
    <w:rsid w:val="00152900"/>
    <w:rsid w:val="00152F70"/>
    <w:rsid w:val="00153BEF"/>
    <w:rsid w:val="00154656"/>
    <w:rsid w:val="001546A5"/>
    <w:rsid w:val="00155D62"/>
    <w:rsid w:val="00155F1D"/>
    <w:rsid w:val="00156C8F"/>
    <w:rsid w:val="00156DCB"/>
    <w:rsid w:val="001575C3"/>
    <w:rsid w:val="00157D53"/>
    <w:rsid w:val="0016152D"/>
    <w:rsid w:val="00162136"/>
    <w:rsid w:val="0016592B"/>
    <w:rsid w:val="00166236"/>
    <w:rsid w:val="001704A7"/>
    <w:rsid w:val="0017129A"/>
    <w:rsid w:val="00171F6B"/>
    <w:rsid w:val="00172275"/>
    <w:rsid w:val="001723B6"/>
    <w:rsid w:val="00172764"/>
    <w:rsid w:val="00175747"/>
    <w:rsid w:val="00175B37"/>
    <w:rsid w:val="001761DB"/>
    <w:rsid w:val="00177A3F"/>
    <w:rsid w:val="001803C6"/>
    <w:rsid w:val="00181567"/>
    <w:rsid w:val="00181DD1"/>
    <w:rsid w:val="00184224"/>
    <w:rsid w:val="00184DD5"/>
    <w:rsid w:val="0018567B"/>
    <w:rsid w:val="001856DB"/>
    <w:rsid w:val="0018799D"/>
    <w:rsid w:val="00187E2E"/>
    <w:rsid w:val="00190501"/>
    <w:rsid w:val="001909A1"/>
    <w:rsid w:val="00190B72"/>
    <w:rsid w:val="00192084"/>
    <w:rsid w:val="00192AD4"/>
    <w:rsid w:val="0019383C"/>
    <w:rsid w:val="00194EE8"/>
    <w:rsid w:val="00195105"/>
    <w:rsid w:val="00195D58"/>
    <w:rsid w:val="00195F02"/>
    <w:rsid w:val="00195F31"/>
    <w:rsid w:val="00196A5F"/>
    <w:rsid w:val="00196D5A"/>
    <w:rsid w:val="00197AA2"/>
    <w:rsid w:val="001A112C"/>
    <w:rsid w:val="001A1A4A"/>
    <w:rsid w:val="001A1BB4"/>
    <w:rsid w:val="001A2E3D"/>
    <w:rsid w:val="001A357C"/>
    <w:rsid w:val="001A3D26"/>
    <w:rsid w:val="001A4CC5"/>
    <w:rsid w:val="001A5B1C"/>
    <w:rsid w:val="001A62B9"/>
    <w:rsid w:val="001A7EF3"/>
    <w:rsid w:val="001B1248"/>
    <w:rsid w:val="001B1A3D"/>
    <w:rsid w:val="001B2366"/>
    <w:rsid w:val="001B2E6C"/>
    <w:rsid w:val="001B3F60"/>
    <w:rsid w:val="001B4387"/>
    <w:rsid w:val="001B4F72"/>
    <w:rsid w:val="001B60E1"/>
    <w:rsid w:val="001B6B74"/>
    <w:rsid w:val="001B742F"/>
    <w:rsid w:val="001C072C"/>
    <w:rsid w:val="001C0E10"/>
    <w:rsid w:val="001C143D"/>
    <w:rsid w:val="001C1543"/>
    <w:rsid w:val="001C1671"/>
    <w:rsid w:val="001C1835"/>
    <w:rsid w:val="001C1985"/>
    <w:rsid w:val="001C2575"/>
    <w:rsid w:val="001C32C3"/>
    <w:rsid w:val="001C387A"/>
    <w:rsid w:val="001C473E"/>
    <w:rsid w:val="001C4B47"/>
    <w:rsid w:val="001C6967"/>
    <w:rsid w:val="001C6FE1"/>
    <w:rsid w:val="001D0441"/>
    <w:rsid w:val="001D141E"/>
    <w:rsid w:val="001D286A"/>
    <w:rsid w:val="001D5178"/>
    <w:rsid w:val="001D594F"/>
    <w:rsid w:val="001D5C9B"/>
    <w:rsid w:val="001D707F"/>
    <w:rsid w:val="001D75BA"/>
    <w:rsid w:val="001D7E02"/>
    <w:rsid w:val="001E07BF"/>
    <w:rsid w:val="001E0FC2"/>
    <w:rsid w:val="001E1067"/>
    <w:rsid w:val="001E10BD"/>
    <w:rsid w:val="001E1685"/>
    <w:rsid w:val="001E1D65"/>
    <w:rsid w:val="001E20E5"/>
    <w:rsid w:val="001E296E"/>
    <w:rsid w:val="001E31F9"/>
    <w:rsid w:val="001E3316"/>
    <w:rsid w:val="001E3818"/>
    <w:rsid w:val="001E48D0"/>
    <w:rsid w:val="001E633C"/>
    <w:rsid w:val="001E7098"/>
    <w:rsid w:val="001E74C3"/>
    <w:rsid w:val="001F0D4A"/>
    <w:rsid w:val="001F1CB3"/>
    <w:rsid w:val="001F1CEE"/>
    <w:rsid w:val="001F26F1"/>
    <w:rsid w:val="001F29B0"/>
    <w:rsid w:val="001F31AC"/>
    <w:rsid w:val="001F31F5"/>
    <w:rsid w:val="001F34D3"/>
    <w:rsid w:val="001F3BFA"/>
    <w:rsid w:val="001F4004"/>
    <w:rsid w:val="001F436B"/>
    <w:rsid w:val="001F6996"/>
    <w:rsid w:val="001F6C83"/>
    <w:rsid w:val="001F70FC"/>
    <w:rsid w:val="00201283"/>
    <w:rsid w:val="00201754"/>
    <w:rsid w:val="00201994"/>
    <w:rsid w:val="0020249B"/>
    <w:rsid w:val="002025DE"/>
    <w:rsid w:val="00202930"/>
    <w:rsid w:val="00202EAB"/>
    <w:rsid w:val="00204550"/>
    <w:rsid w:val="00204EF1"/>
    <w:rsid w:val="0020670F"/>
    <w:rsid w:val="00207F24"/>
    <w:rsid w:val="0021033B"/>
    <w:rsid w:val="00210422"/>
    <w:rsid w:val="00210F20"/>
    <w:rsid w:val="00210F54"/>
    <w:rsid w:val="00211B36"/>
    <w:rsid w:val="0021426D"/>
    <w:rsid w:val="00214665"/>
    <w:rsid w:val="002149BF"/>
    <w:rsid w:val="0021525D"/>
    <w:rsid w:val="00215ADE"/>
    <w:rsid w:val="00217355"/>
    <w:rsid w:val="00217876"/>
    <w:rsid w:val="00217A7D"/>
    <w:rsid w:val="002210BC"/>
    <w:rsid w:val="00222315"/>
    <w:rsid w:val="00222415"/>
    <w:rsid w:val="002228D2"/>
    <w:rsid w:val="00223D24"/>
    <w:rsid w:val="002252EC"/>
    <w:rsid w:val="0022569B"/>
    <w:rsid w:val="00225F82"/>
    <w:rsid w:val="00227EF1"/>
    <w:rsid w:val="00230164"/>
    <w:rsid w:val="0023030C"/>
    <w:rsid w:val="002323FF"/>
    <w:rsid w:val="00232EE9"/>
    <w:rsid w:val="00233FA1"/>
    <w:rsid w:val="00234303"/>
    <w:rsid w:val="0023495A"/>
    <w:rsid w:val="0023587E"/>
    <w:rsid w:val="00235916"/>
    <w:rsid w:val="00236901"/>
    <w:rsid w:val="0023726F"/>
    <w:rsid w:val="00241F72"/>
    <w:rsid w:val="002424F3"/>
    <w:rsid w:val="002427C1"/>
    <w:rsid w:val="00242A12"/>
    <w:rsid w:val="00243BB3"/>
    <w:rsid w:val="00243FDF"/>
    <w:rsid w:val="00244A16"/>
    <w:rsid w:val="00244A45"/>
    <w:rsid w:val="00244E18"/>
    <w:rsid w:val="00244EB5"/>
    <w:rsid w:val="00244ED8"/>
    <w:rsid w:val="0024541E"/>
    <w:rsid w:val="00245E5C"/>
    <w:rsid w:val="002462AD"/>
    <w:rsid w:val="00246760"/>
    <w:rsid w:val="0024778A"/>
    <w:rsid w:val="00247B26"/>
    <w:rsid w:val="00250249"/>
    <w:rsid w:val="00250D0B"/>
    <w:rsid w:val="00250E6F"/>
    <w:rsid w:val="0025285D"/>
    <w:rsid w:val="00252980"/>
    <w:rsid w:val="002532DD"/>
    <w:rsid w:val="00253784"/>
    <w:rsid w:val="00254181"/>
    <w:rsid w:val="00254FC0"/>
    <w:rsid w:val="002553ED"/>
    <w:rsid w:val="002555DD"/>
    <w:rsid w:val="002563E2"/>
    <w:rsid w:val="00256779"/>
    <w:rsid w:val="002570D5"/>
    <w:rsid w:val="0025796A"/>
    <w:rsid w:val="0026029A"/>
    <w:rsid w:val="00261D6E"/>
    <w:rsid w:val="002622C1"/>
    <w:rsid w:val="00263AE5"/>
    <w:rsid w:val="00265D63"/>
    <w:rsid w:val="002668E2"/>
    <w:rsid w:val="00266B90"/>
    <w:rsid w:val="00267757"/>
    <w:rsid w:val="002679F5"/>
    <w:rsid w:val="0027130A"/>
    <w:rsid w:val="00272986"/>
    <w:rsid w:val="00272DE9"/>
    <w:rsid w:val="00273736"/>
    <w:rsid w:val="00273796"/>
    <w:rsid w:val="002738FE"/>
    <w:rsid w:val="002739C9"/>
    <w:rsid w:val="002748F0"/>
    <w:rsid w:val="00274A57"/>
    <w:rsid w:val="0027519D"/>
    <w:rsid w:val="00276D16"/>
    <w:rsid w:val="0027727A"/>
    <w:rsid w:val="002779B2"/>
    <w:rsid w:val="00277AD7"/>
    <w:rsid w:val="00277C45"/>
    <w:rsid w:val="002800C9"/>
    <w:rsid w:val="00280731"/>
    <w:rsid w:val="00281789"/>
    <w:rsid w:val="002817E1"/>
    <w:rsid w:val="00281DFF"/>
    <w:rsid w:val="0028262C"/>
    <w:rsid w:val="00282FDD"/>
    <w:rsid w:val="00283608"/>
    <w:rsid w:val="00283AFB"/>
    <w:rsid w:val="002847E8"/>
    <w:rsid w:val="002848D7"/>
    <w:rsid w:val="00285B3C"/>
    <w:rsid w:val="00286E2F"/>
    <w:rsid w:val="00286EB4"/>
    <w:rsid w:val="0028763C"/>
    <w:rsid w:val="002926CA"/>
    <w:rsid w:val="00292E24"/>
    <w:rsid w:val="00293E45"/>
    <w:rsid w:val="00294F66"/>
    <w:rsid w:val="00295848"/>
    <w:rsid w:val="00295BE2"/>
    <w:rsid w:val="00295EAB"/>
    <w:rsid w:val="00296BD5"/>
    <w:rsid w:val="00297DD2"/>
    <w:rsid w:val="00297EC2"/>
    <w:rsid w:val="002A03FC"/>
    <w:rsid w:val="002A0D61"/>
    <w:rsid w:val="002A2262"/>
    <w:rsid w:val="002A2919"/>
    <w:rsid w:val="002A48A4"/>
    <w:rsid w:val="002A554B"/>
    <w:rsid w:val="002A7BF0"/>
    <w:rsid w:val="002A7E77"/>
    <w:rsid w:val="002B04A4"/>
    <w:rsid w:val="002B1909"/>
    <w:rsid w:val="002B347F"/>
    <w:rsid w:val="002B379E"/>
    <w:rsid w:val="002B3B05"/>
    <w:rsid w:val="002B41B5"/>
    <w:rsid w:val="002B4254"/>
    <w:rsid w:val="002B5482"/>
    <w:rsid w:val="002B570C"/>
    <w:rsid w:val="002B6122"/>
    <w:rsid w:val="002B6264"/>
    <w:rsid w:val="002B6A6C"/>
    <w:rsid w:val="002B6AE3"/>
    <w:rsid w:val="002B72B6"/>
    <w:rsid w:val="002B7CBC"/>
    <w:rsid w:val="002C1406"/>
    <w:rsid w:val="002C3CB7"/>
    <w:rsid w:val="002C45C1"/>
    <w:rsid w:val="002C465B"/>
    <w:rsid w:val="002C7099"/>
    <w:rsid w:val="002C7F04"/>
    <w:rsid w:val="002D09C9"/>
    <w:rsid w:val="002D0B10"/>
    <w:rsid w:val="002D12B9"/>
    <w:rsid w:val="002D15C1"/>
    <w:rsid w:val="002D2017"/>
    <w:rsid w:val="002D2F69"/>
    <w:rsid w:val="002D41F2"/>
    <w:rsid w:val="002D51B8"/>
    <w:rsid w:val="002D526E"/>
    <w:rsid w:val="002D559D"/>
    <w:rsid w:val="002D5FED"/>
    <w:rsid w:val="002D64E3"/>
    <w:rsid w:val="002D6978"/>
    <w:rsid w:val="002D6FF0"/>
    <w:rsid w:val="002D7269"/>
    <w:rsid w:val="002D777B"/>
    <w:rsid w:val="002D7A81"/>
    <w:rsid w:val="002E10A8"/>
    <w:rsid w:val="002E4741"/>
    <w:rsid w:val="002E4E02"/>
    <w:rsid w:val="002E68D1"/>
    <w:rsid w:val="002E6E1D"/>
    <w:rsid w:val="002E78CF"/>
    <w:rsid w:val="002F00DB"/>
    <w:rsid w:val="002F0CB7"/>
    <w:rsid w:val="002F0DFC"/>
    <w:rsid w:val="002F1365"/>
    <w:rsid w:val="002F3260"/>
    <w:rsid w:val="002F3C35"/>
    <w:rsid w:val="002F5734"/>
    <w:rsid w:val="002F5E84"/>
    <w:rsid w:val="002F7614"/>
    <w:rsid w:val="002F7942"/>
    <w:rsid w:val="0030037B"/>
    <w:rsid w:val="00300FAA"/>
    <w:rsid w:val="00301812"/>
    <w:rsid w:val="003031FB"/>
    <w:rsid w:val="00303660"/>
    <w:rsid w:val="00305244"/>
    <w:rsid w:val="00305B77"/>
    <w:rsid w:val="003060B7"/>
    <w:rsid w:val="0030635C"/>
    <w:rsid w:val="003066D3"/>
    <w:rsid w:val="00306C97"/>
    <w:rsid w:val="00307692"/>
    <w:rsid w:val="00311890"/>
    <w:rsid w:val="00312714"/>
    <w:rsid w:val="00312C2C"/>
    <w:rsid w:val="00312EDD"/>
    <w:rsid w:val="00314F2C"/>
    <w:rsid w:val="00314FDB"/>
    <w:rsid w:val="00315FFA"/>
    <w:rsid w:val="003163FA"/>
    <w:rsid w:val="0031654C"/>
    <w:rsid w:val="00316AA8"/>
    <w:rsid w:val="00317399"/>
    <w:rsid w:val="00317541"/>
    <w:rsid w:val="00321029"/>
    <w:rsid w:val="003214F8"/>
    <w:rsid w:val="00322598"/>
    <w:rsid w:val="003239E1"/>
    <w:rsid w:val="00323A21"/>
    <w:rsid w:val="0032422D"/>
    <w:rsid w:val="003250E3"/>
    <w:rsid w:val="00326C69"/>
    <w:rsid w:val="00326F0B"/>
    <w:rsid w:val="00330644"/>
    <w:rsid w:val="00331F9C"/>
    <w:rsid w:val="00333ADA"/>
    <w:rsid w:val="00334D40"/>
    <w:rsid w:val="003359BE"/>
    <w:rsid w:val="003370D4"/>
    <w:rsid w:val="0033710D"/>
    <w:rsid w:val="0034008F"/>
    <w:rsid w:val="00340EDC"/>
    <w:rsid w:val="00341984"/>
    <w:rsid w:val="00342C0D"/>
    <w:rsid w:val="00342CE7"/>
    <w:rsid w:val="00343A7B"/>
    <w:rsid w:val="003440E9"/>
    <w:rsid w:val="0034459E"/>
    <w:rsid w:val="00344C6D"/>
    <w:rsid w:val="00347C87"/>
    <w:rsid w:val="00347CA9"/>
    <w:rsid w:val="0035022C"/>
    <w:rsid w:val="0035088D"/>
    <w:rsid w:val="00350DB1"/>
    <w:rsid w:val="00351DFB"/>
    <w:rsid w:val="0035223D"/>
    <w:rsid w:val="00353E48"/>
    <w:rsid w:val="003541B3"/>
    <w:rsid w:val="00354B00"/>
    <w:rsid w:val="00355A39"/>
    <w:rsid w:val="0035700A"/>
    <w:rsid w:val="00360A26"/>
    <w:rsid w:val="00360A7F"/>
    <w:rsid w:val="00361334"/>
    <w:rsid w:val="00361846"/>
    <w:rsid w:val="00362483"/>
    <w:rsid w:val="00362C68"/>
    <w:rsid w:val="0036336E"/>
    <w:rsid w:val="0036351A"/>
    <w:rsid w:val="0036470A"/>
    <w:rsid w:val="00365853"/>
    <w:rsid w:val="003668AA"/>
    <w:rsid w:val="00371E9B"/>
    <w:rsid w:val="00372D99"/>
    <w:rsid w:val="00373994"/>
    <w:rsid w:val="00373F1E"/>
    <w:rsid w:val="00374A8E"/>
    <w:rsid w:val="00375622"/>
    <w:rsid w:val="00375722"/>
    <w:rsid w:val="003765B5"/>
    <w:rsid w:val="00380732"/>
    <w:rsid w:val="00380CB3"/>
    <w:rsid w:val="00382277"/>
    <w:rsid w:val="00383341"/>
    <w:rsid w:val="00383471"/>
    <w:rsid w:val="003837AB"/>
    <w:rsid w:val="0038498A"/>
    <w:rsid w:val="00384D17"/>
    <w:rsid w:val="00385219"/>
    <w:rsid w:val="00385CB4"/>
    <w:rsid w:val="003864C2"/>
    <w:rsid w:val="003865EF"/>
    <w:rsid w:val="00387B7D"/>
    <w:rsid w:val="00387CCF"/>
    <w:rsid w:val="0039048E"/>
    <w:rsid w:val="00391C20"/>
    <w:rsid w:val="00391E89"/>
    <w:rsid w:val="003924C0"/>
    <w:rsid w:val="00393659"/>
    <w:rsid w:val="003936ED"/>
    <w:rsid w:val="00395AEA"/>
    <w:rsid w:val="00395DD7"/>
    <w:rsid w:val="00397330"/>
    <w:rsid w:val="003976EA"/>
    <w:rsid w:val="003976F9"/>
    <w:rsid w:val="00397EE4"/>
    <w:rsid w:val="003A0038"/>
    <w:rsid w:val="003A0B04"/>
    <w:rsid w:val="003A10DF"/>
    <w:rsid w:val="003A16F5"/>
    <w:rsid w:val="003A1F01"/>
    <w:rsid w:val="003A2AC4"/>
    <w:rsid w:val="003A36FB"/>
    <w:rsid w:val="003A3724"/>
    <w:rsid w:val="003A4256"/>
    <w:rsid w:val="003A54AE"/>
    <w:rsid w:val="003A67E8"/>
    <w:rsid w:val="003A7D28"/>
    <w:rsid w:val="003B0B6D"/>
    <w:rsid w:val="003B0E83"/>
    <w:rsid w:val="003B1842"/>
    <w:rsid w:val="003B1AC6"/>
    <w:rsid w:val="003B1C81"/>
    <w:rsid w:val="003B21BD"/>
    <w:rsid w:val="003B268B"/>
    <w:rsid w:val="003B3B4D"/>
    <w:rsid w:val="003B3DCB"/>
    <w:rsid w:val="003B50DE"/>
    <w:rsid w:val="003B6ECA"/>
    <w:rsid w:val="003B76D0"/>
    <w:rsid w:val="003B798C"/>
    <w:rsid w:val="003C29A0"/>
    <w:rsid w:val="003C2CC6"/>
    <w:rsid w:val="003C34E3"/>
    <w:rsid w:val="003C376F"/>
    <w:rsid w:val="003C4A92"/>
    <w:rsid w:val="003C4D91"/>
    <w:rsid w:val="003C57F5"/>
    <w:rsid w:val="003C5D43"/>
    <w:rsid w:val="003C7217"/>
    <w:rsid w:val="003C7D18"/>
    <w:rsid w:val="003D1217"/>
    <w:rsid w:val="003D3996"/>
    <w:rsid w:val="003D704F"/>
    <w:rsid w:val="003D7182"/>
    <w:rsid w:val="003D7C71"/>
    <w:rsid w:val="003E0223"/>
    <w:rsid w:val="003E0CA1"/>
    <w:rsid w:val="003E10E8"/>
    <w:rsid w:val="003E292E"/>
    <w:rsid w:val="003E3AE1"/>
    <w:rsid w:val="003E3CCF"/>
    <w:rsid w:val="003E3DD5"/>
    <w:rsid w:val="003E50C2"/>
    <w:rsid w:val="003E5FAB"/>
    <w:rsid w:val="003E69E6"/>
    <w:rsid w:val="003E6BE7"/>
    <w:rsid w:val="003E7208"/>
    <w:rsid w:val="003E7A77"/>
    <w:rsid w:val="003F088B"/>
    <w:rsid w:val="003F0DC2"/>
    <w:rsid w:val="003F215C"/>
    <w:rsid w:val="003F2383"/>
    <w:rsid w:val="003F3358"/>
    <w:rsid w:val="003F37AC"/>
    <w:rsid w:val="003F3AC6"/>
    <w:rsid w:val="003F4CBE"/>
    <w:rsid w:val="003F4D61"/>
    <w:rsid w:val="003F5531"/>
    <w:rsid w:val="003F5A9F"/>
    <w:rsid w:val="003F5C28"/>
    <w:rsid w:val="003F6373"/>
    <w:rsid w:val="003F6EB4"/>
    <w:rsid w:val="00400F63"/>
    <w:rsid w:val="0040167D"/>
    <w:rsid w:val="00401826"/>
    <w:rsid w:val="0040217A"/>
    <w:rsid w:val="004024FA"/>
    <w:rsid w:val="00402F74"/>
    <w:rsid w:val="00403698"/>
    <w:rsid w:val="0040408C"/>
    <w:rsid w:val="00404894"/>
    <w:rsid w:val="0041200D"/>
    <w:rsid w:val="004122A7"/>
    <w:rsid w:val="00413967"/>
    <w:rsid w:val="004139A0"/>
    <w:rsid w:val="00413F8C"/>
    <w:rsid w:val="00413F97"/>
    <w:rsid w:val="00414DF7"/>
    <w:rsid w:val="00415C70"/>
    <w:rsid w:val="00416D5D"/>
    <w:rsid w:val="0042039F"/>
    <w:rsid w:val="00420D53"/>
    <w:rsid w:val="00421D2D"/>
    <w:rsid w:val="00422460"/>
    <w:rsid w:val="004224FB"/>
    <w:rsid w:val="00423387"/>
    <w:rsid w:val="00423463"/>
    <w:rsid w:val="004235D2"/>
    <w:rsid w:val="00425518"/>
    <w:rsid w:val="00425D0C"/>
    <w:rsid w:val="00425E13"/>
    <w:rsid w:val="00426C02"/>
    <w:rsid w:val="00426E47"/>
    <w:rsid w:val="004276E1"/>
    <w:rsid w:val="0042778F"/>
    <w:rsid w:val="00430193"/>
    <w:rsid w:val="004304D1"/>
    <w:rsid w:val="0043135E"/>
    <w:rsid w:val="00432D2C"/>
    <w:rsid w:val="00434C79"/>
    <w:rsid w:val="0043553B"/>
    <w:rsid w:val="00435A90"/>
    <w:rsid w:val="00435BC0"/>
    <w:rsid w:val="00435C59"/>
    <w:rsid w:val="00436A4A"/>
    <w:rsid w:val="00436C8F"/>
    <w:rsid w:val="00436D76"/>
    <w:rsid w:val="004372A1"/>
    <w:rsid w:val="004372C7"/>
    <w:rsid w:val="004401E7"/>
    <w:rsid w:val="00440A3C"/>
    <w:rsid w:val="00441B6E"/>
    <w:rsid w:val="00442417"/>
    <w:rsid w:val="00442F31"/>
    <w:rsid w:val="0044362C"/>
    <w:rsid w:val="00443B32"/>
    <w:rsid w:val="00443E17"/>
    <w:rsid w:val="004448F0"/>
    <w:rsid w:val="00444A92"/>
    <w:rsid w:val="00445C58"/>
    <w:rsid w:val="00446C8D"/>
    <w:rsid w:val="00450759"/>
    <w:rsid w:val="00450ED6"/>
    <w:rsid w:val="004515CC"/>
    <w:rsid w:val="00451744"/>
    <w:rsid w:val="00451D71"/>
    <w:rsid w:val="004525DD"/>
    <w:rsid w:val="00452E5C"/>
    <w:rsid w:val="0045351A"/>
    <w:rsid w:val="00453857"/>
    <w:rsid w:val="00453AF1"/>
    <w:rsid w:val="00453CE6"/>
    <w:rsid w:val="00454B82"/>
    <w:rsid w:val="004554C0"/>
    <w:rsid w:val="00455F9D"/>
    <w:rsid w:val="00457159"/>
    <w:rsid w:val="00457266"/>
    <w:rsid w:val="0046024A"/>
    <w:rsid w:val="00461551"/>
    <w:rsid w:val="004624B4"/>
    <w:rsid w:val="00463CC1"/>
    <w:rsid w:val="00463CD8"/>
    <w:rsid w:val="004643F0"/>
    <w:rsid w:val="00466F58"/>
    <w:rsid w:val="0047088B"/>
    <w:rsid w:val="0047099C"/>
    <w:rsid w:val="00471FFC"/>
    <w:rsid w:val="0047222F"/>
    <w:rsid w:val="00472855"/>
    <w:rsid w:val="00473298"/>
    <w:rsid w:val="00474B8C"/>
    <w:rsid w:val="00474D0E"/>
    <w:rsid w:val="004753A9"/>
    <w:rsid w:val="00475791"/>
    <w:rsid w:val="00475BF5"/>
    <w:rsid w:val="00477814"/>
    <w:rsid w:val="00480017"/>
    <w:rsid w:val="0048005D"/>
    <w:rsid w:val="00480409"/>
    <w:rsid w:val="004817E1"/>
    <w:rsid w:val="004822C8"/>
    <w:rsid w:val="004830E1"/>
    <w:rsid w:val="00484137"/>
    <w:rsid w:val="004869D3"/>
    <w:rsid w:val="004871F4"/>
    <w:rsid w:val="00487AED"/>
    <w:rsid w:val="00491404"/>
    <w:rsid w:val="00491732"/>
    <w:rsid w:val="00491A1A"/>
    <w:rsid w:val="004926C5"/>
    <w:rsid w:val="00495C61"/>
    <w:rsid w:val="00496382"/>
    <w:rsid w:val="00496ED1"/>
    <w:rsid w:val="00496F39"/>
    <w:rsid w:val="004A110C"/>
    <w:rsid w:val="004A1E4C"/>
    <w:rsid w:val="004A215C"/>
    <w:rsid w:val="004A2F51"/>
    <w:rsid w:val="004A3170"/>
    <w:rsid w:val="004A348C"/>
    <w:rsid w:val="004A4655"/>
    <w:rsid w:val="004A5037"/>
    <w:rsid w:val="004A547A"/>
    <w:rsid w:val="004A598D"/>
    <w:rsid w:val="004A5B92"/>
    <w:rsid w:val="004A6799"/>
    <w:rsid w:val="004A786E"/>
    <w:rsid w:val="004B07E5"/>
    <w:rsid w:val="004B188E"/>
    <w:rsid w:val="004B4015"/>
    <w:rsid w:val="004B63E6"/>
    <w:rsid w:val="004B70D6"/>
    <w:rsid w:val="004B741B"/>
    <w:rsid w:val="004B7493"/>
    <w:rsid w:val="004B75A7"/>
    <w:rsid w:val="004B7612"/>
    <w:rsid w:val="004C197F"/>
    <w:rsid w:val="004C1ECD"/>
    <w:rsid w:val="004C2262"/>
    <w:rsid w:val="004C3B24"/>
    <w:rsid w:val="004C40E1"/>
    <w:rsid w:val="004C5F27"/>
    <w:rsid w:val="004C6049"/>
    <w:rsid w:val="004C76EF"/>
    <w:rsid w:val="004D1111"/>
    <w:rsid w:val="004D1B26"/>
    <w:rsid w:val="004D227E"/>
    <w:rsid w:val="004D2389"/>
    <w:rsid w:val="004D2447"/>
    <w:rsid w:val="004D24FD"/>
    <w:rsid w:val="004D27DB"/>
    <w:rsid w:val="004D3452"/>
    <w:rsid w:val="004D432A"/>
    <w:rsid w:val="004D4D89"/>
    <w:rsid w:val="004D4F4F"/>
    <w:rsid w:val="004D50CA"/>
    <w:rsid w:val="004D5D00"/>
    <w:rsid w:val="004D6277"/>
    <w:rsid w:val="004D6D83"/>
    <w:rsid w:val="004D6FC6"/>
    <w:rsid w:val="004D79A1"/>
    <w:rsid w:val="004D7B29"/>
    <w:rsid w:val="004E05EC"/>
    <w:rsid w:val="004E14DF"/>
    <w:rsid w:val="004E30EB"/>
    <w:rsid w:val="004E36B0"/>
    <w:rsid w:val="004E393C"/>
    <w:rsid w:val="004E4AFF"/>
    <w:rsid w:val="004E4D68"/>
    <w:rsid w:val="004E5DE9"/>
    <w:rsid w:val="004E7592"/>
    <w:rsid w:val="004E75F6"/>
    <w:rsid w:val="004E78F9"/>
    <w:rsid w:val="004E79A2"/>
    <w:rsid w:val="004F00D6"/>
    <w:rsid w:val="004F10D3"/>
    <w:rsid w:val="004F1920"/>
    <w:rsid w:val="004F1EC9"/>
    <w:rsid w:val="004F50B2"/>
    <w:rsid w:val="004F5444"/>
    <w:rsid w:val="004F5C3C"/>
    <w:rsid w:val="004F74B3"/>
    <w:rsid w:val="004F799B"/>
    <w:rsid w:val="004F799C"/>
    <w:rsid w:val="004F7BC9"/>
    <w:rsid w:val="004F7ED0"/>
    <w:rsid w:val="005001B2"/>
    <w:rsid w:val="0050076B"/>
    <w:rsid w:val="00500E66"/>
    <w:rsid w:val="0050107B"/>
    <w:rsid w:val="00501F97"/>
    <w:rsid w:val="005020E7"/>
    <w:rsid w:val="00502198"/>
    <w:rsid w:val="0050256C"/>
    <w:rsid w:val="005027A7"/>
    <w:rsid w:val="00502C3D"/>
    <w:rsid w:val="00503506"/>
    <w:rsid w:val="005036B2"/>
    <w:rsid w:val="0050375C"/>
    <w:rsid w:val="005045D7"/>
    <w:rsid w:val="00504A91"/>
    <w:rsid w:val="00505D02"/>
    <w:rsid w:val="00506DB3"/>
    <w:rsid w:val="00507278"/>
    <w:rsid w:val="00507B30"/>
    <w:rsid w:val="005110D2"/>
    <w:rsid w:val="00511217"/>
    <w:rsid w:val="00512EF8"/>
    <w:rsid w:val="005131D1"/>
    <w:rsid w:val="00513640"/>
    <w:rsid w:val="00513D9B"/>
    <w:rsid w:val="00513FBE"/>
    <w:rsid w:val="0051402D"/>
    <w:rsid w:val="005149F7"/>
    <w:rsid w:val="00514AC4"/>
    <w:rsid w:val="00515461"/>
    <w:rsid w:val="0051602C"/>
    <w:rsid w:val="00516262"/>
    <w:rsid w:val="00516CB7"/>
    <w:rsid w:val="00517068"/>
    <w:rsid w:val="00520A55"/>
    <w:rsid w:val="00521758"/>
    <w:rsid w:val="00521A53"/>
    <w:rsid w:val="0052279C"/>
    <w:rsid w:val="00522B98"/>
    <w:rsid w:val="00523033"/>
    <w:rsid w:val="005236B1"/>
    <w:rsid w:val="00523CAF"/>
    <w:rsid w:val="00523D48"/>
    <w:rsid w:val="00525318"/>
    <w:rsid w:val="00525419"/>
    <w:rsid w:val="0052546E"/>
    <w:rsid w:val="005257A0"/>
    <w:rsid w:val="00525C4D"/>
    <w:rsid w:val="00525F39"/>
    <w:rsid w:val="00526741"/>
    <w:rsid w:val="00526E67"/>
    <w:rsid w:val="00526E8B"/>
    <w:rsid w:val="005274AC"/>
    <w:rsid w:val="00527C5E"/>
    <w:rsid w:val="00530492"/>
    <w:rsid w:val="00530865"/>
    <w:rsid w:val="0053135A"/>
    <w:rsid w:val="0053143C"/>
    <w:rsid w:val="0053221C"/>
    <w:rsid w:val="00532A7F"/>
    <w:rsid w:val="00532F3B"/>
    <w:rsid w:val="00533A70"/>
    <w:rsid w:val="00533C1F"/>
    <w:rsid w:val="00535C10"/>
    <w:rsid w:val="005363FD"/>
    <w:rsid w:val="00537A4F"/>
    <w:rsid w:val="005412BF"/>
    <w:rsid w:val="00542ABB"/>
    <w:rsid w:val="005440E5"/>
    <w:rsid w:val="00544B19"/>
    <w:rsid w:val="00544FC3"/>
    <w:rsid w:val="005454CF"/>
    <w:rsid w:val="00545A8D"/>
    <w:rsid w:val="00545DE3"/>
    <w:rsid w:val="0054644D"/>
    <w:rsid w:val="00546EB7"/>
    <w:rsid w:val="00547C9E"/>
    <w:rsid w:val="005531B7"/>
    <w:rsid w:val="0055361B"/>
    <w:rsid w:val="00553B31"/>
    <w:rsid w:val="005542EE"/>
    <w:rsid w:val="0055449F"/>
    <w:rsid w:val="00554AC0"/>
    <w:rsid w:val="00554BD6"/>
    <w:rsid w:val="00554E2D"/>
    <w:rsid w:val="00554FEB"/>
    <w:rsid w:val="00556212"/>
    <w:rsid w:val="00557913"/>
    <w:rsid w:val="00557994"/>
    <w:rsid w:val="00557FC6"/>
    <w:rsid w:val="0056094F"/>
    <w:rsid w:val="00563B67"/>
    <w:rsid w:val="005646C4"/>
    <w:rsid w:val="00565164"/>
    <w:rsid w:val="00565212"/>
    <w:rsid w:val="0056592D"/>
    <w:rsid w:val="00565F76"/>
    <w:rsid w:val="00566343"/>
    <w:rsid w:val="005669DE"/>
    <w:rsid w:val="005679CD"/>
    <w:rsid w:val="00570507"/>
    <w:rsid w:val="0057054D"/>
    <w:rsid w:val="00570F93"/>
    <w:rsid w:val="00570FE9"/>
    <w:rsid w:val="005717CD"/>
    <w:rsid w:val="005719A7"/>
    <w:rsid w:val="0057289A"/>
    <w:rsid w:val="00572F7B"/>
    <w:rsid w:val="0057417C"/>
    <w:rsid w:val="00576544"/>
    <w:rsid w:val="00577A3F"/>
    <w:rsid w:val="0058017D"/>
    <w:rsid w:val="00580CB0"/>
    <w:rsid w:val="00581DAC"/>
    <w:rsid w:val="00582C8A"/>
    <w:rsid w:val="0058308C"/>
    <w:rsid w:val="005835CE"/>
    <w:rsid w:val="00584867"/>
    <w:rsid w:val="005856F6"/>
    <w:rsid w:val="005861E1"/>
    <w:rsid w:val="0058638B"/>
    <w:rsid w:val="0058644D"/>
    <w:rsid w:val="00587017"/>
    <w:rsid w:val="005909CD"/>
    <w:rsid w:val="00591058"/>
    <w:rsid w:val="005913CA"/>
    <w:rsid w:val="00592804"/>
    <w:rsid w:val="00592D5A"/>
    <w:rsid w:val="0059350E"/>
    <w:rsid w:val="00593D58"/>
    <w:rsid w:val="00595052"/>
    <w:rsid w:val="0059603D"/>
    <w:rsid w:val="005A1EAC"/>
    <w:rsid w:val="005A32FA"/>
    <w:rsid w:val="005A3443"/>
    <w:rsid w:val="005A4155"/>
    <w:rsid w:val="005A41F6"/>
    <w:rsid w:val="005A5244"/>
    <w:rsid w:val="005A57D9"/>
    <w:rsid w:val="005A5B97"/>
    <w:rsid w:val="005A6CFA"/>
    <w:rsid w:val="005A7131"/>
    <w:rsid w:val="005A7392"/>
    <w:rsid w:val="005A7DE7"/>
    <w:rsid w:val="005B00A9"/>
    <w:rsid w:val="005B01B6"/>
    <w:rsid w:val="005B0BFD"/>
    <w:rsid w:val="005B10FF"/>
    <w:rsid w:val="005B28CE"/>
    <w:rsid w:val="005B28E5"/>
    <w:rsid w:val="005B2C16"/>
    <w:rsid w:val="005B31FA"/>
    <w:rsid w:val="005B3F1D"/>
    <w:rsid w:val="005B4E47"/>
    <w:rsid w:val="005B5CA3"/>
    <w:rsid w:val="005B68EE"/>
    <w:rsid w:val="005B6D69"/>
    <w:rsid w:val="005B7446"/>
    <w:rsid w:val="005B77C3"/>
    <w:rsid w:val="005B7E8E"/>
    <w:rsid w:val="005C00FB"/>
    <w:rsid w:val="005C13E0"/>
    <w:rsid w:val="005C325B"/>
    <w:rsid w:val="005C3ED4"/>
    <w:rsid w:val="005C3F59"/>
    <w:rsid w:val="005C4392"/>
    <w:rsid w:val="005C441F"/>
    <w:rsid w:val="005C6444"/>
    <w:rsid w:val="005C6C49"/>
    <w:rsid w:val="005C7387"/>
    <w:rsid w:val="005C746B"/>
    <w:rsid w:val="005C7C17"/>
    <w:rsid w:val="005D057C"/>
    <w:rsid w:val="005D05EB"/>
    <w:rsid w:val="005D07ED"/>
    <w:rsid w:val="005D1321"/>
    <w:rsid w:val="005D1E59"/>
    <w:rsid w:val="005D2F5B"/>
    <w:rsid w:val="005D32DE"/>
    <w:rsid w:val="005D45F1"/>
    <w:rsid w:val="005D4E61"/>
    <w:rsid w:val="005D634B"/>
    <w:rsid w:val="005D6AD2"/>
    <w:rsid w:val="005E007B"/>
    <w:rsid w:val="005E00C0"/>
    <w:rsid w:val="005E0B4E"/>
    <w:rsid w:val="005E0C0B"/>
    <w:rsid w:val="005E1DF2"/>
    <w:rsid w:val="005E2047"/>
    <w:rsid w:val="005E20D3"/>
    <w:rsid w:val="005E2AC0"/>
    <w:rsid w:val="005E2E96"/>
    <w:rsid w:val="005E38A1"/>
    <w:rsid w:val="005E4262"/>
    <w:rsid w:val="005E453A"/>
    <w:rsid w:val="005E6278"/>
    <w:rsid w:val="005E78AC"/>
    <w:rsid w:val="005F0AE6"/>
    <w:rsid w:val="005F2036"/>
    <w:rsid w:val="005F2127"/>
    <w:rsid w:val="005F37B6"/>
    <w:rsid w:val="005F3C97"/>
    <w:rsid w:val="005F527C"/>
    <w:rsid w:val="005F571F"/>
    <w:rsid w:val="005F676C"/>
    <w:rsid w:val="006001BD"/>
    <w:rsid w:val="00600507"/>
    <w:rsid w:val="00601332"/>
    <w:rsid w:val="00603DE4"/>
    <w:rsid w:val="00604DA7"/>
    <w:rsid w:val="006069DE"/>
    <w:rsid w:val="0060770E"/>
    <w:rsid w:val="00607E8F"/>
    <w:rsid w:val="0061151A"/>
    <w:rsid w:val="00612380"/>
    <w:rsid w:val="006123A9"/>
    <w:rsid w:val="006134D4"/>
    <w:rsid w:val="00614D02"/>
    <w:rsid w:val="00615D63"/>
    <w:rsid w:val="00615FAD"/>
    <w:rsid w:val="00616427"/>
    <w:rsid w:val="006164BD"/>
    <w:rsid w:val="00617396"/>
    <w:rsid w:val="0061786C"/>
    <w:rsid w:val="006208DA"/>
    <w:rsid w:val="006214F5"/>
    <w:rsid w:val="006236E2"/>
    <w:rsid w:val="006241DF"/>
    <w:rsid w:val="00625140"/>
    <w:rsid w:val="00625246"/>
    <w:rsid w:val="00625650"/>
    <w:rsid w:val="006262A1"/>
    <w:rsid w:val="00626450"/>
    <w:rsid w:val="00626FB7"/>
    <w:rsid w:val="006301FC"/>
    <w:rsid w:val="00630DDA"/>
    <w:rsid w:val="00631448"/>
    <w:rsid w:val="00631BDE"/>
    <w:rsid w:val="0063255E"/>
    <w:rsid w:val="00632CB6"/>
    <w:rsid w:val="00633BDE"/>
    <w:rsid w:val="00635041"/>
    <w:rsid w:val="0063506E"/>
    <w:rsid w:val="006354BD"/>
    <w:rsid w:val="00635878"/>
    <w:rsid w:val="006358FD"/>
    <w:rsid w:val="00635B48"/>
    <w:rsid w:val="00635D19"/>
    <w:rsid w:val="00636858"/>
    <w:rsid w:val="00637172"/>
    <w:rsid w:val="00640D7A"/>
    <w:rsid w:val="00640F60"/>
    <w:rsid w:val="00641957"/>
    <w:rsid w:val="00642064"/>
    <w:rsid w:val="006420A5"/>
    <w:rsid w:val="00643E39"/>
    <w:rsid w:val="0064558D"/>
    <w:rsid w:val="00645DD6"/>
    <w:rsid w:val="00646C14"/>
    <w:rsid w:val="00646D15"/>
    <w:rsid w:val="00647821"/>
    <w:rsid w:val="00650551"/>
    <w:rsid w:val="006514AB"/>
    <w:rsid w:val="006521B7"/>
    <w:rsid w:val="00652642"/>
    <w:rsid w:val="006527A0"/>
    <w:rsid w:val="006538A3"/>
    <w:rsid w:val="00655120"/>
    <w:rsid w:val="006553C7"/>
    <w:rsid w:val="00655B4B"/>
    <w:rsid w:val="00655C00"/>
    <w:rsid w:val="0065661C"/>
    <w:rsid w:val="00660C2C"/>
    <w:rsid w:val="006616D6"/>
    <w:rsid w:val="00661718"/>
    <w:rsid w:val="00663166"/>
    <w:rsid w:val="006633E7"/>
    <w:rsid w:val="00663771"/>
    <w:rsid w:val="00664123"/>
    <w:rsid w:val="00664F5F"/>
    <w:rsid w:val="00666B29"/>
    <w:rsid w:val="006679F3"/>
    <w:rsid w:val="0067077A"/>
    <w:rsid w:val="00670786"/>
    <w:rsid w:val="0067098C"/>
    <w:rsid w:val="00670B83"/>
    <w:rsid w:val="00670DEA"/>
    <w:rsid w:val="00670F9C"/>
    <w:rsid w:val="006719D5"/>
    <w:rsid w:val="00671B33"/>
    <w:rsid w:val="00673C47"/>
    <w:rsid w:val="00673D33"/>
    <w:rsid w:val="00674212"/>
    <w:rsid w:val="0067427F"/>
    <w:rsid w:val="0067622C"/>
    <w:rsid w:val="006765A4"/>
    <w:rsid w:val="00677091"/>
    <w:rsid w:val="006775F5"/>
    <w:rsid w:val="00677621"/>
    <w:rsid w:val="006813C4"/>
    <w:rsid w:val="00681E3E"/>
    <w:rsid w:val="00682777"/>
    <w:rsid w:val="00682897"/>
    <w:rsid w:val="00683728"/>
    <w:rsid w:val="00683F0C"/>
    <w:rsid w:val="00684C0D"/>
    <w:rsid w:val="006851C0"/>
    <w:rsid w:val="006853D2"/>
    <w:rsid w:val="00686574"/>
    <w:rsid w:val="006869EB"/>
    <w:rsid w:val="00686DDB"/>
    <w:rsid w:val="0068703F"/>
    <w:rsid w:val="00690150"/>
    <w:rsid w:val="00690530"/>
    <w:rsid w:val="0069127B"/>
    <w:rsid w:val="00691437"/>
    <w:rsid w:val="006919C7"/>
    <w:rsid w:val="00694E5F"/>
    <w:rsid w:val="00695C22"/>
    <w:rsid w:val="00696F99"/>
    <w:rsid w:val="00697017"/>
    <w:rsid w:val="006A08E9"/>
    <w:rsid w:val="006A1902"/>
    <w:rsid w:val="006A20DD"/>
    <w:rsid w:val="006A2150"/>
    <w:rsid w:val="006A32FB"/>
    <w:rsid w:val="006A4B3B"/>
    <w:rsid w:val="006A5283"/>
    <w:rsid w:val="006A570E"/>
    <w:rsid w:val="006A5A3D"/>
    <w:rsid w:val="006A6F0F"/>
    <w:rsid w:val="006A7CB1"/>
    <w:rsid w:val="006B0788"/>
    <w:rsid w:val="006B08B3"/>
    <w:rsid w:val="006B14F3"/>
    <w:rsid w:val="006B1944"/>
    <w:rsid w:val="006B1D1B"/>
    <w:rsid w:val="006B1FD9"/>
    <w:rsid w:val="006B24CF"/>
    <w:rsid w:val="006B253F"/>
    <w:rsid w:val="006B2D43"/>
    <w:rsid w:val="006B3396"/>
    <w:rsid w:val="006B3CAE"/>
    <w:rsid w:val="006B6C2E"/>
    <w:rsid w:val="006B78E7"/>
    <w:rsid w:val="006C01DC"/>
    <w:rsid w:val="006C1B9A"/>
    <w:rsid w:val="006C2654"/>
    <w:rsid w:val="006C41B6"/>
    <w:rsid w:val="006C5A4D"/>
    <w:rsid w:val="006C5F9D"/>
    <w:rsid w:val="006D018F"/>
    <w:rsid w:val="006D103F"/>
    <w:rsid w:val="006D1659"/>
    <w:rsid w:val="006D2363"/>
    <w:rsid w:val="006D57D0"/>
    <w:rsid w:val="006D5D97"/>
    <w:rsid w:val="006D7909"/>
    <w:rsid w:val="006E036E"/>
    <w:rsid w:val="006E1339"/>
    <w:rsid w:val="006E2508"/>
    <w:rsid w:val="006E5312"/>
    <w:rsid w:val="006E5B1B"/>
    <w:rsid w:val="006E6C8A"/>
    <w:rsid w:val="006E706B"/>
    <w:rsid w:val="006E7435"/>
    <w:rsid w:val="006F055F"/>
    <w:rsid w:val="006F08D0"/>
    <w:rsid w:val="006F09BF"/>
    <w:rsid w:val="006F1FF7"/>
    <w:rsid w:val="006F2295"/>
    <w:rsid w:val="006F3019"/>
    <w:rsid w:val="006F3CD8"/>
    <w:rsid w:val="006F4010"/>
    <w:rsid w:val="006F4710"/>
    <w:rsid w:val="006F4C57"/>
    <w:rsid w:val="006F5059"/>
    <w:rsid w:val="006F7395"/>
    <w:rsid w:val="007002E6"/>
    <w:rsid w:val="00700385"/>
    <w:rsid w:val="00700F56"/>
    <w:rsid w:val="0070238B"/>
    <w:rsid w:val="00702D55"/>
    <w:rsid w:val="007046C8"/>
    <w:rsid w:val="00705BF3"/>
    <w:rsid w:val="00706C24"/>
    <w:rsid w:val="00706D87"/>
    <w:rsid w:val="00710125"/>
    <w:rsid w:val="007106B0"/>
    <w:rsid w:val="00710934"/>
    <w:rsid w:val="00710CC0"/>
    <w:rsid w:val="00711013"/>
    <w:rsid w:val="00711028"/>
    <w:rsid w:val="00711464"/>
    <w:rsid w:val="007116DB"/>
    <w:rsid w:val="0071176B"/>
    <w:rsid w:val="00711B61"/>
    <w:rsid w:val="0071212A"/>
    <w:rsid w:val="00712678"/>
    <w:rsid w:val="0071363E"/>
    <w:rsid w:val="00714724"/>
    <w:rsid w:val="007155D5"/>
    <w:rsid w:val="0071588E"/>
    <w:rsid w:val="0071595A"/>
    <w:rsid w:val="0071648D"/>
    <w:rsid w:val="007168B5"/>
    <w:rsid w:val="00716C74"/>
    <w:rsid w:val="00717500"/>
    <w:rsid w:val="00722806"/>
    <w:rsid w:val="00725590"/>
    <w:rsid w:val="00725FA9"/>
    <w:rsid w:val="00726E40"/>
    <w:rsid w:val="0072710F"/>
    <w:rsid w:val="007271EB"/>
    <w:rsid w:val="00730723"/>
    <w:rsid w:val="00732604"/>
    <w:rsid w:val="00734ED3"/>
    <w:rsid w:val="00735501"/>
    <w:rsid w:val="00735BDA"/>
    <w:rsid w:val="00737238"/>
    <w:rsid w:val="00740C3B"/>
    <w:rsid w:val="007411A4"/>
    <w:rsid w:val="00741AC9"/>
    <w:rsid w:val="0074277B"/>
    <w:rsid w:val="00743688"/>
    <w:rsid w:val="00744A3F"/>
    <w:rsid w:val="00744EEC"/>
    <w:rsid w:val="00745AA2"/>
    <w:rsid w:val="00746D0E"/>
    <w:rsid w:val="00747AAA"/>
    <w:rsid w:val="00750625"/>
    <w:rsid w:val="00751039"/>
    <w:rsid w:val="0075268E"/>
    <w:rsid w:val="00752BC1"/>
    <w:rsid w:val="00752E8A"/>
    <w:rsid w:val="00753613"/>
    <w:rsid w:val="00753772"/>
    <w:rsid w:val="00756B44"/>
    <w:rsid w:val="0075794F"/>
    <w:rsid w:val="0076084A"/>
    <w:rsid w:val="00761015"/>
    <w:rsid w:val="00761373"/>
    <w:rsid w:val="00761C0E"/>
    <w:rsid w:val="00762653"/>
    <w:rsid w:val="00763335"/>
    <w:rsid w:val="00763ECF"/>
    <w:rsid w:val="00764364"/>
    <w:rsid w:val="00765073"/>
    <w:rsid w:val="007653EA"/>
    <w:rsid w:val="00765425"/>
    <w:rsid w:val="00765CA8"/>
    <w:rsid w:val="00765D81"/>
    <w:rsid w:val="00770E7A"/>
    <w:rsid w:val="00770ECD"/>
    <w:rsid w:val="007714E3"/>
    <w:rsid w:val="007726D2"/>
    <w:rsid w:val="0077299E"/>
    <w:rsid w:val="0077385C"/>
    <w:rsid w:val="0077407F"/>
    <w:rsid w:val="00774362"/>
    <w:rsid w:val="0077475F"/>
    <w:rsid w:val="00774E79"/>
    <w:rsid w:val="007759A4"/>
    <w:rsid w:val="00776B3F"/>
    <w:rsid w:val="00776EAE"/>
    <w:rsid w:val="00777227"/>
    <w:rsid w:val="007772B6"/>
    <w:rsid w:val="007779E9"/>
    <w:rsid w:val="00781531"/>
    <w:rsid w:val="00781555"/>
    <w:rsid w:val="007817E6"/>
    <w:rsid w:val="0078220A"/>
    <w:rsid w:val="00782AEE"/>
    <w:rsid w:val="007833A8"/>
    <w:rsid w:val="00783BD3"/>
    <w:rsid w:val="007855D3"/>
    <w:rsid w:val="00785B96"/>
    <w:rsid w:val="00785BE4"/>
    <w:rsid w:val="00785CE5"/>
    <w:rsid w:val="0078714A"/>
    <w:rsid w:val="00787298"/>
    <w:rsid w:val="00787AFA"/>
    <w:rsid w:val="007906D7"/>
    <w:rsid w:val="00790FE0"/>
    <w:rsid w:val="00791B70"/>
    <w:rsid w:val="00791D01"/>
    <w:rsid w:val="00793B2F"/>
    <w:rsid w:val="0079460E"/>
    <w:rsid w:val="0079461D"/>
    <w:rsid w:val="00795B53"/>
    <w:rsid w:val="007960DA"/>
    <w:rsid w:val="007961E9"/>
    <w:rsid w:val="00796B5C"/>
    <w:rsid w:val="007A0E2E"/>
    <w:rsid w:val="007A2A87"/>
    <w:rsid w:val="007A2C27"/>
    <w:rsid w:val="007A3C0D"/>
    <w:rsid w:val="007A5482"/>
    <w:rsid w:val="007A5FFB"/>
    <w:rsid w:val="007A79E9"/>
    <w:rsid w:val="007B13A7"/>
    <w:rsid w:val="007B1D2F"/>
    <w:rsid w:val="007B2D09"/>
    <w:rsid w:val="007B64A2"/>
    <w:rsid w:val="007B6929"/>
    <w:rsid w:val="007B7C51"/>
    <w:rsid w:val="007B7CA1"/>
    <w:rsid w:val="007C0551"/>
    <w:rsid w:val="007C0F68"/>
    <w:rsid w:val="007C3005"/>
    <w:rsid w:val="007C3D14"/>
    <w:rsid w:val="007C429B"/>
    <w:rsid w:val="007C4B16"/>
    <w:rsid w:val="007C52FD"/>
    <w:rsid w:val="007C5C37"/>
    <w:rsid w:val="007C67CF"/>
    <w:rsid w:val="007C6D8C"/>
    <w:rsid w:val="007D1C6E"/>
    <w:rsid w:val="007D273E"/>
    <w:rsid w:val="007D27B8"/>
    <w:rsid w:val="007D3199"/>
    <w:rsid w:val="007D3BD5"/>
    <w:rsid w:val="007D404B"/>
    <w:rsid w:val="007D4124"/>
    <w:rsid w:val="007D5CA0"/>
    <w:rsid w:val="007D601D"/>
    <w:rsid w:val="007D65EE"/>
    <w:rsid w:val="007D7134"/>
    <w:rsid w:val="007D74E4"/>
    <w:rsid w:val="007E0221"/>
    <w:rsid w:val="007E0550"/>
    <w:rsid w:val="007E08F7"/>
    <w:rsid w:val="007E0CF9"/>
    <w:rsid w:val="007E10EB"/>
    <w:rsid w:val="007E29B3"/>
    <w:rsid w:val="007E3069"/>
    <w:rsid w:val="007E330C"/>
    <w:rsid w:val="007E3408"/>
    <w:rsid w:val="007E34B0"/>
    <w:rsid w:val="007E38A5"/>
    <w:rsid w:val="007E3B98"/>
    <w:rsid w:val="007E3BB6"/>
    <w:rsid w:val="007E3FCA"/>
    <w:rsid w:val="007E4686"/>
    <w:rsid w:val="007E4728"/>
    <w:rsid w:val="007E494B"/>
    <w:rsid w:val="007E4E74"/>
    <w:rsid w:val="007E5C2F"/>
    <w:rsid w:val="007E62B2"/>
    <w:rsid w:val="007E6708"/>
    <w:rsid w:val="007E6F2C"/>
    <w:rsid w:val="007E790A"/>
    <w:rsid w:val="007F3910"/>
    <w:rsid w:val="007F3B5F"/>
    <w:rsid w:val="007F44CD"/>
    <w:rsid w:val="007F4581"/>
    <w:rsid w:val="007F5113"/>
    <w:rsid w:val="007F54BE"/>
    <w:rsid w:val="007F7CD8"/>
    <w:rsid w:val="00801BB1"/>
    <w:rsid w:val="00804FDD"/>
    <w:rsid w:val="00805ABF"/>
    <w:rsid w:val="00806047"/>
    <w:rsid w:val="008065E8"/>
    <w:rsid w:val="00807657"/>
    <w:rsid w:val="00810AFC"/>
    <w:rsid w:val="00810E9B"/>
    <w:rsid w:val="00811C8A"/>
    <w:rsid w:val="00812EF0"/>
    <w:rsid w:val="0081376D"/>
    <w:rsid w:val="00813770"/>
    <w:rsid w:val="00814743"/>
    <w:rsid w:val="0081519A"/>
    <w:rsid w:val="008162CB"/>
    <w:rsid w:val="00816828"/>
    <w:rsid w:val="00816886"/>
    <w:rsid w:val="00816B6A"/>
    <w:rsid w:val="0082275E"/>
    <w:rsid w:val="00822A8E"/>
    <w:rsid w:val="00822CC4"/>
    <w:rsid w:val="0082373E"/>
    <w:rsid w:val="0082436F"/>
    <w:rsid w:val="008245E3"/>
    <w:rsid w:val="008245F0"/>
    <w:rsid w:val="00824AE5"/>
    <w:rsid w:val="00825FF2"/>
    <w:rsid w:val="00826259"/>
    <w:rsid w:val="008273F8"/>
    <w:rsid w:val="00830ECB"/>
    <w:rsid w:val="00831322"/>
    <w:rsid w:val="0083159E"/>
    <w:rsid w:val="00832DA1"/>
    <w:rsid w:val="00833282"/>
    <w:rsid w:val="00833FB2"/>
    <w:rsid w:val="00834AF1"/>
    <w:rsid w:val="00835DA3"/>
    <w:rsid w:val="0083680F"/>
    <w:rsid w:val="008370DB"/>
    <w:rsid w:val="008403EF"/>
    <w:rsid w:val="0084048A"/>
    <w:rsid w:val="008405C3"/>
    <w:rsid w:val="0084110E"/>
    <w:rsid w:val="00841197"/>
    <w:rsid w:val="00842226"/>
    <w:rsid w:val="00843096"/>
    <w:rsid w:val="00844032"/>
    <w:rsid w:val="00844B3E"/>
    <w:rsid w:val="00844F5A"/>
    <w:rsid w:val="008456D2"/>
    <w:rsid w:val="00846683"/>
    <w:rsid w:val="0084711F"/>
    <w:rsid w:val="0084767C"/>
    <w:rsid w:val="00850385"/>
    <w:rsid w:val="00850C1F"/>
    <w:rsid w:val="008513CF"/>
    <w:rsid w:val="008515B9"/>
    <w:rsid w:val="00851A4C"/>
    <w:rsid w:val="008523E5"/>
    <w:rsid w:val="00853D0E"/>
    <w:rsid w:val="00853F0D"/>
    <w:rsid w:val="00854029"/>
    <w:rsid w:val="00854D0C"/>
    <w:rsid w:val="00854E15"/>
    <w:rsid w:val="00855F3D"/>
    <w:rsid w:val="00856A69"/>
    <w:rsid w:val="008602B9"/>
    <w:rsid w:val="00861541"/>
    <w:rsid w:val="00861CE7"/>
    <w:rsid w:val="008620AF"/>
    <w:rsid w:val="00863C67"/>
    <w:rsid w:val="00864DFB"/>
    <w:rsid w:val="00865333"/>
    <w:rsid w:val="008655ED"/>
    <w:rsid w:val="008658D8"/>
    <w:rsid w:val="00865B11"/>
    <w:rsid w:val="00871109"/>
    <w:rsid w:val="0087168E"/>
    <w:rsid w:val="00871AEB"/>
    <w:rsid w:val="0087428D"/>
    <w:rsid w:val="00874B56"/>
    <w:rsid w:val="00875E97"/>
    <w:rsid w:val="008762AB"/>
    <w:rsid w:val="00877E85"/>
    <w:rsid w:val="008814DB"/>
    <w:rsid w:val="00881710"/>
    <w:rsid w:val="008825CB"/>
    <w:rsid w:val="00882923"/>
    <w:rsid w:val="00884010"/>
    <w:rsid w:val="0088419C"/>
    <w:rsid w:val="008848ED"/>
    <w:rsid w:val="00885F9A"/>
    <w:rsid w:val="008863E8"/>
    <w:rsid w:val="00886F6F"/>
    <w:rsid w:val="008879C6"/>
    <w:rsid w:val="00890B9B"/>
    <w:rsid w:val="00892019"/>
    <w:rsid w:val="00892E82"/>
    <w:rsid w:val="00893148"/>
    <w:rsid w:val="008937F7"/>
    <w:rsid w:val="00894361"/>
    <w:rsid w:val="008943A5"/>
    <w:rsid w:val="0089462F"/>
    <w:rsid w:val="00895C3D"/>
    <w:rsid w:val="00896178"/>
    <w:rsid w:val="00897A95"/>
    <w:rsid w:val="00897E6B"/>
    <w:rsid w:val="008A0AB3"/>
    <w:rsid w:val="008A128A"/>
    <w:rsid w:val="008A1483"/>
    <w:rsid w:val="008A1B07"/>
    <w:rsid w:val="008A3C8B"/>
    <w:rsid w:val="008A46E2"/>
    <w:rsid w:val="008A5AE5"/>
    <w:rsid w:val="008A5CBD"/>
    <w:rsid w:val="008A6944"/>
    <w:rsid w:val="008A6A08"/>
    <w:rsid w:val="008A7325"/>
    <w:rsid w:val="008A7A84"/>
    <w:rsid w:val="008A7D25"/>
    <w:rsid w:val="008B018E"/>
    <w:rsid w:val="008B0B41"/>
    <w:rsid w:val="008B2738"/>
    <w:rsid w:val="008B2F92"/>
    <w:rsid w:val="008B458D"/>
    <w:rsid w:val="008B55D2"/>
    <w:rsid w:val="008B5E4D"/>
    <w:rsid w:val="008B6CD1"/>
    <w:rsid w:val="008B72D8"/>
    <w:rsid w:val="008C06D0"/>
    <w:rsid w:val="008C1BBC"/>
    <w:rsid w:val="008C38B4"/>
    <w:rsid w:val="008C3A75"/>
    <w:rsid w:val="008C6789"/>
    <w:rsid w:val="008D203E"/>
    <w:rsid w:val="008D31C6"/>
    <w:rsid w:val="008D3799"/>
    <w:rsid w:val="008D58CF"/>
    <w:rsid w:val="008D5E3C"/>
    <w:rsid w:val="008D6259"/>
    <w:rsid w:val="008D650D"/>
    <w:rsid w:val="008D798A"/>
    <w:rsid w:val="008D7AEE"/>
    <w:rsid w:val="008D7DD9"/>
    <w:rsid w:val="008E091A"/>
    <w:rsid w:val="008E108E"/>
    <w:rsid w:val="008E21B6"/>
    <w:rsid w:val="008E5163"/>
    <w:rsid w:val="008E5ACA"/>
    <w:rsid w:val="008F0088"/>
    <w:rsid w:val="008F1B4F"/>
    <w:rsid w:val="008F4634"/>
    <w:rsid w:val="008F6DD5"/>
    <w:rsid w:val="008F6E16"/>
    <w:rsid w:val="008F7BE9"/>
    <w:rsid w:val="009016A7"/>
    <w:rsid w:val="00902D38"/>
    <w:rsid w:val="00902EF0"/>
    <w:rsid w:val="00903467"/>
    <w:rsid w:val="009043BC"/>
    <w:rsid w:val="00904AFC"/>
    <w:rsid w:val="009062A3"/>
    <w:rsid w:val="009073EE"/>
    <w:rsid w:val="00907D63"/>
    <w:rsid w:val="00907E8E"/>
    <w:rsid w:val="00910913"/>
    <w:rsid w:val="00911168"/>
    <w:rsid w:val="0091172D"/>
    <w:rsid w:val="0091195E"/>
    <w:rsid w:val="00912978"/>
    <w:rsid w:val="0091303C"/>
    <w:rsid w:val="0091331B"/>
    <w:rsid w:val="00913563"/>
    <w:rsid w:val="00913890"/>
    <w:rsid w:val="009150FA"/>
    <w:rsid w:val="00915A8A"/>
    <w:rsid w:val="00915BFA"/>
    <w:rsid w:val="00916696"/>
    <w:rsid w:val="00917489"/>
    <w:rsid w:val="00917FD9"/>
    <w:rsid w:val="009205AA"/>
    <w:rsid w:val="009210FF"/>
    <w:rsid w:val="00923322"/>
    <w:rsid w:val="00923444"/>
    <w:rsid w:val="009240AA"/>
    <w:rsid w:val="00924DFF"/>
    <w:rsid w:val="00931818"/>
    <w:rsid w:val="009328EF"/>
    <w:rsid w:val="0093298F"/>
    <w:rsid w:val="00932EBF"/>
    <w:rsid w:val="00933640"/>
    <w:rsid w:val="00936468"/>
    <w:rsid w:val="00940A76"/>
    <w:rsid w:val="00941FF8"/>
    <w:rsid w:val="00942237"/>
    <w:rsid w:val="00942742"/>
    <w:rsid w:val="00943889"/>
    <w:rsid w:val="00943B72"/>
    <w:rsid w:val="00943BA6"/>
    <w:rsid w:val="0094426E"/>
    <w:rsid w:val="00944459"/>
    <w:rsid w:val="00944DC2"/>
    <w:rsid w:val="009465AD"/>
    <w:rsid w:val="00946E4C"/>
    <w:rsid w:val="00946EB8"/>
    <w:rsid w:val="009511A0"/>
    <w:rsid w:val="00951AD0"/>
    <w:rsid w:val="00952981"/>
    <w:rsid w:val="0095331B"/>
    <w:rsid w:val="00953505"/>
    <w:rsid w:val="00953EEF"/>
    <w:rsid w:val="00954458"/>
    <w:rsid w:val="0095535F"/>
    <w:rsid w:val="00955681"/>
    <w:rsid w:val="00955E4F"/>
    <w:rsid w:val="0095674F"/>
    <w:rsid w:val="009604FA"/>
    <w:rsid w:val="00960923"/>
    <w:rsid w:val="009611A2"/>
    <w:rsid w:val="00961C60"/>
    <w:rsid w:val="00963889"/>
    <w:rsid w:val="009642BB"/>
    <w:rsid w:val="009650EF"/>
    <w:rsid w:val="00965356"/>
    <w:rsid w:val="00965C72"/>
    <w:rsid w:val="009663AB"/>
    <w:rsid w:val="00966C88"/>
    <w:rsid w:val="00970967"/>
    <w:rsid w:val="00970A90"/>
    <w:rsid w:val="00970E03"/>
    <w:rsid w:val="00973245"/>
    <w:rsid w:val="0097384B"/>
    <w:rsid w:val="0097387B"/>
    <w:rsid w:val="00973E83"/>
    <w:rsid w:val="00974BF8"/>
    <w:rsid w:val="00975C54"/>
    <w:rsid w:val="00976062"/>
    <w:rsid w:val="009760B4"/>
    <w:rsid w:val="009762E6"/>
    <w:rsid w:val="00976F2B"/>
    <w:rsid w:val="00976FC3"/>
    <w:rsid w:val="0098347D"/>
    <w:rsid w:val="0098377D"/>
    <w:rsid w:val="00983DD9"/>
    <w:rsid w:val="00983F6B"/>
    <w:rsid w:val="00984D79"/>
    <w:rsid w:val="00984DB0"/>
    <w:rsid w:val="009852BE"/>
    <w:rsid w:val="009859F1"/>
    <w:rsid w:val="00985F3A"/>
    <w:rsid w:val="009860D0"/>
    <w:rsid w:val="00986E04"/>
    <w:rsid w:val="00987A37"/>
    <w:rsid w:val="0099045F"/>
    <w:rsid w:val="00991AB8"/>
    <w:rsid w:val="00991C22"/>
    <w:rsid w:val="00992BDB"/>
    <w:rsid w:val="00993831"/>
    <w:rsid w:val="00994228"/>
    <w:rsid w:val="009949F2"/>
    <w:rsid w:val="0099525B"/>
    <w:rsid w:val="009957A4"/>
    <w:rsid w:val="00995B32"/>
    <w:rsid w:val="00995E95"/>
    <w:rsid w:val="00997D38"/>
    <w:rsid w:val="009A01E1"/>
    <w:rsid w:val="009A0A19"/>
    <w:rsid w:val="009A0F30"/>
    <w:rsid w:val="009A0FA3"/>
    <w:rsid w:val="009A14E9"/>
    <w:rsid w:val="009A1801"/>
    <w:rsid w:val="009A1A9D"/>
    <w:rsid w:val="009A1B65"/>
    <w:rsid w:val="009A2255"/>
    <w:rsid w:val="009A3686"/>
    <w:rsid w:val="009A3ADC"/>
    <w:rsid w:val="009A3DEE"/>
    <w:rsid w:val="009A76B2"/>
    <w:rsid w:val="009A7C96"/>
    <w:rsid w:val="009B05A2"/>
    <w:rsid w:val="009B124D"/>
    <w:rsid w:val="009B13B9"/>
    <w:rsid w:val="009B18C7"/>
    <w:rsid w:val="009B1A4D"/>
    <w:rsid w:val="009B3475"/>
    <w:rsid w:val="009B3B26"/>
    <w:rsid w:val="009B3B80"/>
    <w:rsid w:val="009B40BF"/>
    <w:rsid w:val="009B4485"/>
    <w:rsid w:val="009B4658"/>
    <w:rsid w:val="009B5260"/>
    <w:rsid w:val="009B64FC"/>
    <w:rsid w:val="009B70FB"/>
    <w:rsid w:val="009B742A"/>
    <w:rsid w:val="009B77AD"/>
    <w:rsid w:val="009B7B83"/>
    <w:rsid w:val="009C0830"/>
    <w:rsid w:val="009C19EB"/>
    <w:rsid w:val="009C26A7"/>
    <w:rsid w:val="009C27AF"/>
    <w:rsid w:val="009C2FB3"/>
    <w:rsid w:val="009C3479"/>
    <w:rsid w:val="009C457D"/>
    <w:rsid w:val="009C4773"/>
    <w:rsid w:val="009C4FDA"/>
    <w:rsid w:val="009C5170"/>
    <w:rsid w:val="009C5645"/>
    <w:rsid w:val="009C6282"/>
    <w:rsid w:val="009C7121"/>
    <w:rsid w:val="009C7BBA"/>
    <w:rsid w:val="009D2B36"/>
    <w:rsid w:val="009D2F9D"/>
    <w:rsid w:val="009D30AA"/>
    <w:rsid w:val="009D4C24"/>
    <w:rsid w:val="009D4E0B"/>
    <w:rsid w:val="009D62BD"/>
    <w:rsid w:val="009D706A"/>
    <w:rsid w:val="009E0419"/>
    <w:rsid w:val="009E05A6"/>
    <w:rsid w:val="009E07BD"/>
    <w:rsid w:val="009E2086"/>
    <w:rsid w:val="009E2408"/>
    <w:rsid w:val="009E25F8"/>
    <w:rsid w:val="009E2FD3"/>
    <w:rsid w:val="009E30AB"/>
    <w:rsid w:val="009E3150"/>
    <w:rsid w:val="009E360A"/>
    <w:rsid w:val="009E36AF"/>
    <w:rsid w:val="009E456A"/>
    <w:rsid w:val="009E6257"/>
    <w:rsid w:val="009E685B"/>
    <w:rsid w:val="009E755B"/>
    <w:rsid w:val="009F307E"/>
    <w:rsid w:val="009F37BE"/>
    <w:rsid w:val="009F3E1E"/>
    <w:rsid w:val="009F452D"/>
    <w:rsid w:val="009F470A"/>
    <w:rsid w:val="009F5947"/>
    <w:rsid w:val="009F5D36"/>
    <w:rsid w:val="009F6705"/>
    <w:rsid w:val="009F6958"/>
    <w:rsid w:val="009F6A43"/>
    <w:rsid w:val="009F7799"/>
    <w:rsid w:val="009F7991"/>
    <w:rsid w:val="00A04383"/>
    <w:rsid w:val="00A06222"/>
    <w:rsid w:val="00A07AA4"/>
    <w:rsid w:val="00A07AD6"/>
    <w:rsid w:val="00A132DB"/>
    <w:rsid w:val="00A13390"/>
    <w:rsid w:val="00A133D2"/>
    <w:rsid w:val="00A13E37"/>
    <w:rsid w:val="00A15403"/>
    <w:rsid w:val="00A156AB"/>
    <w:rsid w:val="00A15AE7"/>
    <w:rsid w:val="00A15C3F"/>
    <w:rsid w:val="00A16C68"/>
    <w:rsid w:val="00A17F45"/>
    <w:rsid w:val="00A22021"/>
    <w:rsid w:val="00A22386"/>
    <w:rsid w:val="00A23729"/>
    <w:rsid w:val="00A2395C"/>
    <w:rsid w:val="00A239B0"/>
    <w:rsid w:val="00A2644B"/>
    <w:rsid w:val="00A26BFD"/>
    <w:rsid w:val="00A30F2C"/>
    <w:rsid w:val="00A31418"/>
    <w:rsid w:val="00A31836"/>
    <w:rsid w:val="00A31D8B"/>
    <w:rsid w:val="00A32CC1"/>
    <w:rsid w:val="00A3371F"/>
    <w:rsid w:val="00A35790"/>
    <w:rsid w:val="00A3590A"/>
    <w:rsid w:val="00A35FF6"/>
    <w:rsid w:val="00A3646D"/>
    <w:rsid w:val="00A367FF"/>
    <w:rsid w:val="00A37B24"/>
    <w:rsid w:val="00A42F22"/>
    <w:rsid w:val="00A43327"/>
    <w:rsid w:val="00A437DD"/>
    <w:rsid w:val="00A43AFE"/>
    <w:rsid w:val="00A4427F"/>
    <w:rsid w:val="00A447C0"/>
    <w:rsid w:val="00A44940"/>
    <w:rsid w:val="00A44DEF"/>
    <w:rsid w:val="00A457CF"/>
    <w:rsid w:val="00A469AA"/>
    <w:rsid w:val="00A470F3"/>
    <w:rsid w:val="00A5055D"/>
    <w:rsid w:val="00A51B04"/>
    <w:rsid w:val="00A51FB5"/>
    <w:rsid w:val="00A52FF1"/>
    <w:rsid w:val="00A53543"/>
    <w:rsid w:val="00A568C1"/>
    <w:rsid w:val="00A56FE2"/>
    <w:rsid w:val="00A570B8"/>
    <w:rsid w:val="00A57922"/>
    <w:rsid w:val="00A604A6"/>
    <w:rsid w:val="00A61BB1"/>
    <w:rsid w:val="00A625E6"/>
    <w:rsid w:val="00A62CA3"/>
    <w:rsid w:val="00A652B2"/>
    <w:rsid w:val="00A66D6B"/>
    <w:rsid w:val="00A67371"/>
    <w:rsid w:val="00A67512"/>
    <w:rsid w:val="00A67567"/>
    <w:rsid w:val="00A70628"/>
    <w:rsid w:val="00A70EC2"/>
    <w:rsid w:val="00A719B3"/>
    <w:rsid w:val="00A720C3"/>
    <w:rsid w:val="00A7273C"/>
    <w:rsid w:val="00A728BA"/>
    <w:rsid w:val="00A74130"/>
    <w:rsid w:val="00A7432D"/>
    <w:rsid w:val="00A74755"/>
    <w:rsid w:val="00A755E7"/>
    <w:rsid w:val="00A75C95"/>
    <w:rsid w:val="00A76616"/>
    <w:rsid w:val="00A769DB"/>
    <w:rsid w:val="00A7700D"/>
    <w:rsid w:val="00A77196"/>
    <w:rsid w:val="00A7773C"/>
    <w:rsid w:val="00A77975"/>
    <w:rsid w:val="00A81108"/>
    <w:rsid w:val="00A825AB"/>
    <w:rsid w:val="00A83348"/>
    <w:rsid w:val="00A83AA8"/>
    <w:rsid w:val="00A84FE4"/>
    <w:rsid w:val="00A852E6"/>
    <w:rsid w:val="00A865E3"/>
    <w:rsid w:val="00A876AE"/>
    <w:rsid w:val="00A904D9"/>
    <w:rsid w:val="00A90F63"/>
    <w:rsid w:val="00A90FEA"/>
    <w:rsid w:val="00A91E63"/>
    <w:rsid w:val="00A93991"/>
    <w:rsid w:val="00A94794"/>
    <w:rsid w:val="00A976C2"/>
    <w:rsid w:val="00A97884"/>
    <w:rsid w:val="00A9792E"/>
    <w:rsid w:val="00AA00DF"/>
    <w:rsid w:val="00AA01B9"/>
    <w:rsid w:val="00AA06D9"/>
    <w:rsid w:val="00AA0D79"/>
    <w:rsid w:val="00AA12BA"/>
    <w:rsid w:val="00AA14A9"/>
    <w:rsid w:val="00AA1666"/>
    <w:rsid w:val="00AA250A"/>
    <w:rsid w:val="00AA2E7C"/>
    <w:rsid w:val="00AA2EFC"/>
    <w:rsid w:val="00AA3E2D"/>
    <w:rsid w:val="00AA4064"/>
    <w:rsid w:val="00AA46C5"/>
    <w:rsid w:val="00AA4B4D"/>
    <w:rsid w:val="00AA68E9"/>
    <w:rsid w:val="00AA6F15"/>
    <w:rsid w:val="00AA74DC"/>
    <w:rsid w:val="00AA7B6B"/>
    <w:rsid w:val="00AA7BCD"/>
    <w:rsid w:val="00AB0419"/>
    <w:rsid w:val="00AB0A59"/>
    <w:rsid w:val="00AB2476"/>
    <w:rsid w:val="00AB3073"/>
    <w:rsid w:val="00AB31B7"/>
    <w:rsid w:val="00AB6BEC"/>
    <w:rsid w:val="00AB6C6D"/>
    <w:rsid w:val="00AB7C92"/>
    <w:rsid w:val="00AB7DAD"/>
    <w:rsid w:val="00AB7E22"/>
    <w:rsid w:val="00AC054B"/>
    <w:rsid w:val="00AC09C1"/>
    <w:rsid w:val="00AC0AEE"/>
    <w:rsid w:val="00AC180B"/>
    <w:rsid w:val="00AC2D01"/>
    <w:rsid w:val="00AC4A76"/>
    <w:rsid w:val="00AC6523"/>
    <w:rsid w:val="00AC7203"/>
    <w:rsid w:val="00AC724A"/>
    <w:rsid w:val="00AC7A20"/>
    <w:rsid w:val="00AD03FA"/>
    <w:rsid w:val="00AD0689"/>
    <w:rsid w:val="00AD1641"/>
    <w:rsid w:val="00AD19C2"/>
    <w:rsid w:val="00AD1A4F"/>
    <w:rsid w:val="00AD1D73"/>
    <w:rsid w:val="00AD21A2"/>
    <w:rsid w:val="00AD2486"/>
    <w:rsid w:val="00AD2A87"/>
    <w:rsid w:val="00AD3D2A"/>
    <w:rsid w:val="00AD4538"/>
    <w:rsid w:val="00AD4675"/>
    <w:rsid w:val="00AD56E3"/>
    <w:rsid w:val="00AD58A8"/>
    <w:rsid w:val="00AD602E"/>
    <w:rsid w:val="00AD746F"/>
    <w:rsid w:val="00AD7AB1"/>
    <w:rsid w:val="00AD7ECF"/>
    <w:rsid w:val="00AE1A90"/>
    <w:rsid w:val="00AE1B90"/>
    <w:rsid w:val="00AE2029"/>
    <w:rsid w:val="00AE2F5E"/>
    <w:rsid w:val="00AE36FC"/>
    <w:rsid w:val="00AE4AFF"/>
    <w:rsid w:val="00AE5F90"/>
    <w:rsid w:val="00AE6D71"/>
    <w:rsid w:val="00AE6DB7"/>
    <w:rsid w:val="00AF058F"/>
    <w:rsid w:val="00AF14C1"/>
    <w:rsid w:val="00AF1B2A"/>
    <w:rsid w:val="00AF1E23"/>
    <w:rsid w:val="00AF38E5"/>
    <w:rsid w:val="00AF39F1"/>
    <w:rsid w:val="00AF46E8"/>
    <w:rsid w:val="00AF68DE"/>
    <w:rsid w:val="00B0026F"/>
    <w:rsid w:val="00B01193"/>
    <w:rsid w:val="00B02426"/>
    <w:rsid w:val="00B024F5"/>
    <w:rsid w:val="00B035B4"/>
    <w:rsid w:val="00B03A7F"/>
    <w:rsid w:val="00B03C04"/>
    <w:rsid w:val="00B0464F"/>
    <w:rsid w:val="00B05C2F"/>
    <w:rsid w:val="00B05F4F"/>
    <w:rsid w:val="00B06636"/>
    <w:rsid w:val="00B07391"/>
    <w:rsid w:val="00B07C1F"/>
    <w:rsid w:val="00B109F4"/>
    <w:rsid w:val="00B10AE1"/>
    <w:rsid w:val="00B1397C"/>
    <w:rsid w:val="00B13A95"/>
    <w:rsid w:val="00B15941"/>
    <w:rsid w:val="00B15F26"/>
    <w:rsid w:val="00B15F2F"/>
    <w:rsid w:val="00B17D13"/>
    <w:rsid w:val="00B17DCA"/>
    <w:rsid w:val="00B207D8"/>
    <w:rsid w:val="00B20D3F"/>
    <w:rsid w:val="00B21A28"/>
    <w:rsid w:val="00B2295B"/>
    <w:rsid w:val="00B23A3B"/>
    <w:rsid w:val="00B25521"/>
    <w:rsid w:val="00B26122"/>
    <w:rsid w:val="00B264C7"/>
    <w:rsid w:val="00B26895"/>
    <w:rsid w:val="00B27A7A"/>
    <w:rsid w:val="00B30FD8"/>
    <w:rsid w:val="00B3198A"/>
    <w:rsid w:val="00B321D5"/>
    <w:rsid w:val="00B32C8A"/>
    <w:rsid w:val="00B32D40"/>
    <w:rsid w:val="00B32F47"/>
    <w:rsid w:val="00B3353F"/>
    <w:rsid w:val="00B33689"/>
    <w:rsid w:val="00B33B42"/>
    <w:rsid w:val="00B33DA7"/>
    <w:rsid w:val="00B33F25"/>
    <w:rsid w:val="00B3509E"/>
    <w:rsid w:val="00B3667A"/>
    <w:rsid w:val="00B37E5C"/>
    <w:rsid w:val="00B37E9D"/>
    <w:rsid w:val="00B42089"/>
    <w:rsid w:val="00B42A22"/>
    <w:rsid w:val="00B42C08"/>
    <w:rsid w:val="00B42F4F"/>
    <w:rsid w:val="00B43280"/>
    <w:rsid w:val="00B4358C"/>
    <w:rsid w:val="00B43A7B"/>
    <w:rsid w:val="00B45E57"/>
    <w:rsid w:val="00B462E2"/>
    <w:rsid w:val="00B4664C"/>
    <w:rsid w:val="00B468B1"/>
    <w:rsid w:val="00B47BCC"/>
    <w:rsid w:val="00B505AD"/>
    <w:rsid w:val="00B52854"/>
    <w:rsid w:val="00B52C5B"/>
    <w:rsid w:val="00B53174"/>
    <w:rsid w:val="00B53904"/>
    <w:rsid w:val="00B544BD"/>
    <w:rsid w:val="00B544FE"/>
    <w:rsid w:val="00B54ECA"/>
    <w:rsid w:val="00B55607"/>
    <w:rsid w:val="00B56432"/>
    <w:rsid w:val="00B57247"/>
    <w:rsid w:val="00B577E3"/>
    <w:rsid w:val="00B60BA2"/>
    <w:rsid w:val="00B650E8"/>
    <w:rsid w:val="00B6517A"/>
    <w:rsid w:val="00B65A31"/>
    <w:rsid w:val="00B65EEA"/>
    <w:rsid w:val="00B66E0B"/>
    <w:rsid w:val="00B674BE"/>
    <w:rsid w:val="00B70CDE"/>
    <w:rsid w:val="00B72294"/>
    <w:rsid w:val="00B74507"/>
    <w:rsid w:val="00B748FA"/>
    <w:rsid w:val="00B75738"/>
    <w:rsid w:val="00B76712"/>
    <w:rsid w:val="00B76ADA"/>
    <w:rsid w:val="00B7770E"/>
    <w:rsid w:val="00B77D76"/>
    <w:rsid w:val="00B802E5"/>
    <w:rsid w:val="00B80FD4"/>
    <w:rsid w:val="00B810A5"/>
    <w:rsid w:val="00B81678"/>
    <w:rsid w:val="00B823AB"/>
    <w:rsid w:val="00B82A95"/>
    <w:rsid w:val="00B8422F"/>
    <w:rsid w:val="00B852A4"/>
    <w:rsid w:val="00B85401"/>
    <w:rsid w:val="00B85A86"/>
    <w:rsid w:val="00B85E2B"/>
    <w:rsid w:val="00B873C3"/>
    <w:rsid w:val="00B87413"/>
    <w:rsid w:val="00B91F90"/>
    <w:rsid w:val="00B92D82"/>
    <w:rsid w:val="00B943CF"/>
    <w:rsid w:val="00B94A77"/>
    <w:rsid w:val="00B9512B"/>
    <w:rsid w:val="00B95447"/>
    <w:rsid w:val="00B96987"/>
    <w:rsid w:val="00B96D0B"/>
    <w:rsid w:val="00B96F3A"/>
    <w:rsid w:val="00B97EFE"/>
    <w:rsid w:val="00BA010F"/>
    <w:rsid w:val="00BA0810"/>
    <w:rsid w:val="00BA1650"/>
    <w:rsid w:val="00BA20AF"/>
    <w:rsid w:val="00BA3CFF"/>
    <w:rsid w:val="00BA3F85"/>
    <w:rsid w:val="00BA4D4D"/>
    <w:rsid w:val="00BA506C"/>
    <w:rsid w:val="00BB098F"/>
    <w:rsid w:val="00BB1378"/>
    <w:rsid w:val="00BB15C2"/>
    <w:rsid w:val="00BB2E9B"/>
    <w:rsid w:val="00BB2F26"/>
    <w:rsid w:val="00BB3070"/>
    <w:rsid w:val="00BB4D8A"/>
    <w:rsid w:val="00BB50C4"/>
    <w:rsid w:val="00BB55C4"/>
    <w:rsid w:val="00BB64F8"/>
    <w:rsid w:val="00BB712E"/>
    <w:rsid w:val="00BB73CF"/>
    <w:rsid w:val="00BB785B"/>
    <w:rsid w:val="00BC0283"/>
    <w:rsid w:val="00BC0868"/>
    <w:rsid w:val="00BC1115"/>
    <w:rsid w:val="00BC1243"/>
    <w:rsid w:val="00BC1831"/>
    <w:rsid w:val="00BC1B90"/>
    <w:rsid w:val="00BC1CFE"/>
    <w:rsid w:val="00BC1F7A"/>
    <w:rsid w:val="00BC284B"/>
    <w:rsid w:val="00BC3FFA"/>
    <w:rsid w:val="00BC40A6"/>
    <w:rsid w:val="00BC4AC0"/>
    <w:rsid w:val="00BC53FC"/>
    <w:rsid w:val="00BC5D51"/>
    <w:rsid w:val="00BC5F8D"/>
    <w:rsid w:val="00BC6189"/>
    <w:rsid w:val="00BC76FB"/>
    <w:rsid w:val="00BD070C"/>
    <w:rsid w:val="00BD0EBC"/>
    <w:rsid w:val="00BD1096"/>
    <w:rsid w:val="00BD111E"/>
    <w:rsid w:val="00BD17D0"/>
    <w:rsid w:val="00BD1995"/>
    <w:rsid w:val="00BD374A"/>
    <w:rsid w:val="00BD5307"/>
    <w:rsid w:val="00BE2039"/>
    <w:rsid w:val="00BE2076"/>
    <w:rsid w:val="00BE2536"/>
    <w:rsid w:val="00BE2B51"/>
    <w:rsid w:val="00BE3F97"/>
    <w:rsid w:val="00BE522A"/>
    <w:rsid w:val="00BE5F4C"/>
    <w:rsid w:val="00BE6346"/>
    <w:rsid w:val="00BE65A3"/>
    <w:rsid w:val="00BE6C8A"/>
    <w:rsid w:val="00BE78C5"/>
    <w:rsid w:val="00BF0F9A"/>
    <w:rsid w:val="00BF12F2"/>
    <w:rsid w:val="00BF237C"/>
    <w:rsid w:val="00BF2821"/>
    <w:rsid w:val="00BF297C"/>
    <w:rsid w:val="00BF391C"/>
    <w:rsid w:val="00BF396B"/>
    <w:rsid w:val="00BF3BE6"/>
    <w:rsid w:val="00BF4FB2"/>
    <w:rsid w:val="00BF509A"/>
    <w:rsid w:val="00BF5274"/>
    <w:rsid w:val="00BF58C0"/>
    <w:rsid w:val="00BF71E3"/>
    <w:rsid w:val="00BF74E1"/>
    <w:rsid w:val="00BF77FC"/>
    <w:rsid w:val="00C00968"/>
    <w:rsid w:val="00C013AF"/>
    <w:rsid w:val="00C01642"/>
    <w:rsid w:val="00C01F1C"/>
    <w:rsid w:val="00C03DFF"/>
    <w:rsid w:val="00C05362"/>
    <w:rsid w:val="00C06017"/>
    <w:rsid w:val="00C06500"/>
    <w:rsid w:val="00C103EB"/>
    <w:rsid w:val="00C10505"/>
    <w:rsid w:val="00C10B9E"/>
    <w:rsid w:val="00C1126F"/>
    <w:rsid w:val="00C114D2"/>
    <w:rsid w:val="00C116C0"/>
    <w:rsid w:val="00C12AAD"/>
    <w:rsid w:val="00C13F5B"/>
    <w:rsid w:val="00C14519"/>
    <w:rsid w:val="00C14E14"/>
    <w:rsid w:val="00C159A6"/>
    <w:rsid w:val="00C164AB"/>
    <w:rsid w:val="00C17F04"/>
    <w:rsid w:val="00C219C9"/>
    <w:rsid w:val="00C21A22"/>
    <w:rsid w:val="00C220E5"/>
    <w:rsid w:val="00C24AEC"/>
    <w:rsid w:val="00C25196"/>
    <w:rsid w:val="00C253DC"/>
    <w:rsid w:val="00C25695"/>
    <w:rsid w:val="00C26DDF"/>
    <w:rsid w:val="00C303CA"/>
    <w:rsid w:val="00C305D0"/>
    <w:rsid w:val="00C3112E"/>
    <w:rsid w:val="00C321B2"/>
    <w:rsid w:val="00C33190"/>
    <w:rsid w:val="00C3395A"/>
    <w:rsid w:val="00C340E2"/>
    <w:rsid w:val="00C34769"/>
    <w:rsid w:val="00C35597"/>
    <w:rsid w:val="00C3599E"/>
    <w:rsid w:val="00C360E1"/>
    <w:rsid w:val="00C36834"/>
    <w:rsid w:val="00C403DD"/>
    <w:rsid w:val="00C413DA"/>
    <w:rsid w:val="00C4151D"/>
    <w:rsid w:val="00C42C6A"/>
    <w:rsid w:val="00C4387E"/>
    <w:rsid w:val="00C43A34"/>
    <w:rsid w:val="00C43D78"/>
    <w:rsid w:val="00C43E9B"/>
    <w:rsid w:val="00C447BE"/>
    <w:rsid w:val="00C4551B"/>
    <w:rsid w:val="00C45686"/>
    <w:rsid w:val="00C45960"/>
    <w:rsid w:val="00C45E43"/>
    <w:rsid w:val="00C50E48"/>
    <w:rsid w:val="00C51373"/>
    <w:rsid w:val="00C514E2"/>
    <w:rsid w:val="00C51B7E"/>
    <w:rsid w:val="00C51FAA"/>
    <w:rsid w:val="00C52E83"/>
    <w:rsid w:val="00C54571"/>
    <w:rsid w:val="00C5480C"/>
    <w:rsid w:val="00C56848"/>
    <w:rsid w:val="00C56F4F"/>
    <w:rsid w:val="00C5787D"/>
    <w:rsid w:val="00C5795E"/>
    <w:rsid w:val="00C57B8B"/>
    <w:rsid w:val="00C609F6"/>
    <w:rsid w:val="00C61D20"/>
    <w:rsid w:val="00C63322"/>
    <w:rsid w:val="00C63607"/>
    <w:rsid w:val="00C64037"/>
    <w:rsid w:val="00C64545"/>
    <w:rsid w:val="00C67562"/>
    <w:rsid w:val="00C679C4"/>
    <w:rsid w:val="00C7122F"/>
    <w:rsid w:val="00C71690"/>
    <w:rsid w:val="00C71CB9"/>
    <w:rsid w:val="00C71E0C"/>
    <w:rsid w:val="00C71F9E"/>
    <w:rsid w:val="00C727DC"/>
    <w:rsid w:val="00C7282C"/>
    <w:rsid w:val="00C73BE0"/>
    <w:rsid w:val="00C75F9A"/>
    <w:rsid w:val="00C76D92"/>
    <w:rsid w:val="00C77877"/>
    <w:rsid w:val="00C800A5"/>
    <w:rsid w:val="00C8068E"/>
    <w:rsid w:val="00C8260E"/>
    <w:rsid w:val="00C832C8"/>
    <w:rsid w:val="00C8403C"/>
    <w:rsid w:val="00C85666"/>
    <w:rsid w:val="00C85CE3"/>
    <w:rsid w:val="00C8613E"/>
    <w:rsid w:val="00C86E74"/>
    <w:rsid w:val="00C87422"/>
    <w:rsid w:val="00C87EDA"/>
    <w:rsid w:val="00C90863"/>
    <w:rsid w:val="00C91F0C"/>
    <w:rsid w:val="00C92803"/>
    <w:rsid w:val="00C9586A"/>
    <w:rsid w:val="00C9727C"/>
    <w:rsid w:val="00C978DA"/>
    <w:rsid w:val="00CA10CB"/>
    <w:rsid w:val="00CA1409"/>
    <w:rsid w:val="00CA163E"/>
    <w:rsid w:val="00CA1D4C"/>
    <w:rsid w:val="00CA273E"/>
    <w:rsid w:val="00CA3959"/>
    <w:rsid w:val="00CA3CB9"/>
    <w:rsid w:val="00CA3EBE"/>
    <w:rsid w:val="00CA4887"/>
    <w:rsid w:val="00CA49BF"/>
    <w:rsid w:val="00CA50DD"/>
    <w:rsid w:val="00CA51F0"/>
    <w:rsid w:val="00CA5886"/>
    <w:rsid w:val="00CA62DE"/>
    <w:rsid w:val="00CA708B"/>
    <w:rsid w:val="00CA722B"/>
    <w:rsid w:val="00CA752F"/>
    <w:rsid w:val="00CA7BC7"/>
    <w:rsid w:val="00CA7BD5"/>
    <w:rsid w:val="00CB1089"/>
    <w:rsid w:val="00CB1E21"/>
    <w:rsid w:val="00CB2A0D"/>
    <w:rsid w:val="00CB31C5"/>
    <w:rsid w:val="00CB337A"/>
    <w:rsid w:val="00CB52FE"/>
    <w:rsid w:val="00CB5586"/>
    <w:rsid w:val="00CB719F"/>
    <w:rsid w:val="00CB7C8F"/>
    <w:rsid w:val="00CC0478"/>
    <w:rsid w:val="00CC04D4"/>
    <w:rsid w:val="00CC0A70"/>
    <w:rsid w:val="00CC0CA3"/>
    <w:rsid w:val="00CC0E51"/>
    <w:rsid w:val="00CC35F6"/>
    <w:rsid w:val="00CC361B"/>
    <w:rsid w:val="00CC3969"/>
    <w:rsid w:val="00CC49C8"/>
    <w:rsid w:val="00CC6290"/>
    <w:rsid w:val="00CC6793"/>
    <w:rsid w:val="00CD1DE3"/>
    <w:rsid w:val="00CD2BA5"/>
    <w:rsid w:val="00CD2E12"/>
    <w:rsid w:val="00CD2F36"/>
    <w:rsid w:val="00CD3550"/>
    <w:rsid w:val="00CD3FCA"/>
    <w:rsid w:val="00CD5844"/>
    <w:rsid w:val="00CD633F"/>
    <w:rsid w:val="00CD6753"/>
    <w:rsid w:val="00CD6DE2"/>
    <w:rsid w:val="00CD72DB"/>
    <w:rsid w:val="00CE085D"/>
    <w:rsid w:val="00CE11A4"/>
    <w:rsid w:val="00CE2C30"/>
    <w:rsid w:val="00CE2F01"/>
    <w:rsid w:val="00CE3371"/>
    <w:rsid w:val="00CE3654"/>
    <w:rsid w:val="00CE3B97"/>
    <w:rsid w:val="00CE5360"/>
    <w:rsid w:val="00CE5792"/>
    <w:rsid w:val="00CE5EEF"/>
    <w:rsid w:val="00CE65C5"/>
    <w:rsid w:val="00CE6E85"/>
    <w:rsid w:val="00CE7F56"/>
    <w:rsid w:val="00CF06B2"/>
    <w:rsid w:val="00CF0DA7"/>
    <w:rsid w:val="00CF155B"/>
    <w:rsid w:val="00CF2042"/>
    <w:rsid w:val="00CF2857"/>
    <w:rsid w:val="00CF311A"/>
    <w:rsid w:val="00CF376E"/>
    <w:rsid w:val="00CF50FB"/>
    <w:rsid w:val="00CF5DE5"/>
    <w:rsid w:val="00CF6935"/>
    <w:rsid w:val="00D01642"/>
    <w:rsid w:val="00D01D19"/>
    <w:rsid w:val="00D02A3D"/>
    <w:rsid w:val="00D02B1F"/>
    <w:rsid w:val="00D0347B"/>
    <w:rsid w:val="00D03D5C"/>
    <w:rsid w:val="00D043B2"/>
    <w:rsid w:val="00D04958"/>
    <w:rsid w:val="00D05339"/>
    <w:rsid w:val="00D05353"/>
    <w:rsid w:val="00D0701F"/>
    <w:rsid w:val="00D07A74"/>
    <w:rsid w:val="00D07F8F"/>
    <w:rsid w:val="00D103C3"/>
    <w:rsid w:val="00D10479"/>
    <w:rsid w:val="00D12457"/>
    <w:rsid w:val="00D12590"/>
    <w:rsid w:val="00D135B5"/>
    <w:rsid w:val="00D13ADB"/>
    <w:rsid w:val="00D14BDD"/>
    <w:rsid w:val="00D158A8"/>
    <w:rsid w:val="00D166DF"/>
    <w:rsid w:val="00D1686E"/>
    <w:rsid w:val="00D200CE"/>
    <w:rsid w:val="00D20FD1"/>
    <w:rsid w:val="00D21827"/>
    <w:rsid w:val="00D21D5A"/>
    <w:rsid w:val="00D21D6A"/>
    <w:rsid w:val="00D21EF5"/>
    <w:rsid w:val="00D22BD6"/>
    <w:rsid w:val="00D261A9"/>
    <w:rsid w:val="00D26692"/>
    <w:rsid w:val="00D277C3"/>
    <w:rsid w:val="00D27883"/>
    <w:rsid w:val="00D31347"/>
    <w:rsid w:val="00D31398"/>
    <w:rsid w:val="00D3178A"/>
    <w:rsid w:val="00D32080"/>
    <w:rsid w:val="00D3285F"/>
    <w:rsid w:val="00D329E7"/>
    <w:rsid w:val="00D344BF"/>
    <w:rsid w:val="00D35240"/>
    <w:rsid w:val="00D3531D"/>
    <w:rsid w:val="00D3650F"/>
    <w:rsid w:val="00D36735"/>
    <w:rsid w:val="00D36F06"/>
    <w:rsid w:val="00D37B14"/>
    <w:rsid w:val="00D40650"/>
    <w:rsid w:val="00D42074"/>
    <w:rsid w:val="00D4257D"/>
    <w:rsid w:val="00D43EB8"/>
    <w:rsid w:val="00D449BD"/>
    <w:rsid w:val="00D449C2"/>
    <w:rsid w:val="00D44ABC"/>
    <w:rsid w:val="00D44B25"/>
    <w:rsid w:val="00D44D77"/>
    <w:rsid w:val="00D51351"/>
    <w:rsid w:val="00D51B96"/>
    <w:rsid w:val="00D520BC"/>
    <w:rsid w:val="00D52E90"/>
    <w:rsid w:val="00D530D6"/>
    <w:rsid w:val="00D53F09"/>
    <w:rsid w:val="00D54293"/>
    <w:rsid w:val="00D54521"/>
    <w:rsid w:val="00D54F96"/>
    <w:rsid w:val="00D56D15"/>
    <w:rsid w:val="00D5779C"/>
    <w:rsid w:val="00D60531"/>
    <w:rsid w:val="00D60AAF"/>
    <w:rsid w:val="00D63A17"/>
    <w:rsid w:val="00D6417F"/>
    <w:rsid w:val="00D64968"/>
    <w:rsid w:val="00D65098"/>
    <w:rsid w:val="00D655C9"/>
    <w:rsid w:val="00D65CFF"/>
    <w:rsid w:val="00D66324"/>
    <w:rsid w:val="00D701DD"/>
    <w:rsid w:val="00D71667"/>
    <w:rsid w:val="00D74E4F"/>
    <w:rsid w:val="00D75405"/>
    <w:rsid w:val="00D77DC7"/>
    <w:rsid w:val="00D80073"/>
    <w:rsid w:val="00D80270"/>
    <w:rsid w:val="00D817B4"/>
    <w:rsid w:val="00D81C1D"/>
    <w:rsid w:val="00D81D2A"/>
    <w:rsid w:val="00D82203"/>
    <w:rsid w:val="00D83103"/>
    <w:rsid w:val="00D838B0"/>
    <w:rsid w:val="00D83DDC"/>
    <w:rsid w:val="00D84C10"/>
    <w:rsid w:val="00D85287"/>
    <w:rsid w:val="00D870CF"/>
    <w:rsid w:val="00D87DF5"/>
    <w:rsid w:val="00D902A8"/>
    <w:rsid w:val="00D912D8"/>
    <w:rsid w:val="00D9177D"/>
    <w:rsid w:val="00D91A12"/>
    <w:rsid w:val="00D91ACF"/>
    <w:rsid w:val="00D921CC"/>
    <w:rsid w:val="00D92912"/>
    <w:rsid w:val="00D929C8"/>
    <w:rsid w:val="00D93889"/>
    <w:rsid w:val="00D93D4A"/>
    <w:rsid w:val="00D94EBE"/>
    <w:rsid w:val="00D95E9E"/>
    <w:rsid w:val="00D95F3D"/>
    <w:rsid w:val="00D96BB8"/>
    <w:rsid w:val="00D97B68"/>
    <w:rsid w:val="00D97C8B"/>
    <w:rsid w:val="00DA0C01"/>
    <w:rsid w:val="00DA1042"/>
    <w:rsid w:val="00DA143E"/>
    <w:rsid w:val="00DA3E6A"/>
    <w:rsid w:val="00DA41AA"/>
    <w:rsid w:val="00DA46F2"/>
    <w:rsid w:val="00DA5286"/>
    <w:rsid w:val="00DA5930"/>
    <w:rsid w:val="00DA5D5D"/>
    <w:rsid w:val="00DA65C1"/>
    <w:rsid w:val="00DA6FDF"/>
    <w:rsid w:val="00DA7326"/>
    <w:rsid w:val="00DA74E1"/>
    <w:rsid w:val="00DB007F"/>
    <w:rsid w:val="00DB0850"/>
    <w:rsid w:val="00DB0A47"/>
    <w:rsid w:val="00DB0B17"/>
    <w:rsid w:val="00DB15B7"/>
    <w:rsid w:val="00DB348F"/>
    <w:rsid w:val="00DB3E18"/>
    <w:rsid w:val="00DB49FB"/>
    <w:rsid w:val="00DB4DB8"/>
    <w:rsid w:val="00DB6379"/>
    <w:rsid w:val="00DB63C4"/>
    <w:rsid w:val="00DC11D6"/>
    <w:rsid w:val="00DC19A4"/>
    <w:rsid w:val="00DC2144"/>
    <w:rsid w:val="00DC3186"/>
    <w:rsid w:val="00DC49C7"/>
    <w:rsid w:val="00DC5D69"/>
    <w:rsid w:val="00DC6569"/>
    <w:rsid w:val="00DC6F9F"/>
    <w:rsid w:val="00DC74F0"/>
    <w:rsid w:val="00DC7A32"/>
    <w:rsid w:val="00DC7E69"/>
    <w:rsid w:val="00DD033A"/>
    <w:rsid w:val="00DD0A48"/>
    <w:rsid w:val="00DD0D4A"/>
    <w:rsid w:val="00DD223B"/>
    <w:rsid w:val="00DD25DB"/>
    <w:rsid w:val="00DD2B56"/>
    <w:rsid w:val="00DD4605"/>
    <w:rsid w:val="00DD4E22"/>
    <w:rsid w:val="00DD5308"/>
    <w:rsid w:val="00DD56B9"/>
    <w:rsid w:val="00DD58C0"/>
    <w:rsid w:val="00DD6500"/>
    <w:rsid w:val="00DD6705"/>
    <w:rsid w:val="00DD6AD2"/>
    <w:rsid w:val="00DE0BDD"/>
    <w:rsid w:val="00DE1865"/>
    <w:rsid w:val="00DE2535"/>
    <w:rsid w:val="00DE317A"/>
    <w:rsid w:val="00DE3A38"/>
    <w:rsid w:val="00DE3B1B"/>
    <w:rsid w:val="00DE51A3"/>
    <w:rsid w:val="00DE5E8F"/>
    <w:rsid w:val="00DE62F2"/>
    <w:rsid w:val="00DE64AE"/>
    <w:rsid w:val="00DE6A91"/>
    <w:rsid w:val="00DE7350"/>
    <w:rsid w:val="00DE7484"/>
    <w:rsid w:val="00DE7A11"/>
    <w:rsid w:val="00DF0D14"/>
    <w:rsid w:val="00DF1746"/>
    <w:rsid w:val="00DF2BED"/>
    <w:rsid w:val="00DF3C1A"/>
    <w:rsid w:val="00DF44CE"/>
    <w:rsid w:val="00DF56C2"/>
    <w:rsid w:val="00DF5AA0"/>
    <w:rsid w:val="00DF6159"/>
    <w:rsid w:val="00DF71FB"/>
    <w:rsid w:val="00DF7CDF"/>
    <w:rsid w:val="00E000D6"/>
    <w:rsid w:val="00E001D1"/>
    <w:rsid w:val="00E020F8"/>
    <w:rsid w:val="00E02A30"/>
    <w:rsid w:val="00E060E5"/>
    <w:rsid w:val="00E0671B"/>
    <w:rsid w:val="00E0712A"/>
    <w:rsid w:val="00E07BF3"/>
    <w:rsid w:val="00E07FF7"/>
    <w:rsid w:val="00E10FEC"/>
    <w:rsid w:val="00E11BDA"/>
    <w:rsid w:val="00E12194"/>
    <w:rsid w:val="00E12286"/>
    <w:rsid w:val="00E127A9"/>
    <w:rsid w:val="00E12AA1"/>
    <w:rsid w:val="00E12D24"/>
    <w:rsid w:val="00E12EC4"/>
    <w:rsid w:val="00E13039"/>
    <w:rsid w:val="00E135EF"/>
    <w:rsid w:val="00E13E86"/>
    <w:rsid w:val="00E14772"/>
    <w:rsid w:val="00E14DB8"/>
    <w:rsid w:val="00E15125"/>
    <w:rsid w:val="00E1538F"/>
    <w:rsid w:val="00E16750"/>
    <w:rsid w:val="00E16BE3"/>
    <w:rsid w:val="00E174FA"/>
    <w:rsid w:val="00E175D7"/>
    <w:rsid w:val="00E17CF5"/>
    <w:rsid w:val="00E208E8"/>
    <w:rsid w:val="00E20F46"/>
    <w:rsid w:val="00E2183C"/>
    <w:rsid w:val="00E22C16"/>
    <w:rsid w:val="00E23CA9"/>
    <w:rsid w:val="00E243E5"/>
    <w:rsid w:val="00E247A1"/>
    <w:rsid w:val="00E24960"/>
    <w:rsid w:val="00E24CF7"/>
    <w:rsid w:val="00E24ED0"/>
    <w:rsid w:val="00E25910"/>
    <w:rsid w:val="00E26434"/>
    <w:rsid w:val="00E26FE2"/>
    <w:rsid w:val="00E26FF1"/>
    <w:rsid w:val="00E30500"/>
    <w:rsid w:val="00E31431"/>
    <w:rsid w:val="00E322A2"/>
    <w:rsid w:val="00E32600"/>
    <w:rsid w:val="00E32B5B"/>
    <w:rsid w:val="00E33395"/>
    <w:rsid w:val="00E33735"/>
    <w:rsid w:val="00E33DC7"/>
    <w:rsid w:val="00E34055"/>
    <w:rsid w:val="00E34C09"/>
    <w:rsid w:val="00E35C22"/>
    <w:rsid w:val="00E35EA9"/>
    <w:rsid w:val="00E361E8"/>
    <w:rsid w:val="00E3689C"/>
    <w:rsid w:val="00E36F06"/>
    <w:rsid w:val="00E37CCF"/>
    <w:rsid w:val="00E42157"/>
    <w:rsid w:val="00E42658"/>
    <w:rsid w:val="00E44752"/>
    <w:rsid w:val="00E45477"/>
    <w:rsid w:val="00E45894"/>
    <w:rsid w:val="00E4594F"/>
    <w:rsid w:val="00E46A9C"/>
    <w:rsid w:val="00E50C3F"/>
    <w:rsid w:val="00E5151A"/>
    <w:rsid w:val="00E533D6"/>
    <w:rsid w:val="00E535C2"/>
    <w:rsid w:val="00E53CDD"/>
    <w:rsid w:val="00E54AE6"/>
    <w:rsid w:val="00E54E60"/>
    <w:rsid w:val="00E5554B"/>
    <w:rsid w:val="00E563BC"/>
    <w:rsid w:val="00E563E7"/>
    <w:rsid w:val="00E56BAA"/>
    <w:rsid w:val="00E57767"/>
    <w:rsid w:val="00E609C0"/>
    <w:rsid w:val="00E6479D"/>
    <w:rsid w:val="00E64F5C"/>
    <w:rsid w:val="00E65BE8"/>
    <w:rsid w:val="00E65E37"/>
    <w:rsid w:val="00E665A4"/>
    <w:rsid w:val="00E66CC7"/>
    <w:rsid w:val="00E6747E"/>
    <w:rsid w:val="00E67A71"/>
    <w:rsid w:val="00E67C16"/>
    <w:rsid w:val="00E700B2"/>
    <w:rsid w:val="00E71234"/>
    <w:rsid w:val="00E71267"/>
    <w:rsid w:val="00E71CE7"/>
    <w:rsid w:val="00E723A5"/>
    <w:rsid w:val="00E75673"/>
    <w:rsid w:val="00E75F6B"/>
    <w:rsid w:val="00E77841"/>
    <w:rsid w:val="00E80181"/>
    <w:rsid w:val="00E80904"/>
    <w:rsid w:val="00E80914"/>
    <w:rsid w:val="00E82BFB"/>
    <w:rsid w:val="00E8305A"/>
    <w:rsid w:val="00E83C3D"/>
    <w:rsid w:val="00E841C9"/>
    <w:rsid w:val="00E84CA4"/>
    <w:rsid w:val="00E85159"/>
    <w:rsid w:val="00E866A8"/>
    <w:rsid w:val="00E8674E"/>
    <w:rsid w:val="00E86948"/>
    <w:rsid w:val="00E90554"/>
    <w:rsid w:val="00E911EE"/>
    <w:rsid w:val="00E93987"/>
    <w:rsid w:val="00E949B1"/>
    <w:rsid w:val="00E94A39"/>
    <w:rsid w:val="00E96000"/>
    <w:rsid w:val="00E96B56"/>
    <w:rsid w:val="00EA26D3"/>
    <w:rsid w:val="00EA335A"/>
    <w:rsid w:val="00EA413B"/>
    <w:rsid w:val="00EA418C"/>
    <w:rsid w:val="00EA4424"/>
    <w:rsid w:val="00EA4BFB"/>
    <w:rsid w:val="00EA4FA6"/>
    <w:rsid w:val="00EA54B1"/>
    <w:rsid w:val="00EA6D00"/>
    <w:rsid w:val="00EA7C59"/>
    <w:rsid w:val="00EB0E3A"/>
    <w:rsid w:val="00EB0EF2"/>
    <w:rsid w:val="00EB12E3"/>
    <w:rsid w:val="00EB27AD"/>
    <w:rsid w:val="00EB2B82"/>
    <w:rsid w:val="00EB4450"/>
    <w:rsid w:val="00EB4760"/>
    <w:rsid w:val="00EB4AD0"/>
    <w:rsid w:val="00EB4FC4"/>
    <w:rsid w:val="00EB50C4"/>
    <w:rsid w:val="00EB5375"/>
    <w:rsid w:val="00EB54C7"/>
    <w:rsid w:val="00EB6E6C"/>
    <w:rsid w:val="00EB7A9B"/>
    <w:rsid w:val="00EC056C"/>
    <w:rsid w:val="00EC09CE"/>
    <w:rsid w:val="00EC0A1D"/>
    <w:rsid w:val="00EC0C35"/>
    <w:rsid w:val="00EC226C"/>
    <w:rsid w:val="00EC3C77"/>
    <w:rsid w:val="00EC4BC7"/>
    <w:rsid w:val="00EC4C19"/>
    <w:rsid w:val="00EC64B3"/>
    <w:rsid w:val="00EC6947"/>
    <w:rsid w:val="00EC6D46"/>
    <w:rsid w:val="00ED097F"/>
    <w:rsid w:val="00ED104D"/>
    <w:rsid w:val="00ED10FF"/>
    <w:rsid w:val="00ED190B"/>
    <w:rsid w:val="00ED1C10"/>
    <w:rsid w:val="00ED3254"/>
    <w:rsid w:val="00ED3A0B"/>
    <w:rsid w:val="00ED42F9"/>
    <w:rsid w:val="00ED604A"/>
    <w:rsid w:val="00ED663A"/>
    <w:rsid w:val="00ED690C"/>
    <w:rsid w:val="00ED69E3"/>
    <w:rsid w:val="00ED6C43"/>
    <w:rsid w:val="00ED6C71"/>
    <w:rsid w:val="00ED6E60"/>
    <w:rsid w:val="00ED745D"/>
    <w:rsid w:val="00ED7591"/>
    <w:rsid w:val="00EE027B"/>
    <w:rsid w:val="00EE0290"/>
    <w:rsid w:val="00EE1644"/>
    <w:rsid w:val="00EE1C01"/>
    <w:rsid w:val="00EE2C03"/>
    <w:rsid w:val="00EE3522"/>
    <w:rsid w:val="00EE37F3"/>
    <w:rsid w:val="00EE4CBB"/>
    <w:rsid w:val="00EE502E"/>
    <w:rsid w:val="00EE54B3"/>
    <w:rsid w:val="00EE5A37"/>
    <w:rsid w:val="00EE5EF1"/>
    <w:rsid w:val="00EE60F7"/>
    <w:rsid w:val="00EE6924"/>
    <w:rsid w:val="00EE718D"/>
    <w:rsid w:val="00EE7B9C"/>
    <w:rsid w:val="00EF0A1A"/>
    <w:rsid w:val="00EF2180"/>
    <w:rsid w:val="00EF271C"/>
    <w:rsid w:val="00EF2EA6"/>
    <w:rsid w:val="00EF362A"/>
    <w:rsid w:val="00EF401D"/>
    <w:rsid w:val="00EF4F96"/>
    <w:rsid w:val="00EF5354"/>
    <w:rsid w:val="00EF6853"/>
    <w:rsid w:val="00EF7AEA"/>
    <w:rsid w:val="00EF7CC7"/>
    <w:rsid w:val="00F004BA"/>
    <w:rsid w:val="00F00A05"/>
    <w:rsid w:val="00F01AD8"/>
    <w:rsid w:val="00F01E37"/>
    <w:rsid w:val="00F03E08"/>
    <w:rsid w:val="00F03F01"/>
    <w:rsid w:val="00F04DAF"/>
    <w:rsid w:val="00F05989"/>
    <w:rsid w:val="00F05D3C"/>
    <w:rsid w:val="00F06A3A"/>
    <w:rsid w:val="00F07340"/>
    <w:rsid w:val="00F077C3"/>
    <w:rsid w:val="00F07BE3"/>
    <w:rsid w:val="00F10150"/>
    <w:rsid w:val="00F101A4"/>
    <w:rsid w:val="00F1143B"/>
    <w:rsid w:val="00F1307E"/>
    <w:rsid w:val="00F132A3"/>
    <w:rsid w:val="00F14AEA"/>
    <w:rsid w:val="00F15326"/>
    <w:rsid w:val="00F15654"/>
    <w:rsid w:val="00F1579F"/>
    <w:rsid w:val="00F16ACB"/>
    <w:rsid w:val="00F16B4F"/>
    <w:rsid w:val="00F17042"/>
    <w:rsid w:val="00F1768F"/>
    <w:rsid w:val="00F176DA"/>
    <w:rsid w:val="00F211D6"/>
    <w:rsid w:val="00F21696"/>
    <w:rsid w:val="00F21897"/>
    <w:rsid w:val="00F22244"/>
    <w:rsid w:val="00F222F1"/>
    <w:rsid w:val="00F2263E"/>
    <w:rsid w:val="00F22CAB"/>
    <w:rsid w:val="00F22E10"/>
    <w:rsid w:val="00F22EEC"/>
    <w:rsid w:val="00F246ED"/>
    <w:rsid w:val="00F24921"/>
    <w:rsid w:val="00F257D8"/>
    <w:rsid w:val="00F25AFC"/>
    <w:rsid w:val="00F25B8E"/>
    <w:rsid w:val="00F2614A"/>
    <w:rsid w:val="00F26490"/>
    <w:rsid w:val="00F26542"/>
    <w:rsid w:val="00F26827"/>
    <w:rsid w:val="00F3013E"/>
    <w:rsid w:val="00F304D2"/>
    <w:rsid w:val="00F3098D"/>
    <w:rsid w:val="00F318B0"/>
    <w:rsid w:val="00F322C2"/>
    <w:rsid w:val="00F32D8B"/>
    <w:rsid w:val="00F344EF"/>
    <w:rsid w:val="00F356B1"/>
    <w:rsid w:val="00F35FA6"/>
    <w:rsid w:val="00F3651E"/>
    <w:rsid w:val="00F36EC4"/>
    <w:rsid w:val="00F372E3"/>
    <w:rsid w:val="00F37E4C"/>
    <w:rsid w:val="00F417E3"/>
    <w:rsid w:val="00F4277E"/>
    <w:rsid w:val="00F4344E"/>
    <w:rsid w:val="00F44BCB"/>
    <w:rsid w:val="00F453BC"/>
    <w:rsid w:val="00F504C3"/>
    <w:rsid w:val="00F50C89"/>
    <w:rsid w:val="00F51B3B"/>
    <w:rsid w:val="00F51BA6"/>
    <w:rsid w:val="00F520BD"/>
    <w:rsid w:val="00F52C09"/>
    <w:rsid w:val="00F541A9"/>
    <w:rsid w:val="00F55E8E"/>
    <w:rsid w:val="00F55EEE"/>
    <w:rsid w:val="00F5663E"/>
    <w:rsid w:val="00F56A11"/>
    <w:rsid w:val="00F57327"/>
    <w:rsid w:val="00F57802"/>
    <w:rsid w:val="00F610CE"/>
    <w:rsid w:val="00F613F7"/>
    <w:rsid w:val="00F63DEC"/>
    <w:rsid w:val="00F6534B"/>
    <w:rsid w:val="00F65650"/>
    <w:rsid w:val="00F660A1"/>
    <w:rsid w:val="00F66706"/>
    <w:rsid w:val="00F6721D"/>
    <w:rsid w:val="00F704F3"/>
    <w:rsid w:val="00F731DE"/>
    <w:rsid w:val="00F73869"/>
    <w:rsid w:val="00F77749"/>
    <w:rsid w:val="00F805AE"/>
    <w:rsid w:val="00F81BD4"/>
    <w:rsid w:val="00F844CF"/>
    <w:rsid w:val="00F84A35"/>
    <w:rsid w:val="00F850B1"/>
    <w:rsid w:val="00F87208"/>
    <w:rsid w:val="00F872EC"/>
    <w:rsid w:val="00F90B5E"/>
    <w:rsid w:val="00F90BBD"/>
    <w:rsid w:val="00F92EDD"/>
    <w:rsid w:val="00F9375A"/>
    <w:rsid w:val="00F93B0A"/>
    <w:rsid w:val="00F93CF6"/>
    <w:rsid w:val="00F94895"/>
    <w:rsid w:val="00F948BF"/>
    <w:rsid w:val="00F94A99"/>
    <w:rsid w:val="00F95AAE"/>
    <w:rsid w:val="00F961C4"/>
    <w:rsid w:val="00F96285"/>
    <w:rsid w:val="00F9648B"/>
    <w:rsid w:val="00FA006E"/>
    <w:rsid w:val="00FA0CD5"/>
    <w:rsid w:val="00FA1981"/>
    <w:rsid w:val="00FA20BD"/>
    <w:rsid w:val="00FA47AA"/>
    <w:rsid w:val="00FA57ED"/>
    <w:rsid w:val="00FA6BE0"/>
    <w:rsid w:val="00FA7706"/>
    <w:rsid w:val="00FB03D3"/>
    <w:rsid w:val="00FB2AB7"/>
    <w:rsid w:val="00FB3D24"/>
    <w:rsid w:val="00FB445B"/>
    <w:rsid w:val="00FB4AC3"/>
    <w:rsid w:val="00FB6DF9"/>
    <w:rsid w:val="00FC1407"/>
    <w:rsid w:val="00FC196B"/>
    <w:rsid w:val="00FC1C89"/>
    <w:rsid w:val="00FC3621"/>
    <w:rsid w:val="00FC37DC"/>
    <w:rsid w:val="00FC5394"/>
    <w:rsid w:val="00FC6619"/>
    <w:rsid w:val="00FC6EEF"/>
    <w:rsid w:val="00FC6F81"/>
    <w:rsid w:val="00FC7563"/>
    <w:rsid w:val="00FC7DBF"/>
    <w:rsid w:val="00FD0367"/>
    <w:rsid w:val="00FD04E9"/>
    <w:rsid w:val="00FD0DDC"/>
    <w:rsid w:val="00FD381B"/>
    <w:rsid w:val="00FD3933"/>
    <w:rsid w:val="00FD45DE"/>
    <w:rsid w:val="00FD5037"/>
    <w:rsid w:val="00FD5123"/>
    <w:rsid w:val="00FD60E6"/>
    <w:rsid w:val="00FD64BB"/>
    <w:rsid w:val="00FD6C68"/>
    <w:rsid w:val="00FD6F11"/>
    <w:rsid w:val="00FD6F6C"/>
    <w:rsid w:val="00FE08D8"/>
    <w:rsid w:val="00FE1190"/>
    <w:rsid w:val="00FE132C"/>
    <w:rsid w:val="00FE28BF"/>
    <w:rsid w:val="00FE3AA5"/>
    <w:rsid w:val="00FE40CA"/>
    <w:rsid w:val="00FE4467"/>
    <w:rsid w:val="00FE4ADA"/>
    <w:rsid w:val="00FE52BC"/>
    <w:rsid w:val="00FE5F66"/>
    <w:rsid w:val="00FE601F"/>
    <w:rsid w:val="00FE62BD"/>
    <w:rsid w:val="00FE62D6"/>
    <w:rsid w:val="00FE7387"/>
    <w:rsid w:val="00FE78A2"/>
    <w:rsid w:val="00FF0258"/>
    <w:rsid w:val="00FF0DBB"/>
    <w:rsid w:val="00FF1504"/>
    <w:rsid w:val="00FF2292"/>
    <w:rsid w:val="00FF4BD3"/>
    <w:rsid w:val="00FF509E"/>
    <w:rsid w:val="00FF6E9E"/>
    <w:rsid w:val="00FF6F0D"/>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E01953"/>
  <w15:docId w15:val="{88C36590-CDD7-40E2-AF7A-57CB07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ableBullet2">
    <w:name w:val="Table Bullet 2"/>
    <w:basedOn w:val="TableBullet1"/>
    <w:qFormat/>
    <w:rsid w:val="00E42658"/>
    <w:pPr>
      <w:numPr>
        <w:numId w:val="7"/>
      </w:numPr>
      <w:ind w:left="374" w:hanging="187"/>
    </w:pPr>
  </w:style>
  <w:style w:type="paragraph" w:customStyle="1" w:styleId="MMBullet3">
    <w:name w:val="MM Bullet 3"/>
    <w:basedOn w:val="BodyText"/>
    <w:qFormat/>
    <w:rsid w:val="00E42658"/>
    <w:pPr>
      <w:numPr>
        <w:numId w:val="8"/>
      </w:numPr>
    </w:p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Bullet1Char">
    <w:name w:val="Bullet 1 Char"/>
    <w:basedOn w:val="DefaultParagraphFont"/>
    <w:link w:val="Bullet1"/>
    <w:locked/>
    <w:rsid w:val="00C5480C"/>
    <w:rPr>
      <w:rFonts w:ascii="Segoe UI Semilight" w:hAnsi="Segoe UI Semilight"/>
      <w:bCs/>
      <w:sz w:val="20"/>
    </w:rPr>
  </w:style>
  <w:style w:type="paragraph" w:styleId="BalloonText">
    <w:name w:val="Balloon Text"/>
    <w:basedOn w:val="Normal"/>
    <w:link w:val="BalloonTextChar"/>
    <w:uiPriority w:val="99"/>
    <w:semiHidden/>
    <w:unhideWhenUsed/>
    <w:rsid w:val="002D5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1171991593">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7243">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509905480">
      <w:bodyDiv w:val="1"/>
      <w:marLeft w:val="0"/>
      <w:marRight w:val="0"/>
      <w:marTop w:val="0"/>
      <w:marBottom w:val="0"/>
      <w:divBdr>
        <w:top w:val="none" w:sz="0" w:space="0" w:color="auto"/>
        <w:left w:val="none" w:sz="0" w:space="0" w:color="auto"/>
        <w:bottom w:val="none" w:sz="0" w:space="0" w:color="auto"/>
        <w:right w:val="none" w:sz="0" w:space="0" w:color="auto"/>
      </w:divBdr>
    </w:div>
    <w:div w:id="1608465480">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679843993">
      <w:bodyDiv w:val="1"/>
      <w:marLeft w:val="0"/>
      <w:marRight w:val="0"/>
      <w:marTop w:val="0"/>
      <w:marBottom w:val="0"/>
      <w:divBdr>
        <w:top w:val="none" w:sz="0" w:space="0" w:color="auto"/>
        <w:left w:val="none" w:sz="0" w:space="0" w:color="auto"/>
        <w:bottom w:val="none" w:sz="0" w:space="0" w:color="auto"/>
        <w:right w:val="none" w:sz="0" w:space="0" w:color="auto"/>
      </w:divBdr>
    </w:div>
    <w:div w:id="1751346858">
      <w:bodyDiv w:val="1"/>
      <w:marLeft w:val="0"/>
      <w:marRight w:val="0"/>
      <w:marTop w:val="0"/>
      <w:marBottom w:val="0"/>
      <w:divBdr>
        <w:top w:val="none" w:sz="0" w:space="0" w:color="auto"/>
        <w:left w:val="none" w:sz="0" w:space="0" w:color="auto"/>
        <w:bottom w:val="none" w:sz="0" w:space="0" w:color="auto"/>
        <w:right w:val="none" w:sz="0" w:space="0" w:color="auto"/>
      </w:divBdr>
    </w:div>
    <w:div w:id="1813673868">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1948544161">
      <w:bodyDiv w:val="1"/>
      <w:marLeft w:val="0"/>
      <w:marRight w:val="0"/>
      <w:marTop w:val="0"/>
      <w:marBottom w:val="0"/>
      <w:divBdr>
        <w:top w:val="none" w:sz="0" w:space="0" w:color="auto"/>
        <w:left w:val="none" w:sz="0" w:space="0" w:color="auto"/>
        <w:bottom w:val="none" w:sz="0" w:space="0" w:color="auto"/>
        <w:right w:val="none" w:sz="0" w:space="0" w:color="auto"/>
      </w:divBdr>
    </w:div>
    <w:div w:id="1979415130">
      <w:bodyDiv w:val="1"/>
      <w:marLeft w:val="0"/>
      <w:marRight w:val="0"/>
      <w:marTop w:val="0"/>
      <w:marBottom w:val="0"/>
      <w:divBdr>
        <w:top w:val="none" w:sz="0" w:space="0" w:color="auto"/>
        <w:left w:val="none" w:sz="0" w:space="0" w:color="auto"/>
        <w:bottom w:val="none" w:sz="0" w:space="0" w:color="auto"/>
        <w:right w:val="none" w:sz="0" w:space="0" w:color="auto"/>
      </w:divBdr>
    </w:div>
    <w:div w:id="2100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F835-E5A8-4D41-ACE1-D32E7E11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7609</Words>
  <Characters>43376</Characters>
  <Application>Microsoft Office Word</Application>
  <DocSecurity>8</DocSecurity>
  <PresentationFormat/>
  <Lines>361</Lines>
  <Paragraphs>101</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2019-11-25T22:37:00Z</dcterms:created>
  <dcterms:modified xsi:type="dcterms:W3CDTF">2019-11-27T17:02:00Z</dcterms:modified>
</cp:coreProperties>
</file>