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767D4" w14:textId="77AC7D1C" w:rsidR="004637A3" w:rsidRPr="00726070" w:rsidRDefault="00243F8F" w:rsidP="004637A3">
      <w:pPr>
        <w:pStyle w:val="Cover-Version"/>
        <w:rPr>
          <w:color w:val="EE3025"/>
        </w:rPr>
      </w:pPr>
      <w:r>
        <w:rPr>
          <w:color w:val="EE3025"/>
        </w:rPr>
        <w:t>Draft</w:t>
      </w:r>
    </w:p>
    <w:p w14:paraId="4E66EECE" w14:textId="0C78CA8B" w:rsidR="004637A3" w:rsidRPr="002A0AF1" w:rsidRDefault="0071139F" w:rsidP="002A0AF1">
      <w:pPr>
        <w:pStyle w:val="CoverReportTitle"/>
      </w:pPr>
      <w:r>
        <w:t>Emergency</w:t>
      </w:r>
      <w:r w:rsidR="00CC62D1" w:rsidRPr="002A0AF1">
        <w:t xml:space="preserve"> </w:t>
      </w:r>
      <w:r w:rsidR="00243F8F" w:rsidRPr="002A0AF1">
        <w:t>Evacuation</w:t>
      </w:r>
      <w:r w:rsidR="002A0AF1">
        <w:t xml:space="preserve"> </w:t>
      </w:r>
      <w:r>
        <w:t>Route</w:t>
      </w:r>
      <w:r w:rsidR="002A0AF1">
        <w:t> </w:t>
      </w:r>
      <w:r>
        <w:t>Analysis</w:t>
      </w:r>
    </w:p>
    <w:p w14:paraId="13AF41D6" w14:textId="77777777" w:rsidR="002A0AF1" w:rsidRPr="005571A0" w:rsidRDefault="002A0AF1" w:rsidP="002A0AF1">
      <w:pPr>
        <w:pStyle w:val="CoverProjectName"/>
      </w:pPr>
      <w:r>
        <w:t>City of Santee Safety and Environmental Justice Element</w:t>
      </w:r>
    </w:p>
    <w:p w14:paraId="5DE436EB" w14:textId="78E95E39" w:rsidR="004637A3" w:rsidRPr="004A5F9A" w:rsidRDefault="007040CE" w:rsidP="004637A3">
      <w:pPr>
        <w:pStyle w:val="CoverPubDate"/>
      </w:pPr>
      <w:r>
        <w:t xml:space="preserve">July </w:t>
      </w:r>
      <w:r w:rsidR="0072767D">
        <w:t>2023</w:t>
      </w:r>
    </w:p>
    <w:p w14:paraId="1326B1E4" w14:textId="77777777" w:rsidR="002845B3" w:rsidRPr="005571A0" w:rsidRDefault="002845B3" w:rsidP="002845B3">
      <w:pPr>
        <w:pStyle w:val="Cover-Preparedby"/>
      </w:pPr>
      <w:r w:rsidRPr="005571A0">
        <w:t>Prepared for:</w:t>
      </w:r>
    </w:p>
    <w:p w14:paraId="4E8339B1" w14:textId="77777777" w:rsidR="002845B3" w:rsidRPr="0007516A" w:rsidRDefault="002845B3" w:rsidP="002845B3">
      <w:pPr>
        <w:pStyle w:val="CoverAddresses"/>
      </w:pPr>
      <w:r w:rsidRPr="00067BBA">
        <w:rPr>
          <w:noProof/>
        </w:rPr>
        <w:drawing>
          <wp:inline distT="0" distB="0" distL="0" distR="0" wp14:anchorId="6A4E8240" wp14:editId="60E7C084">
            <wp:extent cx="1517904" cy="914400"/>
            <wp:effectExtent l="0" t="0" r="635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7904" cy="914400"/>
                    </a:xfrm>
                    <a:prstGeom prst="rect">
                      <a:avLst/>
                    </a:prstGeom>
                  </pic:spPr>
                </pic:pic>
              </a:graphicData>
            </a:graphic>
          </wp:inline>
        </w:drawing>
      </w:r>
    </w:p>
    <w:p w14:paraId="1B49082E" w14:textId="77777777" w:rsidR="002845B3" w:rsidRPr="005571A0" w:rsidRDefault="002845B3" w:rsidP="002845B3">
      <w:pPr>
        <w:pStyle w:val="CoverAddresses"/>
      </w:pPr>
      <w:r>
        <w:t>City of Santee</w:t>
      </w:r>
    </w:p>
    <w:p w14:paraId="5BCB8E1F" w14:textId="77777777" w:rsidR="002845B3" w:rsidRPr="005571A0" w:rsidRDefault="002845B3" w:rsidP="002845B3">
      <w:pPr>
        <w:pStyle w:val="CoverAddresses"/>
      </w:pPr>
      <w:r>
        <w:t>10601 Magnolia Avenue</w:t>
      </w:r>
    </w:p>
    <w:p w14:paraId="2B182B0E" w14:textId="77777777" w:rsidR="002845B3" w:rsidRPr="005571A0" w:rsidRDefault="002845B3" w:rsidP="002845B3">
      <w:pPr>
        <w:pStyle w:val="CoverAddresses"/>
      </w:pPr>
      <w:r>
        <w:t>Santee, California 92071</w:t>
      </w:r>
    </w:p>
    <w:p w14:paraId="59389239" w14:textId="516662B7" w:rsidR="002845B3" w:rsidRPr="005571A0" w:rsidRDefault="002845B3" w:rsidP="002845B3">
      <w:pPr>
        <w:pStyle w:val="CoverAddresses"/>
      </w:pPr>
      <w:r w:rsidRPr="005571A0">
        <w:t xml:space="preserve">Contact: </w:t>
      </w:r>
      <w:r w:rsidR="003206AD">
        <w:t>Christina Rios</w:t>
      </w:r>
      <w:r>
        <w:t xml:space="preserve">, </w:t>
      </w:r>
      <w:r w:rsidR="00EC4B15">
        <w:t xml:space="preserve">Senior </w:t>
      </w:r>
      <w:r>
        <w:t>Planner</w:t>
      </w:r>
    </w:p>
    <w:p w14:paraId="51008300" w14:textId="77777777" w:rsidR="002845B3" w:rsidRPr="005571A0" w:rsidRDefault="002845B3" w:rsidP="002845B3">
      <w:pPr>
        <w:pStyle w:val="Cover-Preparedby"/>
      </w:pPr>
      <w:r w:rsidRPr="005571A0">
        <w:t>Prepared by:</w:t>
      </w:r>
    </w:p>
    <w:p w14:paraId="1BAE6A66" w14:textId="77777777" w:rsidR="002845B3" w:rsidRPr="00D1158F" w:rsidRDefault="002845B3" w:rsidP="002845B3">
      <w:pPr>
        <w:pStyle w:val="CoverAddresses"/>
      </w:pPr>
      <w:r w:rsidRPr="00314E9D">
        <w:rPr>
          <w:noProof/>
        </w:rPr>
        <w:drawing>
          <wp:inline distT="0" distB="0" distL="0" distR="0" wp14:anchorId="0F7FD619" wp14:editId="36452FF6">
            <wp:extent cx="2751826" cy="948906"/>
            <wp:effectExtent l="0" t="0" r="0" b="3810"/>
            <wp:docPr id="8"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picture containing graphical user interfac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282" t="19577" r="10234" b="17718"/>
                    <a:stretch/>
                  </pic:blipFill>
                  <pic:spPr bwMode="auto">
                    <a:xfrm>
                      <a:off x="0" y="0"/>
                      <a:ext cx="2753863" cy="949608"/>
                    </a:xfrm>
                    <a:prstGeom prst="rect">
                      <a:avLst/>
                    </a:prstGeom>
                    <a:noFill/>
                    <a:ln>
                      <a:noFill/>
                    </a:ln>
                    <a:extLst>
                      <a:ext uri="{53640926-AAD7-44D8-BBD7-CCE9431645EC}">
                        <a14:shadowObscured xmlns:a14="http://schemas.microsoft.com/office/drawing/2010/main"/>
                      </a:ext>
                    </a:extLst>
                  </pic:spPr>
                </pic:pic>
              </a:graphicData>
            </a:graphic>
          </wp:inline>
        </w:drawing>
      </w:r>
    </w:p>
    <w:p w14:paraId="0D3484E7" w14:textId="77777777" w:rsidR="002845B3" w:rsidRPr="003C5C6F" w:rsidRDefault="002845B3" w:rsidP="002845B3">
      <w:pPr>
        <w:pStyle w:val="CoverAddresses"/>
      </w:pPr>
      <w:r w:rsidRPr="003C5C6F">
        <w:t>600 B Street, Suite 2000</w:t>
      </w:r>
    </w:p>
    <w:p w14:paraId="32DB4E16" w14:textId="77777777" w:rsidR="002845B3" w:rsidRPr="003C5C6F" w:rsidRDefault="002845B3" w:rsidP="002845B3">
      <w:pPr>
        <w:pStyle w:val="CoverAddresses"/>
      </w:pPr>
      <w:r w:rsidRPr="003C5C6F">
        <w:t>San Diego, California 92101</w:t>
      </w:r>
    </w:p>
    <w:p w14:paraId="224F765D" w14:textId="77777777" w:rsidR="002845B3" w:rsidRDefault="002845B3" w:rsidP="002845B3">
      <w:pPr>
        <w:pStyle w:val="CoverAddresses"/>
      </w:pPr>
      <w:r w:rsidRPr="003C5C6F">
        <w:t>(619) 236-1778</w:t>
      </w:r>
    </w:p>
    <w:p w14:paraId="5D7C957D" w14:textId="716D0ED5" w:rsidR="00024D37" w:rsidRDefault="002845B3" w:rsidP="002845B3">
      <w:pPr>
        <w:pStyle w:val="CoverAddresses"/>
      </w:pPr>
      <w:r>
        <w:t>Contact: Darin Neufeld, AICP, Director</w:t>
      </w:r>
    </w:p>
    <w:p w14:paraId="7FDEFB35" w14:textId="77777777" w:rsidR="00024D37" w:rsidRDefault="00024D37">
      <w:pPr>
        <w:overflowPunct/>
        <w:autoSpaceDE/>
        <w:autoSpaceDN/>
        <w:adjustRightInd/>
        <w:spacing w:after="160" w:line="259" w:lineRule="auto"/>
        <w:textAlignment w:val="auto"/>
        <w:rPr>
          <w:rFonts w:ascii="Arial" w:hAnsi="Arial"/>
          <w:b/>
          <w:bCs w:val="0"/>
          <w:color w:val="000000" w:themeColor="text1"/>
          <w:sz w:val="22"/>
        </w:rPr>
      </w:pPr>
      <w:r>
        <w:br w:type="page"/>
      </w:r>
    </w:p>
    <w:p w14:paraId="332F0A3C" w14:textId="77777777" w:rsidR="00024D37" w:rsidRDefault="00024D37" w:rsidP="003C12D1">
      <w:pPr>
        <w:pStyle w:val="BlankPage"/>
      </w:pPr>
    </w:p>
    <w:p w14:paraId="332585DC" w14:textId="77777777" w:rsidR="00024D37" w:rsidRDefault="00024D37" w:rsidP="00024D37">
      <w:pPr>
        <w:pStyle w:val="BlankPage"/>
        <w:sectPr w:rsidR="00024D37" w:rsidSect="00CA37B6">
          <w:headerReference w:type="first" r:id="rId10"/>
          <w:type w:val="continuous"/>
          <w:pgSz w:w="12240" w:h="15840"/>
          <w:pgMar w:top="1440" w:right="1440" w:bottom="1440" w:left="1440" w:header="720" w:footer="432" w:gutter="0"/>
          <w:cols w:space="720"/>
          <w:titlePg/>
          <w:docGrid w:linePitch="360"/>
        </w:sectPr>
      </w:pPr>
      <w:r w:rsidRPr="003C12D1">
        <w:t>This page intentionally left blank.</w:t>
      </w:r>
    </w:p>
    <w:p w14:paraId="24BFE599" w14:textId="57351623" w:rsidR="00024D37" w:rsidRDefault="00024D37" w:rsidP="00024D37">
      <w:pPr>
        <w:pStyle w:val="TOCHeadingNOTinTOC"/>
      </w:pPr>
      <w:r>
        <w:lastRenderedPageBreak/>
        <w:t>Table of Contents</w:t>
      </w:r>
    </w:p>
    <w:p w14:paraId="4196D994" w14:textId="15F45F49" w:rsidR="00024D37" w:rsidRDefault="00024D37">
      <w:pPr>
        <w:pStyle w:val="TOC1"/>
        <w:rPr>
          <w:rFonts w:asciiTheme="minorHAnsi" w:eastAsiaTheme="minorEastAsia" w:hAnsiTheme="minorHAnsi" w:cstheme="minorBidi"/>
          <w:b w:val="0"/>
          <w:bCs w:val="0"/>
          <w:noProof/>
          <w:color w:val="auto"/>
          <w:kern w:val="2"/>
          <w:szCs w:val="22"/>
          <w14:ligatures w14:val="standardContextual"/>
        </w:rPr>
      </w:pPr>
      <w:r>
        <w:fldChar w:fldCharType="begin"/>
      </w:r>
      <w:r>
        <w:instrText xml:space="preserve"> TOC \o "1-3" \h \z \u </w:instrText>
      </w:r>
      <w:r>
        <w:fldChar w:fldCharType="separate"/>
      </w:r>
      <w:hyperlink w:anchor="_Toc141431231" w:history="1">
        <w:r w:rsidRPr="007D33BE">
          <w:rPr>
            <w:rStyle w:val="Hyperlink"/>
            <w:rFonts w:ascii="Arial Bold" w:hAnsi="Arial Bold"/>
            <w:noProof/>
          </w:rPr>
          <w:t>Section 1</w:t>
        </w:r>
        <w:r>
          <w:rPr>
            <w:rFonts w:asciiTheme="minorHAnsi" w:eastAsiaTheme="minorEastAsia" w:hAnsiTheme="minorHAnsi" w:cstheme="minorBidi"/>
            <w:b w:val="0"/>
            <w:bCs w:val="0"/>
            <w:noProof/>
            <w:color w:val="auto"/>
            <w:kern w:val="2"/>
            <w:szCs w:val="22"/>
            <w14:ligatures w14:val="standardContextual"/>
          </w:rPr>
          <w:tab/>
        </w:r>
        <w:r w:rsidRPr="007D33BE">
          <w:rPr>
            <w:rStyle w:val="Hyperlink"/>
            <w:noProof/>
          </w:rPr>
          <w:t>Background</w:t>
        </w:r>
        <w:r>
          <w:rPr>
            <w:noProof/>
            <w:webHidden/>
          </w:rPr>
          <w:tab/>
        </w:r>
        <w:r>
          <w:rPr>
            <w:noProof/>
            <w:webHidden/>
          </w:rPr>
          <w:fldChar w:fldCharType="begin"/>
        </w:r>
        <w:r>
          <w:rPr>
            <w:noProof/>
            <w:webHidden/>
          </w:rPr>
          <w:instrText xml:space="preserve"> PAGEREF _Toc141431231 \h </w:instrText>
        </w:r>
        <w:r>
          <w:rPr>
            <w:noProof/>
            <w:webHidden/>
          </w:rPr>
        </w:r>
        <w:r>
          <w:rPr>
            <w:noProof/>
            <w:webHidden/>
          </w:rPr>
          <w:fldChar w:fldCharType="separate"/>
        </w:r>
        <w:r w:rsidR="00DB3C16">
          <w:rPr>
            <w:noProof/>
            <w:webHidden/>
          </w:rPr>
          <w:t>1</w:t>
        </w:r>
        <w:r>
          <w:rPr>
            <w:noProof/>
            <w:webHidden/>
          </w:rPr>
          <w:fldChar w:fldCharType="end"/>
        </w:r>
      </w:hyperlink>
    </w:p>
    <w:p w14:paraId="5325CAC5" w14:textId="30625F2C" w:rsidR="00024D37" w:rsidRDefault="007E188B">
      <w:pPr>
        <w:pStyle w:val="TOC1"/>
        <w:rPr>
          <w:rFonts w:asciiTheme="minorHAnsi" w:eastAsiaTheme="minorEastAsia" w:hAnsiTheme="minorHAnsi" w:cstheme="minorBidi"/>
          <w:b w:val="0"/>
          <w:bCs w:val="0"/>
          <w:noProof/>
          <w:color w:val="auto"/>
          <w:kern w:val="2"/>
          <w:szCs w:val="22"/>
          <w14:ligatures w14:val="standardContextual"/>
        </w:rPr>
      </w:pPr>
      <w:hyperlink w:anchor="_Toc141431232" w:history="1">
        <w:r w:rsidR="00024D37" w:rsidRPr="007D33BE">
          <w:rPr>
            <w:rStyle w:val="Hyperlink"/>
            <w:rFonts w:ascii="Arial Bold" w:hAnsi="Arial Bold"/>
            <w:noProof/>
          </w:rPr>
          <w:t>Section 2</w:t>
        </w:r>
        <w:r w:rsidR="00024D37">
          <w:rPr>
            <w:rFonts w:asciiTheme="minorHAnsi" w:eastAsiaTheme="minorEastAsia" w:hAnsiTheme="minorHAnsi" w:cstheme="minorBidi"/>
            <w:b w:val="0"/>
            <w:bCs w:val="0"/>
            <w:noProof/>
            <w:color w:val="auto"/>
            <w:kern w:val="2"/>
            <w:szCs w:val="22"/>
            <w14:ligatures w14:val="standardContextual"/>
          </w:rPr>
          <w:tab/>
        </w:r>
        <w:r w:rsidR="00024D37" w:rsidRPr="007D33BE">
          <w:rPr>
            <w:rStyle w:val="Hyperlink"/>
            <w:noProof/>
          </w:rPr>
          <w:t>Hazard Scenarios</w:t>
        </w:r>
        <w:r w:rsidR="00024D37">
          <w:rPr>
            <w:noProof/>
            <w:webHidden/>
          </w:rPr>
          <w:tab/>
        </w:r>
        <w:r w:rsidR="00024D37">
          <w:rPr>
            <w:noProof/>
            <w:webHidden/>
          </w:rPr>
          <w:fldChar w:fldCharType="begin"/>
        </w:r>
        <w:r w:rsidR="00024D37">
          <w:rPr>
            <w:noProof/>
            <w:webHidden/>
          </w:rPr>
          <w:instrText xml:space="preserve"> PAGEREF _Toc141431232 \h </w:instrText>
        </w:r>
        <w:r w:rsidR="00024D37">
          <w:rPr>
            <w:noProof/>
            <w:webHidden/>
          </w:rPr>
        </w:r>
        <w:r w:rsidR="00024D37">
          <w:rPr>
            <w:noProof/>
            <w:webHidden/>
          </w:rPr>
          <w:fldChar w:fldCharType="separate"/>
        </w:r>
        <w:r w:rsidR="00DB3C16">
          <w:rPr>
            <w:noProof/>
            <w:webHidden/>
          </w:rPr>
          <w:t>3</w:t>
        </w:r>
        <w:r w:rsidR="00024D37">
          <w:rPr>
            <w:noProof/>
            <w:webHidden/>
          </w:rPr>
          <w:fldChar w:fldCharType="end"/>
        </w:r>
      </w:hyperlink>
    </w:p>
    <w:p w14:paraId="6BE0D6C2" w14:textId="52C6AFCC" w:rsidR="00024D37" w:rsidRDefault="007E188B">
      <w:pPr>
        <w:pStyle w:val="TOC1"/>
        <w:rPr>
          <w:rFonts w:asciiTheme="minorHAnsi" w:eastAsiaTheme="minorEastAsia" w:hAnsiTheme="minorHAnsi" w:cstheme="minorBidi"/>
          <w:b w:val="0"/>
          <w:bCs w:val="0"/>
          <w:noProof/>
          <w:color w:val="auto"/>
          <w:kern w:val="2"/>
          <w:szCs w:val="22"/>
          <w14:ligatures w14:val="standardContextual"/>
        </w:rPr>
      </w:pPr>
      <w:hyperlink w:anchor="_Toc141431233" w:history="1">
        <w:r w:rsidR="00024D37" w:rsidRPr="007D33BE">
          <w:rPr>
            <w:rStyle w:val="Hyperlink"/>
            <w:rFonts w:ascii="Arial Bold" w:hAnsi="Arial Bold"/>
            <w:noProof/>
          </w:rPr>
          <w:t>Section 3</w:t>
        </w:r>
        <w:r w:rsidR="00024D37">
          <w:rPr>
            <w:rFonts w:asciiTheme="minorHAnsi" w:eastAsiaTheme="minorEastAsia" w:hAnsiTheme="minorHAnsi" w:cstheme="minorBidi"/>
            <w:b w:val="0"/>
            <w:bCs w:val="0"/>
            <w:noProof/>
            <w:color w:val="auto"/>
            <w:kern w:val="2"/>
            <w:szCs w:val="22"/>
            <w14:ligatures w14:val="standardContextual"/>
          </w:rPr>
          <w:tab/>
        </w:r>
        <w:r w:rsidR="00024D37" w:rsidRPr="007D33BE">
          <w:rPr>
            <w:rStyle w:val="Hyperlink"/>
            <w:noProof/>
          </w:rPr>
          <w:t>Data, Assumptions, and Definitions</w:t>
        </w:r>
        <w:r w:rsidR="00024D37">
          <w:rPr>
            <w:noProof/>
            <w:webHidden/>
          </w:rPr>
          <w:tab/>
        </w:r>
        <w:r w:rsidR="00024D37">
          <w:rPr>
            <w:noProof/>
            <w:webHidden/>
          </w:rPr>
          <w:fldChar w:fldCharType="begin"/>
        </w:r>
        <w:r w:rsidR="00024D37">
          <w:rPr>
            <w:noProof/>
            <w:webHidden/>
          </w:rPr>
          <w:instrText xml:space="preserve"> PAGEREF _Toc141431233 \h </w:instrText>
        </w:r>
        <w:r w:rsidR="00024D37">
          <w:rPr>
            <w:noProof/>
            <w:webHidden/>
          </w:rPr>
        </w:r>
        <w:r w:rsidR="00024D37">
          <w:rPr>
            <w:noProof/>
            <w:webHidden/>
          </w:rPr>
          <w:fldChar w:fldCharType="separate"/>
        </w:r>
        <w:r w:rsidR="00DB3C16">
          <w:rPr>
            <w:noProof/>
            <w:webHidden/>
          </w:rPr>
          <w:t>5</w:t>
        </w:r>
        <w:r w:rsidR="00024D37">
          <w:rPr>
            <w:noProof/>
            <w:webHidden/>
          </w:rPr>
          <w:fldChar w:fldCharType="end"/>
        </w:r>
      </w:hyperlink>
    </w:p>
    <w:p w14:paraId="2B9BBF99" w14:textId="2B5BD2D2" w:rsidR="00024D37" w:rsidRDefault="007E188B">
      <w:pPr>
        <w:pStyle w:val="TOC1"/>
        <w:rPr>
          <w:rFonts w:asciiTheme="minorHAnsi" w:eastAsiaTheme="minorEastAsia" w:hAnsiTheme="minorHAnsi" w:cstheme="minorBidi"/>
          <w:b w:val="0"/>
          <w:bCs w:val="0"/>
          <w:noProof/>
          <w:color w:val="auto"/>
          <w:kern w:val="2"/>
          <w:szCs w:val="22"/>
          <w14:ligatures w14:val="standardContextual"/>
        </w:rPr>
      </w:pPr>
      <w:hyperlink w:anchor="_Toc141431234" w:history="1">
        <w:r w:rsidR="00024D37" w:rsidRPr="007D33BE">
          <w:rPr>
            <w:rStyle w:val="Hyperlink"/>
            <w:rFonts w:ascii="Arial Bold" w:hAnsi="Arial Bold"/>
            <w:noProof/>
          </w:rPr>
          <w:t>Section 4</w:t>
        </w:r>
        <w:r w:rsidR="00024D37">
          <w:rPr>
            <w:rFonts w:asciiTheme="minorHAnsi" w:eastAsiaTheme="minorEastAsia" w:hAnsiTheme="minorHAnsi" w:cstheme="minorBidi"/>
            <w:b w:val="0"/>
            <w:bCs w:val="0"/>
            <w:noProof/>
            <w:color w:val="auto"/>
            <w:kern w:val="2"/>
            <w:szCs w:val="22"/>
            <w14:ligatures w14:val="standardContextual"/>
          </w:rPr>
          <w:tab/>
        </w:r>
        <w:r w:rsidR="00024D37" w:rsidRPr="007D33BE">
          <w:rPr>
            <w:rStyle w:val="Hyperlink"/>
            <w:noProof/>
          </w:rPr>
          <w:t>Methodology</w:t>
        </w:r>
        <w:r w:rsidR="00024D37">
          <w:rPr>
            <w:noProof/>
            <w:webHidden/>
          </w:rPr>
          <w:tab/>
        </w:r>
        <w:r w:rsidR="00024D37">
          <w:rPr>
            <w:noProof/>
            <w:webHidden/>
          </w:rPr>
          <w:fldChar w:fldCharType="begin"/>
        </w:r>
        <w:r w:rsidR="00024D37">
          <w:rPr>
            <w:noProof/>
            <w:webHidden/>
          </w:rPr>
          <w:instrText xml:space="preserve"> PAGEREF _Toc141431234 \h </w:instrText>
        </w:r>
        <w:r w:rsidR="00024D37">
          <w:rPr>
            <w:noProof/>
            <w:webHidden/>
          </w:rPr>
        </w:r>
        <w:r w:rsidR="00024D37">
          <w:rPr>
            <w:noProof/>
            <w:webHidden/>
          </w:rPr>
          <w:fldChar w:fldCharType="separate"/>
        </w:r>
        <w:r w:rsidR="00DB3C16">
          <w:rPr>
            <w:noProof/>
            <w:webHidden/>
          </w:rPr>
          <w:t>7</w:t>
        </w:r>
        <w:r w:rsidR="00024D37">
          <w:rPr>
            <w:noProof/>
            <w:webHidden/>
          </w:rPr>
          <w:fldChar w:fldCharType="end"/>
        </w:r>
      </w:hyperlink>
    </w:p>
    <w:p w14:paraId="11121272" w14:textId="0E23B613" w:rsidR="00024D37" w:rsidRDefault="007E188B">
      <w:pPr>
        <w:pStyle w:val="TOC1"/>
        <w:rPr>
          <w:rFonts w:asciiTheme="minorHAnsi" w:eastAsiaTheme="minorEastAsia" w:hAnsiTheme="minorHAnsi" w:cstheme="minorBidi"/>
          <w:b w:val="0"/>
          <w:bCs w:val="0"/>
          <w:noProof/>
          <w:color w:val="auto"/>
          <w:kern w:val="2"/>
          <w:szCs w:val="22"/>
          <w14:ligatures w14:val="standardContextual"/>
        </w:rPr>
      </w:pPr>
      <w:hyperlink w:anchor="_Toc141431235" w:history="1">
        <w:r w:rsidR="00024D37" w:rsidRPr="007D33BE">
          <w:rPr>
            <w:rStyle w:val="Hyperlink"/>
            <w:rFonts w:ascii="Arial Bold" w:hAnsi="Arial Bold"/>
            <w:noProof/>
          </w:rPr>
          <w:t>Section 5</w:t>
        </w:r>
        <w:r w:rsidR="00024D37">
          <w:rPr>
            <w:rFonts w:asciiTheme="minorHAnsi" w:eastAsiaTheme="minorEastAsia" w:hAnsiTheme="minorHAnsi" w:cstheme="minorBidi"/>
            <w:b w:val="0"/>
            <w:bCs w:val="0"/>
            <w:noProof/>
            <w:color w:val="auto"/>
            <w:kern w:val="2"/>
            <w:szCs w:val="22"/>
            <w14:ligatures w14:val="standardContextual"/>
          </w:rPr>
          <w:tab/>
        </w:r>
        <w:r w:rsidR="00024D37" w:rsidRPr="007D33BE">
          <w:rPr>
            <w:rStyle w:val="Hyperlink"/>
            <w:noProof/>
          </w:rPr>
          <w:t>Results</w:t>
        </w:r>
        <w:r w:rsidR="00024D37">
          <w:rPr>
            <w:noProof/>
            <w:webHidden/>
          </w:rPr>
          <w:tab/>
        </w:r>
        <w:r w:rsidR="00024D37">
          <w:rPr>
            <w:noProof/>
            <w:webHidden/>
          </w:rPr>
          <w:fldChar w:fldCharType="begin"/>
        </w:r>
        <w:r w:rsidR="00024D37">
          <w:rPr>
            <w:noProof/>
            <w:webHidden/>
          </w:rPr>
          <w:instrText xml:space="preserve"> PAGEREF _Toc141431235 \h </w:instrText>
        </w:r>
        <w:r w:rsidR="00024D37">
          <w:rPr>
            <w:noProof/>
            <w:webHidden/>
          </w:rPr>
        </w:r>
        <w:r w:rsidR="00024D37">
          <w:rPr>
            <w:noProof/>
            <w:webHidden/>
          </w:rPr>
          <w:fldChar w:fldCharType="separate"/>
        </w:r>
        <w:r w:rsidR="00DB3C16">
          <w:rPr>
            <w:noProof/>
            <w:webHidden/>
          </w:rPr>
          <w:t>9</w:t>
        </w:r>
        <w:r w:rsidR="00024D37">
          <w:rPr>
            <w:noProof/>
            <w:webHidden/>
          </w:rPr>
          <w:fldChar w:fldCharType="end"/>
        </w:r>
      </w:hyperlink>
    </w:p>
    <w:p w14:paraId="7D5A6C49" w14:textId="7F55E3E4" w:rsidR="00024D37" w:rsidRDefault="007E188B">
      <w:pPr>
        <w:pStyle w:val="TOC1"/>
        <w:rPr>
          <w:rFonts w:asciiTheme="minorHAnsi" w:eastAsiaTheme="minorEastAsia" w:hAnsiTheme="minorHAnsi" w:cstheme="minorBidi"/>
          <w:b w:val="0"/>
          <w:bCs w:val="0"/>
          <w:noProof/>
          <w:color w:val="auto"/>
          <w:kern w:val="2"/>
          <w:szCs w:val="22"/>
          <w14:ligatures w14:val="standardContextual"/>
        </w:rPr>
      </w:pPr>
      <w:hyperlink w:anchor="_Toc141431236" w:history="1">
        <w:r w:rsidR="00024D37" w:rsidRPr="007D33BE">
          <w:rPr>
            <w:rStyle w:val="Hyperlink"/>
            <w:rFonts w:ascii="Arial Bold" w:hAnsi="Arial Bold"/>
            <w:noProof/>
          </w:rPr>
          <w:t>Section 6</w:t>
        </w:r>
        <w:r w:rsidR="00024D37">
          <w:rPr>
            <w:rFonts w:asciiTheme="minorHAnsi" w:eastAsiaTheme="minorEastAsia" w:hAnsiTheme="minorHAnsi" w:cstheme="minorBidi"/>
            <w:b w:val="0"/>
            <w:bCs w:val="0"/>
            <w:noProof/>
            <w:color w:val="auto"/>
            <w:kern w:val="2"/>
            <w:szCs w:val="22"/>
            <w14:ligatures w14:val="standardContextual"/>
          </w:rPr>
          <w:tab/>
        </w:r>
        <w:r w:rsidR="00024D37" w:rsidRPr="007D33BE">
          <w:rPr>
            <w:rStyle w:val="Hyperlink"/>
            <w:noProof/>
          </w:rPr>
          <w:t>Evacuation Locations</w:t>
        </w:r>
        <w:r w:rsidR="00024D37">
          <w:rPr>
            <w:noProof/>
            <w:webHidden/>
          </w:rPr>
          <w:tab/>
        </w:r>
        <w:r w:rsidR="00024D37">
          <w:rPr>
            <w:noProof/>
            <w:webHidden/>
          </w:rPr>
          <w:fldChar w:fldCharType="begin"/>
        </w:r>
        <w:r w:rsidR="00024D37">
          <w:rPr>
            <w:noProof/>
            <w:webHidden/>
          </w:rPr>
          <w:instrText xml:space="preserve"> PAGEREF _Toc141431236 \h </w:instrText>
        </w:r>
        <w:r w:rsidR="00024D37">
          <w:rPr>
            <w:noProof/>
            <w:webHidden/>
          </w:rPr>
        </w:r>
        <w:r w:rsidR="00024D37">
          <w:rPr>
            <w:noProof/>
            <w:webHidden/>
          </w:rPr>
          <w:fldChar w:fldCharType="separate"/>
        </w:r>
        <w:r w:rsidR="00DB3C16">
          <w:rPr>
            <w:noProof/>
            <w:webHidden/>
          </w:rPr>
          <w:t>21</w:t>
        </w:r>
        <w:r w:rsidR="00024D37">
          <w:rPr>
            <w:noProof/>
            <w:webHidden/>
          </w:rPr>
          <w:fldChar w:fldCharType="end"/>
        </w:r>
      </w:hyperlink>
    </w:p>
    <w:p w14:paraId="10F93AA9" w14:textId="3A626C9F" w:rsidR="00024D37" w:rsidRDefault="007E188B">
      <w:pPr>
        <w:pStyle w:val="TOC1"/>
        <w:rPr>
          <w:rFonts w:asciiTheme="minorHAnsi" w:eastAsiaTheme="minorEastAsia" w:hAnsiTheme="minorHAnsi" w:cstheme="minorBidi"/>
          <w:b w:val="0"/>
          <w:bCs w:val="0"/>
          <w:noProof/>
          <w:color w:val="auto"/>
          <w:kern w:val="2"/>
          <w:szCs w:val="22"/>
          <w14:ligatures w14:val="standardContextual"/>
        </w:rPr>
      </w:pPr>
      <w:hyperlink w:anchor="_Toc141431237" w:history="1">
        <w:r w:rsidR="00024D37" w:rsidRPr="007D33BE">
          <w:rPr>
            <w:rStyle w:val="Hyperlink"/>
            <w:rFonts w:ascii="Arial Bold" w:hAnsi="Arial Bold"/>
            <w:noProof/>
          </w:rPr>
          <w:t>Section 7</w:t>
        </w:r>
        <w:r w:rsidR="00024D37">
          <w:rPr>
            <w:rFonts w:asciiTheme="minorHAnsi" w:eastAsiaTheme="minorEastAsia" w:hAnsiTheme="minorHAnsi" w:cstheme="minorBidi"/>
            <w:b w:val="0"/>
            <w:bCs w:val="0"/>
            <w:noProof/>
            <w:color w:val="auto"/>
            <w:kern w:val="2"/>
            <w:szCs w:val="22"/>
            <w14:ligatures w14:val="standardContextual"/>
          </w:rPr>
          <w:tab/>
        </w:r>
        <w:r w:rsidR="00024D37" w:rsidRPr="007D33BE">
          <w:rPr>
            <w:rStyle w:val="Hyperlink"/>
            <w:noProof/>
          </w:rPr>
          <w:t>Conclusion</w:t>
        </w:r>
        <w:r w:rsidR="00024D37">
          <w:rPr>
            <w:noProof/>
            <w:webHidden/>
          </w:rPr>
          <w:tab/>
        </w:r>
        <w:r w:rsidR="00024D37">
          <w:rPr>
            <w:noProof/>
            <w:webHidden/>
          </w:rPr>
          <w:fldChar w:fldCharType="begin"/>
        </w:r>
        <w:r w:rsidR="00024D37">
          <w:rPr>
            <w:noProof/>
            <w:webHidden/>
          </w:rPr>
          <w:instrText xml:space="preserve"> PAGEREF _Toc141431237 \h </w:instrText>
        </w:r>
        <w:r w:rsidR="00024D37">
          <w:rPr>
            <w:noProof/>
            <w:webHidden/>
          </w:rPr>
        </w:r>
        <w:r w:rsidR="00024D37">
          <w:rPr>
            <w:noProof/>
            <w:webHidden/>
          </w:rPr>
          <w:fldChar w:fldCharType="separate"/>
        </w:r>
        <w:r w:rsidR="00DB3C16">
          <w:rPr>
            <w:noProof/>
            <w:webHidden/>
          </w:rPr>
          <w:t>23</w:t>
        </w:r>
        <w:r w:rsidR="00024D37">
          <w:rPr>
            <w:noProof/>
            <w:webHidden/>
          </w:rPr>
          <w:fldChar w:fldCharType="end"/>
        </w:r>
      </w:hyperlink>
    </w:p>
    <w:p w14:paraId="444C2EE6" w14:textId="7CD739BF" w:rsidR="00024D37" w:rsidRDefault="007E188B">
      <w:pPr>
        <w:pStyle w:val="TOC1"/>
        <w:rPr>
          <w:rFonts w:asciiTheme="minorHAnsi" w:eastAsiaTheme="minorEastAsia" w:hAnsiTheme="minorHAnsi" w:cstheme="minorBidi"/>
          <w:b w:val="0"/>
          <w:bCs w:val="0"/>
          <w:noProof/>
          <w:color w:val="auto"/>
          <w:kern w:val="2"/>
          <w:szCs w:val="22"/>
          <w14:ligatures w14:val="standardContextual"/>
        </w:rPr>
      </w:pPr>
      <w:hyperlink w:anchor="_Toc141431238" w:history="1">
        <w:r w:rsidR="00024D37" w:rsidRPr="007D33BE">
          <w:rPr>
            <w:rStyle w:val="Hyperlink"/>
            <w:rFonts w:ascii="Arial Bold" w:hAnsi="Arial Bold"/>
            <w:noProof/>
          </w:rPr>
          <w:t>Section 8</w:t>
        </w:r>
        <w:r w:rsidR="00024D37">
          <w:rPr>
            <w:rFonts w:asciiTheme="minorHAnsi" w:eastAsiaTheme="minorEastAsia" w:hAnsiTheme="minorHAnsi" w:cstheme="minorBidi"/>
            <w:b w:val="0"/>
            <w:bCs w:val="0"/>
            <w:noProof/>
            <w:color w:val="auto"/>
            <w:kern w:val="2"/>
            <w:szCs w:val="22"/>
            <w14:ligatures w14:val="standardContextual"/>
          </w:rPr>
          <w:tab/>
        </w:r>
        <w:r w:rsidR="00024D37" w:rsidRPr="007D33BE">
          <w:rPr>
            <w:rStyle w:val="Hyperlink"/>
            <w:noProof/>
          </w:rPr>
          <w:t>Recommendations</w:t>
        </w:r>
        <w:r w:rsidR="00024D37">
          <w:rPr>
            <w:noProof/>
            <w:webHidden/>
          </w:rPr>
          <w:tab/>
        </w:r>
        <w:r w:rsidR="00024D37">
          <w:rPr>
            <w:noProof/>
            <w:webHidden/>
          </w:rPr>
          <w:fldChar w:fldCharType="begin"/>
        </w:r>
        <w:r w:rsidR="00024D37">
          <w:rPr>
            <w:noProof/>
            <w:webHidden/>
          </w:rPr>
          <w:instrText xml:space="preserve"> PAGEREF _Toc141431238 \h </w:instrText>
        </w:r>
        <w:r w:rsidR="00024D37">
          <w:rPr>
            <w:noProof/>
            <w:webHidden/>
          </w:rPr>
        </w:r>
        <w:r w:rsidR="00024D37">
          <w:rPr>
            <w:noProof/>
            <w:webHidden/>
          </w:rPr>
          <w:fldChar w:fldCharType="separate"/>
        </w:r>
        <w:r w:rsidR="00DB3C16">
          <w:rPr>
            <w:noProof/>
            <w:webHidden/>
          </w:rPr>
          <w:t>25</w:t>
        </w:r>
        <w:r w:rsidR="00024D37">
          <w:rPr>
            <w:noProof/>
            <w:webHidden/>
          </w:rPr>
          <w:fldChar w:fldCharType="end"/>
        </w:r>
      </w:hyperlink>
    </w:p>
    <w:p w14:paraId="0F080899" w14:textId="39B00EAA" w:rsidR="00024D37" w:rsidRPr="005571A0" w:rsidRDefault="00024D37" w:rsidP="00024D37">
      <w:pPr>
        <w:pStyle w:val="TOCListTitles"/>
      </w:pPr>
      <w:r>
        <w:fldChar w:fldCharType="end"/>
      </w:r>
      <w:r w:rsidRPr="005571A0">
        <w:t>Figures</w:t>
      </w:r>
    </w:p>
    <w:p w14:paraId="7675D432" w14:textId="28AC769E" w:rsidR="00024D37" w:rsidRDefault="00024D37">
      <w:pPr>
        <w:pStyle w:val="TableofFigures"/>
        <w:rPr>
          <w:rFonts w:asciiTheme="minorHAnsi" w:eastAsiaTheme="minorEastAsia" w:hAnsiTheme="minorHAnsi" w:cstheme="minorBidi"/>
          <w:bCs w:val="0"/>
          <w:noProof/>
          <w:color w:val="auto"/>
          <w:kern w:val="2"/>
          <w:szCs w:val="22"/>
          <w14:ligatures w14:val="standardContextual"/>
        </w:rPr>
      </w:pPr>
      <w:r>
        <w:rPr>
          <w:noProof/>
        </w:rPr>
        <w:fldChar w:fldCharType="begin"/>
      </w:r>
      <w:r>
        <w:instrText xml:space="preserve"> TOC \h \z \t "Figure Title,1" \c "Figure" </w:instrText>
      </w:r>
      <w:r>
        <w:rPr>
          <w:noProof/>
        </w:rPr>
        <w:fldChar w:fldCharType="separate"/>
      </w:r>
      <w:hyperlink w:anchor="_Toc141431239" w:history="1">
        <w:r w:rsidRPr="005023E7">
          <w:rPr>
            <w:rStyle w:val="Hyperlink"/>
            <w:noProof/>
          </w:rPr>
          <w:t>Figure 1. Baseline Residential Evacuation Vulnerability Score</w:t>
        </w:r>
        <w:r>
          <w:rPr>
            <w:noProof/>
            <w:webHidden/>
          </w:rPr>
          <w:tab/>
        </w:r>
        <w:r>
          <w:rPr>
            <w:noProof/>
            <w:webHidden/>
          </w:rPr>
          <w:fldChar w:fldCharType="begin"/>
        </w:r>
        <w:r>
          <w:rPr>
            <w:noProof/>
            <w:webHidden/>
          </w:rPr>
          <w:instrText xml:space="preserve"> PAGEREF _Toc141431239 \h </w:instrText>
        </w:r>
        <w:r>
          <w:rPr>
            <w:noProof/>
            <w:webHidden/>
          </w:rPr>
        </w:r>
        <w:r>
          <w:rPr>
            <w:noProof/>
            <w:webHidden/>
          </w:rPr>
          <w:fldChar w:fldCharType="separate"/>
        </w:r>
        <w:r w:rsidR="00DB3C16">
          <w:rPr>
            <w:noProof/>
            <w:webHidden/>
          </w:rPr>
          <w:t>10</w:t>
        </w:r>
        <w:r>
          <w:rPr>
            <w:noProof/>
            <w:webHidden/>
          </w:rPr>
          <w:fldChar w:fldCharType="end"/>
        </w:r>
      </w:hyperlink>
    </w:p>
    <w:p w14:paraId="215A6BE4" w14:textId="2C67EF50" w:rsidR="00024D37" w:rsidRDefault="007E188B">
      <w:pPr>
        <w:pStyle w:val="TableofFigures"/>
        <w:rPr>
          <w:rFonts w:asciiTheme="minorHAnsi" w:eastAsiaTheme="minorEastAsia" w:hAnsiTheme="minorHAnsi" w:cstheme="minorBidi"/>
          <w:bCs w:val="0"/>
          <w:noProof/>
          <w:color w:val="auto"/>
          <w:kern w:val="2"/>
          <w:szCs w:val="22"/>
          <w14:ligatures w14:val="standardContextual"/>
        </w:rPr>
      </w:pPr>
      <w:hyperlink w:anchor="_Toc141431240" w:history="1">
        <w:r w:rsidR="00024D37" w:rsidRPr="005023E7">
          <w:rPr>
            <w:rStyle w:val="Hyperlink"/>
            <w:noProof/>
          </w:rPr>
          <w:t>Figure 2. Northeast Wildfire Residential Evacuation Vulnerability Score</w:t>
        </w:r>
        <w:r w:rsidR="00024D37">
          <w:rPr>
            <w:noProof/>
            <w:webHidden/>
          </w:rPr>
          <w:tab/>
        </w:r>
        <w:r w:rsidR="00024D37">
          <w:rPr>
            <w:noProof/>
            <w:webHidden/>
          </w:rPr>
          <w:fldChar w:fldCharType="begin"/>
        </w:r>
        <w:r w:rsidR="00024D37">
          <w:rPr>
            <w:noProof/>
            <w:webHidden/>
          </w:rPr>
          <w:instrText xml:space="preserve"> PAGEREF _Toc141431240 \h </w:instrText>
        </w:r>
        <w:r w:rsidR="00024D37">
          <w:rPr>
            <w:noProof/>
            <w:webHidden/>
          </w:rPr>
        </w:r>
        <w:r w:rsidR="00024D37">
          <w:rPr>
            <w:noProof/>
            <w:webHidden/>
          </w:rPr>
          <w:fldChar w:fldCharType="separate"/>
        </w:r>
        <w:r w:rsidR="00DB3C16">
          <w:rPr>
            <w:noProof/>
            <w:webHidden/>
          </w:rPr>
          <w:t>12</w:t>
        </w:r>
        <w:r w:rsidR="00024D37">
          <w:rPr>
            <w:noProof/>
            <w:webHidden/>
          </w:rPr>
          <w:fldChar w:fldCharType="end"/>
        </w:r>
      </w:hyperlink>
    </w:p>
    <w:p w14:paraId="24E9C8B2" w14:textId="0ACDAE33" w:rsidR="00024D37" w:rsidRDefault="007E188B">
      <w:pPr>
        <w:pStyle w:val="TableofFigures"/>
        <w:rPr>
          <w:rFonts w:asciiTheme="minorHAnsi" w:eastAsiaTheme="minorEastAsia" w:hAnsiTheme="minorHAnsi" w:cstheme="minorBidi"/>
          <w:bCs w:val="0"/>
          <w:noProof/>
          <w:color w:val="auto"/>
          <w:kern w:val="2"/>
          <w:szCs w:val="22"/>
          <w14:ligatures w14:val="standardContextual"/>
        </w:rPr>
      </w:pPr>
      <w:hyperlink w:anchor="_Toc141431241" w:history="1">
        <w:r w:rsidR="00024D37" w:rsidRPr="005023E7">
          <w:rPr>
            <w:rStyle w:val="Hyperlink"/>
            <w:noProof/>
          </w:rPr>
          <w:t>Figure 3. Northwest Wildfire Residential Evacuation Vulnerability Score</w:t>
        </w:r>
        <w:r w:rsidR="00024D37">
          <w:rPr>
            <w:noProof/>
            <w:webHidden/>
          </w:rPr>
          <w:tab/>
        </w:r>
        <w:r w:rsidR="00024D37">
          <w:rPr>
            <w:noProof/>
            <w:webHidden/>
          </w:rPr>
          <w:fldChar w:fldCharType="begin"/>
        </w:r>
        <w:r w:rsidR="00024D37">
          <w:rPr>
            <w:noProof/>
            <w:webHidden/>
          </w:rPr>
          <w:instrText xml:space="preserve"> PAGEREF _Toc141431241 \h </w:instrText>
        </w:r>
        <w:r w:rsidR="00024D37">
          <w:rPr>
            <w:noProof/>
            <w:webHidden/>
          </w:rPr>
        </w:r>
        <w:r w:rsidR="00024D37">
          <w:rPr>
            <w:noProof/>
            <w:webHidden/>
          </w:rPr>
          <w:fldChar w:fldCharType="separate"/>
        </w:r>
        <w:r w:rsidR="00DB3C16">
          <w:rPr>
            <w:noProof/>
            <w:webHidden/>
          </w:rPr>
          <w:t>14</w:t>
        </w:r>
        <w:r w:rsidR="00024D37">
          <w:rPr>
            <w:noProof/>
            <w:webHidden/>
          </w:rPr>
          <w:fldChar w:fldCharType="end"/>
        </w:r>
      </w:hyperlink>
    </w:p>
    <w:p w14:paraId="37C5175A" w14:textId="1EEFFCF7" w:rsidR="00024D37" w:rsidRDefault="007E188B">
      <w:pPr>
        <w:pStyle w:val="TableofFigures"/>
        <w:rPr>
          <w:rFonts w:asciiTheme="minorHAnsi" w:eastAsiaTheme="minorEastAsia" w:hAnsiTheme="minorHAnsi" w:cstheme="minorBidi"/>
          <w:bCs w:val="0"/>
          <w:noProof/>
          <w:color w:val="auto"/>
          <w:kern w:val="2"/>
          <w:szCs w:val="22"/>
          <w14:ligatures w14:val="standardContextual"/>
        </w:rPr>
      </w:pPr>
      <w:hyperlink w:anchor="_Toc141431242" w:history="1">
        <w:r w:rsidR="00024D37" w:rsidRPr="005023E7">
          <w:rPr>
            <w:rStyle w:val="Hyperlink"/>
            <w:noProof/>
          </w:rPr>
          <w:t>Figure 4. Southwest Wildfire Residential Evacuation Vulnerability Score</w:t>
        </w:r>
        <w:r w:rsidR="00024D37">
          <w:rPr>
            <w:noProof/>
            <w:webHidden/>
          </w:rPr>
          <w:tab/>
        </w:r>
        <w:r w:rsidR="00024D37">
          <w:rPr>
            <w:noProof/>
            <w:webHidden/>
          </w:rPr>
          <w:fldChar w:fldCharType="begin"/>
        </w:r>
        <w:r w:rsidR="00024D37">
          <w:rPr>
            <w:noProof/>
            <w:webHidden/>
          </w:rPr>
          <w:instrText xml:space="preserve"> PAGEREF _Toc141431242 \h </w:instrText>
        </w:r>
        <w:r w:rsidR="00024D37">
          <w:rPr>
            <w:noProof/>
            <w:webHidden/>
          </w:rPr>
        </w:r>
        <w:r w:rsidR="00024D37">
          <w:rPr>
            <w:noProof/>
            <w:webHidden/>
          </w:rPr>
          <w:fldChar w:fldCharType="separate"/>
        </w:r>
        <w:r w:rsidR="00DB3C16">
          <w:rPr>
            <w:noProof/>
            <w:webHidden/>
          </w:rPr>
          <w:t>16</w:t>
        </w:r>
        <w:r w:rsidR="00024D37">
          <w:rPr>
            <w:noProof/>
            <w:webHidden/>
          </w:rPr>
          <w:fldChar w:fldCharType="end"/>
        </w:r>
      </w:hyperlink>
    </w:p>
    <w:p w14:paraId="1F1DA480" w14:textId="5D6D2462" w:rsidR="00024D37" w:rsidRDefault="007E188B">
      <w:pPr>
        <w:pStyle w:val="TableofFigures"/>
        <w:rPr>
          <w:rFonts w:asciiTheme="minorHAnsi" w:eastAsiaTheme="minorEastAsia" w:hAnsiTheme="minorHAnsi" w:cstheme="minorBidi"/>
          <w:bCs w:val="0"/>
          <w:noProof/>
          <w:color w:val="auto"/>
          <w:kern w:val="2"/>
          <w:szCs w:val="22"/>
          <w14:ligatures w14:val="standardContextual"/>
        </w:rPr>
      </w:pPr>
      <w:hyperlink w:anchor="_Toc141431243" w:history="1">
        <w:r w:rsidR="00024D37" w:rsidRPr="005023E7">
          <w:rPr>
            <w:rStyle w:val="Hyperlink"/>
            <w:noProof/>
          </w:rPr>
          <w:t>Figure 5. Flood Residential Evacuation Vulnerability Score</w:t>
        </w:r>
        <w:r w:rsidR="00024D37">
          <w:rPr>
            <w:noProof/>
            <w:webHidden/>
          </w:rPr>
          <w:tab/>
        </w:r>
        <w:r w:rsidR="00024D37">
          <w:rPr>
            <w:noProof/>
            <w:webHidden/>
          </w:rPr>
          <w:fldChar w:fldCharType="begin"/>
        </w:r>
        <w:r w:rsidR="00024D37">
          <w:rPr>
            <w:noProof/>
            <w:webHidden/>
          </w:rPr>
          <w:instrText xml:space="preserve"> PAGEREF _Toc141431243 \h </w:instrText>
        </w:r>
        <w:r w:rsidR="00024D37">
          <w:rPr>
            <w:noProof/>
            <w:webHidden/>
          </w:rPr>
        </w:r>
        <w:r w:rsidR="00024D37">
          <w:rPr>
            <w:noProof/>
            <w:webHidden/>
          </w:rPr>
          <w:fldChar w:fldCharType="separate"/>
        </w:r>
        <w:r w:rsidR="00DB3C16">
          <w:rPr>
            <w:noProof/>
            <w:webHidden/>
          </w:rPr>
          <w:t>18</w:t>
        </w:r>
        <w:r w:rsidR="00024D37">
          <w:rPr>
            <w:noProof/>
            <w:webHidden/>
          </w:rPr>
          <w:fldChar w:fldCharType="end"/>
        </w:r>
      </w:hyperlink>
    </w:p>
    <w:p w14:paraId="4F3C7CF2" w14:textId="57B0A794" w:rsidR="00024D37" w:rsidRDefault="007E188B">
      <w:pPr>
        <w:pStyle w:val="TableofFigures"/>
        <w:rPr>
          <w:rFonts w:asciiTheme="minorHAnsi" w:eastAsiaTheme="minorEastAsia" w:hAnsiTheme="minorHAnsi" w:cstheme="minorBidi"/>
          <w:bCs w:val="0"/>
          <w:noProof/>
          <w:color w:val="auto"/>
          <w:kern w:val="2"/>
          <w:szCs w:val="22"/>
          <w14:ligatures w14:val="standardContextual"/>
        </w:rPr>
      </w:pPr>
      <w:hyperlink w:anchor="_Toc141431244" w:history="1">
        <w:r w:rsidR="00024D37" w:rsidRPr="005023E7">
          <w:rPr>
            <w:rStyle w:val="Hyperlink"/>
            <w:noProof/>
          </w:rPr>
          <w:t>Figure 6. Earthquake Residential Evacuation Vulnerability Score</w:t>
        </w:r>
        <w:r w:rsidR="00024D37">
          <w:rPr>
            <w:noProof/>
            <w:webHidden/>
          </w:rPr>
          <w:tab/>
        </w:r>
        <w:r w:rsidR="00024D37">
          <w:rPr>
            <w:noProof/>
            <w:webHidden/>
          </w:rPr>
          <w:fldChar w:fldCharType="begin"/>
        </w:r>
        <w:r w:rsidR="00024D37">
          <w:rPr>
            <w:noProof/>
            <w:webHidden/>
          </w:rPr>
          <w:instrText xml:space="preserve"> PAGEREF _Toc141431244 \h </w:instrText>
        </w:r>
        <w:r w:rsidR="00024D37">
          <w:rPr>
            <w:noProof/>
            <w:webHidden/>
          </w:rPr>
        </w:r>
        <w:r w:rsidR="00024D37">
          <w:rPr>
            <w:noProof/>
            <w:webHidden/>
          </w:rPr>
          <w:fldChar w:fldCharType="separate"/>
        </w:r>
        <w:r w:rsidR="00DB3C16">
          <w:rPr>
            <w:noProof/>
            <w:webHidden/>
          </w:rPr>
          <w:t>20</w:t>
        </w:r>
        <w:r w:rsidR="00024D37">
          <w:rPr>
            <w:noProof/>
            <w:webHidden/>
          </w:rPr>
          <w:fldChar w:fldCharType="end"/>
        </w:r>
      </w:hyperlink>
    </w:p>
    <w:p w14:paraId="5507FA8C" w14:textId="0B600605" w:rsidR="00024D37" w:rsidRDefault="00024D37">
      <w:pPr>
        <w:overflowPunct/>
        <w:autoSpaceDE/>
        <w:autoSpaceDN/>
        <w:adjustRightInd/>
        <w:spacing w:after="160" w:line="259" w:lineRule="auto"/>
        <w:textAlignment w:val="auto"/>
        <w:rPr>
          <w:i/>
          <w:color w:val="000000" w:themeColor="text1"/>
        </w:rPr>
      </w:pPr>
      <w:r>
        <w:rPr>
          <w:rFonts w:ascii="Arial" w:hAnsi="Arial"/>
          <w:color w:val="000000" w:themeColor="text1"/>
        </w:rPr>
        <w:fldChar w:fldCharType="end"/>
      </w:r>
      <w:r w:rsidDel="00024D37">
        <w:t xml:space="preserve"> </w:t>
      </w:r>
      <w:r>
        <w:br w:type="page"/>
      </w:r>
    </w:p>
    <w:p w14:paraId="3537424B" w14:textId="77777777" w:rsidR="00024D37" w:rsidRDefault="00024D37" w:rsidP="007929B5">
      <w:pPr>
        <w:pStyle w:val="BlankPage"/>
      </w:pPr>
    </w:p>
    <w:p w14:paraId="77C36C4F" w14:textId="4C0349E9" w:rsidR="00CA37B6" w:rsidRDefault="004637A3" w:rsidP="007929B5">
      <w:pPr>
        <w:pStyle w:val="BlankPage"/>
        <w:sectPr w:rsidR="00CA37B6" w:rsidSect="00EC7E4C">
          <w:footerReference w:type="default" r:id="rId11"/>
          <w:footerReference w:type="first" r:id="rId12"/>
          <w:pgSz w:w="12240" w:h="15840"/>
          <w:pgMar w:top="1440" w:right="1440" w:bottom="1440" w:left="1440" w:header="720" w:footer="432" w:gutter="0"/>
          <w:pgNumType w:fmt="lowerRoman" w:start="1"/>
          <w:cols w:space="720"/>
          <w:titlePg/>
          <w:docGrid w:linePitch="360"/>
        </w:sectPr>
      </w:pPr>
      <w:r>
        <w:t>This page intentionally left blank.</w:t>
      </w:r>
    </w:p>
    <w:p w14:paraId="27269FAC" w14:textId="2E1ACFA5" w:rsidR="004637A3" w:rsidRDefault="00A66FFA" w:rsidP="007E0BC2">
      <w:pPr>
        <w:pStyle w:val="Heading1"/>
      </w:pPr>
      <w:bookmarkStart w:id="0" w:name="_Toc141431197"/>
      <w:bookmarkStart w:id="1" w:name="_Toc141431231"/>
      <w:r>
        <w:lastRenderedPageBreak/>
        <w:t>Background</w:t>
      </w:r>
      <w:bookmarkEnd w:id="0"/>
      <w:bookmarkEnd w:id="1"/>
    </w:p>
    <w:p w14:paraId="5E3FF8BE" w14:textId="3EBC727C" w:rsidR="00EB54D2" w:rsidRDefault="00A66FFA" w:rsidP="00EB54D2">
      <w:pPr>
        <w:pStyle w:val="BodyText"/>
      </w:pPr>
      <w:bookmarkStart w:id="2" w:name="_Hlk116047131"/>
      <w:r>
        <w:t xml:space="preserve">A variety of hazard scenarios could require an evacuation in parts of the City of Santee. These emergency situations could be caused by either natural or human-made events, such as wildfires, floods, or geologic or seismic hazards. </w:t>
      </w:r>
      <w:r w:rsidR="00EB54D2" w:rsidRPr="00EB54D2">
        <w:t xml:space="preserve">Santee is responsible for ensuring emergency preparedness, response, and recovery activities for all populations within its jurisdiction. The </w:t>
      </w:r>
      <w:r w:rsidR="00EB54D2">
        <w:t>City’s Emergency Operations Plan</w:t>
      </w:r>
      <w:r w:rsidR="00EB54D2" w:rsidRPr="00EB54D2">
        <w:t xml:space="preserve"> </w:t>
      </w:r>
      <w:r w:rsidR="00EB54D2">
        <w:t xml:space="preserve">(EOP) </w:t>
      </w:r>
      <w:r w:rsidR="00EB54D2" w:rsidRPr="00EB54D2">
        <w:t xml:space="preserve">was prepared with input from partnering jurisdictions within San Diego County to provide a system for the effective management of emergencies consistent with the County EOP and to ensure the protection of life, property, and the environment </w:t>
      </w:r>
      <w:r w:rsidR="00EB54D2">
        <w:t>before, during, and after an emergency event, natural disaster, or technological incident</w:t>
      </w:r>
      <w:r w:rsidR="00EB54D2" w:rsidRPr="00EB54D2">
        <w:t xml:space="preserve">. </w:t>
      </w:r>
      <w:r w:rsidR="00EB54D2">
        <w:t>This Emergency Evacuation Route Analysis incorporates the City’s EOP by reference.</w:t>
      </w:r>
    </w:p>
    <w:p w14:paraId="00162C37" w14:textId="15F83DA0" w:rsidR="00A66FFA" w:rsidRDefault="00A66FFA" w:rsidP="007929B5">
      <w:pPr>
        <w:pStyle w:val="BodyText"/>
      </w:pPr>
      <w:r>
        <w:t xml:space="preserve">The results of this analysis are intended to identify evacuation capacity and network connectivity in </w:t>
      </w:r>
      <w:r w:rsidR="005E79F8">
        <w:t xml:space="preserve">Santee </w:t>
      </w:r>
      <w:r>
        <w:t>in addition to meeting the requirements associated with the following legislative updates:</w:t>
      </w:r>
    </w:p>
    <w:p w14:paraId="6DAAE5D9" w14:textId="7CA35EB2" w:rsidR="00A66FFA" w:rsidRDefault="00A66FFA" w:rsidP="002A6B15">
      <w:pPr>
        <w:pStyle w:val="BulletList1"/>
      </w:pPr>
      <w:r w:rsidRPr="0050324C">
        <w:rPr>
          <w:rStyle w:val="HeadingRun-In"/>
        </w:rPr>
        <w:t xml:space="preserve">Assembly Bill </w:t>
      </w:r>
      <w:r w:rsidR="000E0338" w:rsidRPr="0050324C">
        <w:rPr>
          <w:rStyle w:val="HeadingRun-In"/>
        </w:rPr>
        <w:t xml:space="preserve">(AB) </w:t>
      </w:r>
      <w:r w:rsidRPr="0050324C">
        <w:rPr>
          <w:rStyle w:val="HeadingRun-In"/>
        </w:rPr>
        <w:t>747</w:t>
      </w:r>
      <w:r w:rsidRPr="004D6093">
        <w:rPr>
          <w:rStyle w:val="HeadingRun-In"/>
          <w:vertAlign w:val="superscript"/>
        </w:rPr>
        <w:footnoteReference w:id="1"/>
      </w:r>
      <w:r w:rsidRPr="0050324C">
        <w:rPr>
          <w:rStyle w:val="HeadingRun-In"/>
        </w:rPr>
        <w:t xml:space="preserve"> (2019) </w:t>
      </w:r>
      <w:r w:rsidRPr="002E3297">
        <w:t xml:space="preserve">requires the City </w:t>
      </w:r>
      <w:r>
        <w:t xml:space="preserve">of Santee </w:t>
      </w:r>
      <w:r w:rsidRPr="002E3297">
        <w:t xml:space="preserve">to update the Safety Element of </w:t>
      </w:r>
      <w:r>
        <w:t>its</w:t>
      </w:r>
      <w:r w:rsidRPr="002E3297">
        <w:t xml:space="preserve"> General Plan to identify evacuation routes and assess the capacity, </w:t>
      </w:r>
      <w:r w:rsidRPr="002A6B15">
        <w:t>safety</w:t>
      </w:r>
      <w:r w:rsidRPr="002E3297">
        <w:t>, and viability of those routes under a range of emergency scenarios.</w:t>
      </w:r>
    </w:p>
    <w:p w14:paraId="5040B04E" w14:textId="2274D172" w:rsidR="00A66FFA" w:rsidRDefault="00A66FFA" w:rsidP="002A6B15">
      <w:pPr>
        <w:pStyle w:val="BulletList1"/>
      </w:pPr>
      <w:r w:rsidRPr="0050324C">
        <w:rPr>
          <w:rStyle w:val="HeadingRun-In"/>
        </w:rPr>
        <w:t xml:space="preserve">Senate Bill </w:t>
      </w:r>
      <w:r w:rsidR="000E0338" w:rsidRPr="0050324C">
        <w:rPr>
          <w:rStyle w:val="HeadingRun-In"/>
        </w:rPr>
        <w:t xml:space="preserve">(SB) </w:t>
      </w:r>
      <w:r w:rsidRPr="0050324C">
        <w:rPr>
          <w:rStyle w:val="HeadingRun-In"/>
        </w:rPr>
        <w:t>99</w:t>
      </w:r>
      <w:r w:rsidRPr="004D6093">
        <w:rPr>
          <w:rStyle w:val="HeadingRun-In"/>
          <w:vertAlign w:val="superscript"/>
        </w:rPr>
        <w:footnoteReference w:id="2"/>
      </w:r>
      <w:r w:rsidRPr="0050324C">
        <w:rPr>
          <w:rStyle w:val="HeadingRun-In"/>
        </w:rPr>
        <w:t xml:space="preserve"> (2019)</w:t>
      </w:r>
      <w:r>
        <w:t xml:space="preserve"> </w:t>
      </w:r>
      <w:r w:rsidRPr="002E3297">
        <w:t xml:space="preserve">requires the City </w:t>
      </w:r>
      <w:r>
        <w:t xml:space="preserve">of Santee </w:t>
      </w:r>
      <w:r w:rsidRPr="002E3297">
        <w:t>to identify residential developments in hazard areas that do not have at least two emergency evacuation routes</w:t>
      </w:r>
      <w:r>
        <w:t xml:space="preserve"> (i.e., neighborhoods or households within a hazard area that have limited accessibility).</w:t>
      </w:r>
    </w:p>
    <w:p w14:paraId="3BF8827D" w14:textId="7693C2C6" w:rsidR="00814481" w:rsidRPr="002E3297" w:rsidRDefault="000E0338" w:rsidP="002A6B15">
      <w:pPr>
        <w:pStyle w:val="BulletList1"/>
      </w:pPr>
      <w:r w:rsidRPr="0050324C">
        <w:rPr>
          <w:rStyle w:val="HeadingRun-In"/>
        </w:rPr>
        <w:t>AB</w:t>
      </w:r>
      <w:r w:rsidR="00814481" w:rsidRPr="0050324C">
        <w:rPr>
          <w:rStyle w:val="HeadingRun-In"/>
        </w:rPr>
        <w:t xml:space="preserve"> 1409</w:t>
      </w:r>
      <w:r w:rsidR="00A27A19" w:rsidRPr="004D6093">
        <w:rPr>
          <w:rStyle w:val="HeadingRun-In"/>
          <w:vertAlign w:val="superscript"/>
        </w:rPr>
        <w:footnoteReference w:id="3"/>
      </w:r>
      <w:r w:rsidR="00814481" w:rsidRPr="0050324C">
        <w:rPr>
          <w:rStyle w:val="HeadingRun-In"/>
        </w:rPr>
        <w:t xml:space="preserve"> (2021)</w:t>
      </w:r>
      <w:r w:rsidR="00814481">
        <w:t xml:space="preserve"> </w:t>
      </w:r>
      <w:r w:rsidR="00814481" w:rsidRPr="00814481">
        <w:t xml:space="preserve">requires the City </w:t>
      </w:r>
      <w:r w:rsidR="00814481">
        <w:t xml:space="preserve">of Santee </w:t>
      </w:r>
      <w:r w:rsidR="00814481" w:rsidRPr="00814481">
        <w:t>to identify evacuation locations.</w:t>
      </w:r>
    </w:p>
    <w:p w14:paraId="5CB87095" w14:textId="08D74095" w:rsidR="00A66FFA" w:rsidRDefault="00A66FFA" w:rsidP="007929B5">
      <w:pPr>
        <w:pStyle w:val="BodyText"/>
      </w:pPr>
      <w:r w:rsidRPr="002E3297">
        <w:t xml:space="preserve">Authoritative state guidance has not yet been developed to determine the type and level of analysis </w:t>
      </w:r>
      <w:r>
        <w:t>that is mandated</w:t>
      </w:r>
      <w:r w:rsidRPr="002E3297">
        <w:t xml:space="preserve"> under </w:t>
      </w:r>
      <w:r w:rsidR="000E0338">
        <w:t>AB</w:t>
      </w:r>
      <w:r w:rsidRPr="001779F3" w:rsidDel="001779F3">
        <w:t xml:space="preserve"> </w:t>
      </w:r>
      <w:r w:rsidRPr="002E3297">
        <w:t>747</w:t>
      </w:r>
      <w:r w:rsidR="004C114E">
        <w:t>,</w:t>
      </w:r>
      <w:r w:rsidRPr="002E3297">
        <w:t xml:space="preserve"> </w:t>
      </w:r>
      <w:r w:rsidR="000E0338">
        <w:t>SB</w:t>
      </w:r>
      <w:r w:rsidRPr="001779F3" w:rsidDel="001779F3">
        <w:t xml:space="preserve"> </w:t>
      </w:r>
      <w:r w:rsidRPr="002E3297">
        <w:t>99</w:t>
      </w:r>
      <w:r w:rsidR="004C114E">
        <w:t>, or AB 1409</w:t>
      </w:r>
      <w:r w:rsidRPr="002E3297">
        <w:t xml:space="preserve">. </w:t>
      </w:r>
      <w:bookmarkStart w:id="3" w:name="_Hlk110264500"/>
      <w:bookmarkStart w:id="4" w:name="_Hlk110264635"/>
      <w:r>
        <w:t xml:space="preserve">This </w:t>
      </w:r>
      <w:r w:rsidRPr="007D19BA">
        <w:t xml:space="preserve">analysis </w:t>
      </w:r>
      <w:r w:rsidRPr="002E3297">
        <w:t>evaluates the efficacy of existing evacuation routes under various hazard scenarios</w:t>
      </w:r>
      <w:r>
        <w:t>,</w:t>
      </w:r>
      <w:r w:rsidRPr="002E3297">
        <w:t xml:space="preserve"> in compliance with </w:t>
      </w:r>
      <w:bookmarkEnd w:id="3"/>
      <w:r w:rsidR="000E0338">
        <w:t>AB</w:t>
      </w:r>
      <w:r w:rsidR="000E0338" w:rsidRPr="001779F3" w:rsidDel="001779F3">
        <w:t xml:space="preserve"> </w:t>
      </w:r>
      <w:r>
        <w:t>747, and uses</w:t>
      </w:r>
      <w:r w:rsidRPr="007D19BA">
        <w:t xml:space="preserve"> </w:t>
      </w:r>
      <w:r>
        <w:t>the</w:t>
      </w:r>
      <w:r w:rsidRPr="007D19BA">
        <w:t xml:space="preserve"> methodology described below </w:t>
      </w:r>
      <w:r>
        <w:t>to</w:t>
      </w:r>
      <w:r w:rsidRPr="007D19BA">
        <w:t xml:space="preserve"> identif</w:t>
      </w:r>
      <w:r>
        <w:t>y</w:t>
      </w:r>
      <w:r w:rsidRPr="007D19BA">
        <w:t xml:space="preserve"> residential developments without sufficient evacuation routes, in compliance with </w:t>
      </w:r>
      <w:r w:rsidR="000E0338">
        <w:t>SB</w:t>
      </w:r>
      <w:r w:rsidRPr="007D19BA" w:rsidDel="001779F3">
        <w:t xml:space="preserve"> </w:t>
      </w:r>
      <w:r w:rsidRPr="007D19BA">
        <w:t>99.</w:t>
      </w:r>
      <w:r w:rsidR="004C114E">
        <w:t xml:space="preserve"> Evacuation locations are provided below in compliance with AB 1409.</w:t>
      </w:r>
    </w:p>
    <w:bookmarkEnd w:id="4"/>
    <w:p w14:paraId="4942FB7C" w14:textId="47DFBFD6" w:rsidR="00A66FFA" w:rsidRDefault="00A66FFA">
      <w:pPr>
        <w:overflowPunct/>
        <w:autoSpaceDE/>
        <w:autoSpaceDN/>
        <w:adjustRightInd/>
        <w:spacing w:after="160" w:line="259" w:lineRule="auto"/>
        <w:textAlignment w:val="auto"/>
        <w:rPr>
          <w:color w:val="000000" w:themeColor="text1"/>
        </w:rPr>
      </w:pPr>
      <w:r>
        <w:rPr>
          <w:color w:val="000000" w:themeColor="text1"/>
        </w:rPr>
        <w:br w:type="page"/>
      </w:r>
    </w:p>
    <w:p w14:paraId="76BA8DAA" w14:textId="77777777" w:rsidR="00A66FFA" w:rsidRDefault="00A66FFA" w:rsidP="007929B5">
      <w:pPr>
        <w:pStyle w:val="BlankPage"/>
      </w:pPr>
    </w:p>
    <w:p w14:paraId="3E5B91D1" w14:textId="534E1CFA" w:rsidR="00A66FFA" w:rsidRPr="007118E9" w:rsidRDefault="00A66FFA" w:rsidP="007929B5">
      <w:pPr>
        <w:pStyle w:val="BlankPage"/>
      </w:pPr>
      <w:r w:rsidRPr="007118E9">
        <w:t>This page intentionally left blank.</w:t>
      </w:r>
    </w:p>
    <w:p w14:paraId="6DCF58B2" w14:textId="62104E2A" w:rsidR="00A66FFA" w:rsidRDefault="00A66FFA">
      <w:pPr>
        <w:overflowPunct/>
        <w:autoSpaceDE/>
        <w:autoSpaceDN/>
        <w:adjustRightInd/>
        <w:spacing w:after="160" w:line="259" w:lineRule="auto"/>
        <w:textAlignment w:val="auto"/>
        <w:rPr>
          <w:color w:val="000000" w:themeColor="text1"/>
        </w:rPr>
      </w:pPr>
      <w:r>
        <w:rPr>
          <w:color w:val="000000" w:themeColor="text1"/>
        </w:rPr>
        <w:br w:type="page"/>
      </w:r>
    </w:p>
    <w:p w14:paraId="59789DBD" w14:textId="516A5CCB" w:rsidR="00A66FFA" w:rsidRDefault="00A66FFA" w:rsidP="00A66FFA">
      <w:pPr>
        <w:pStyle w:val="Heading1"/>
      </w:pPr>
      <w:bookmarkStart w:id="5" w:name="_Toc141431198"/>
      <w:bookmarkStart w:id="6" w:name="_Toc141431232"/>
      <w:r>
        <w:lastRenderedPageBreak/>
        <w:t>Hazard Scenarios</w:t>
      </w:r>
      <w:bookmarkEnd w:id="5"/>
      <w:bookmarkEnd w:id="6"/>
    </w:p>
    <w:p w14:paraId="03484743" w14:textId="6A8519A7" w:rsidR="00A66FFA" w:rsidRDefault="00A66FFA" w:rsidP="007929B5">
      <w:pPr>
        <w:pStyle w:val="BodyText"/>
      </w:pPr>
      <w:r w:rsidRPr="002E3297">
        <w:t>Evacuation route viability is largely determined by the location of the hazard</w:t>
      </w:r>
      <w:r>
        <w:t xml:space="preserve">. </w:t>
      </w:r>
      <w:r w:rsidR="007D3261">
        <w:t>T</w:t>
      </w:r>
      <w:r>
        <w:t xml:space="preserve">he city is surrounded by </w:t>
      </w:r>
      <w:r w:rsidR="000E11A7">
        <w:t>Very High Fire Hazard Severity Zo</w:t>
      </w:r>
      <w:r>
        <w:t xml:space="preserve">nes to the </w:t>
      </w:r>
      <w:r w:rsidR="004C0AE3">
        <w:t>north</w:t>
      </w:r>
      <w:r>
        <w:t xml:space="preserve"> and southwest</w:t>
      </w:r>
      <w:r w:rsidR="004C0AE3">
        <w:t xml:space="preserve"> as shown in </w:t>
      </w:r>
      <w:r w:rsidR="004C0AE3" w:rsidRPr="00BD0624">
        <w:t>Figure</w:t>
      </w:r>
      <w:r w:rsidR="00BA7322" w:rsidRPr="00BD0624">
        <w:t>s</w:t>
      </w:r>
      <w:r w:rsidR="004C0AE3" w:rsidRPr="00BD0624">
        <w:t xml:space="preserve"> </w:t>
      </w:r>
      <w:r w:rsidR="00BA7322" w:rsidRPr="00BD0624">
        <w:t>2 through 4</w:t>
      </w:r>
      <w:r w:rsidR="00BA7322">
        <w:t xml:space="preserve"> of this Emergency Evacuation Route Analysis</w:t>
      </w:r>
      <w:r w:rsidR="004C0AE3">
        <w:t>. Therefore,</w:t>
      </w:r>
      <w:r>
        <w:t xml:space="preserve"> the City of Santee considered three </w:t>
      </w:r>
      <w:r w:rsidR="004C0AE3">
        <w:t xml:space="preserve">scenarios with </w:t>
      </w:r>
      <w:r>
        <w:t xml:space="preserve">wildfire originating in the northeast, the northwest, and the southwest). </w:t>
      </w:r>
      <w:r w:rsidRPr="002C19BA">
        <w:t xml:space="preserve">Because flood zones </w:t>
      </w:r>
      <w:r w:rsidR="000E11A7">
        <w:t xml:space="preserve">exist </w:t>
      </w:r>
      <w:r w:rsidR="004D6093">
        <w:t xml:space="preserve">along the San Diego River </w:t>
      </w:r>
      <w:r w:rsidRPr="002C19BA">
        <w:t>in</w:t>
      </w:r>
      <w:r w:rsidR="004D6093">
        <w:t xml:space="preserve"> the south-central portion of</w:t>
      </w:r>
      <w:r w:rsidRPr="002C19BA">
        <w:t xml:space="preserve"> </w:t>
      </w:r>
      <w:r w:rsidR="005E79F8">
        <w:t>Santee</w:t>
      </w:r>
      <w:r w:rsidRPr="002C19BA">
        <w:t>, evacuation route viability is assessed for flood hazards</w:t>
      </w:r>
      <w:r w:rsidR="00BA7322">
        <w:t xml:space="preserve"> (</w:t>
      </w:r>
      <w:r w:rsidR="00BA7322" w:rsidRPr="003273A3">
        <w:rPr>
          <w:b/>
          <w:bCs w:val="0"/>
        </w:rPr>
        <w:t>Figure 5, Flood Residential Evacuation Vulnerability Score</w:t>
      </w:r>
      <w:r w:rsidR="00BA7322">
        <w:t>)</w:t>
      </w:r>
      <w:r>
        <w:t xml:space="preserve">. </w:t>
      </w:r>
      <w:r w:rsidRPr="00364B5E">
        <w:t xml:space="preserve">Lastly, due to </w:t>
      </w:r>
      <w:r>
        <w:t xml:space="preserve">the </w:t>
      </w:r>
      <w:r w:rsidRPr="00364B5E">
        <w:t xml:space="preserve">proximity of </w:t>
      </w:r>
      <w:r w:rsidR="00BA7322" w:rsidRPr="00BA7322">
        <w:t xml:space="preserve">the Rose Canyon extension of the Newport Inglewood Fault Zone and the Mission Gorge Fault and La </w:t>
      </w:r>
      <w:proofErr w:type="spellStart"/>
      <w:r w:rsidR="00BA7322" w:rsidRPr="00BA7322">
        <w:t>Nacion</w:t>
      </w:r>
      <w:proofErr w:type="spellEnd"/>
      <w:r w:rsidR="00BA7322" w:rsidRPr="00BA7322">
        <w:t xml:space="preserve"> Fault Zone southwest of </w:t>
      </w:r>
      <w:r w:rsidRPr="00364B5E">
        <w:t xml:space="preserve">the </w:t>
      </w:r>
      <w:r>
        <w:t>c</w:t>
      </w:r>
      <w:r w:rsidRPr="00364B5E">
        <w:t>ity, evacuation route viability is assessed for an earthquake event</w:t>
      </w:r>
      <w:r w:rsidR="00BA7322">
        <w:t xml:space="preserve"> (</w:t>
      </w:r>
      <w:r w:rsidR="00BA7322" w:rsidRPr="003273A3">
        <w:rPr>
          <w:b/>
          <w:bCs w:val="0"/>
        </w:rPr>
        <w:t>Figure 6, Earthquake Residential Evacuation Vulnerability Score</w:t>
      </w:r>
      <w:r w:rsidR="00BA7322">
        <w:t>)</w:t>
      </w:r>
      <w:r>
        <w:t>.</w:t>
      </w:r>
    </w:p>
    <w:p w14:paraId="06E28287" w14:textId="3650B392" w:rsidR="00A66FFA" w:rsidRDefault="00A66FFA" w:rsidP="007929B5">
      <w:pPr>
        <w:pStyle w:val="BodyText"/>
      </w:pPr>
      <w:r>
        <w:t>Six</w:t>
      </w:r>
      <w:r w:rsidRPr="002E3297">
        <w:t xml:space="preserve"> hazard scenarios are considered in this analysis:</w:t>
      </w:r>
    </w:p>
    <w:p w14:paraId="3AB61677" w14:textId="77777777" w:rsidR="00A66FFA" w:rsidRDefault="00A66FFA" w:rsidP="0050324C">
      <w:pPr>
        <w:pStyle w:val="NumberList1"/>
      </w:pPr>
      <w:r>
        <w:t>Baseline (no hazard location specified)</w:t>
      </w:r>
    </w:p>
    <w:p w14:paraId="76889E25" w14:textId="77777777" w:rsidR="00A66FFA" w:rsidRDefault="00A66FFA" w:rsidP="0050324C">
      <w:pPr>
        <w:pStyle w:val="NumberList1"/>
      </w:pPr>
      <w:r>
        <w:t>Wildfire (originating in the area northeast of the city)</w:t>
      </w:r>
    </w:p>
    <w:p w14:paraId="7227FAEF" w14:textId="77777777" w:rsidR="00A66FFA" w:rsidRDefault="00A66FFA" w:rsidP="0050324C">
      <w:pPr>
        <w:pStyle w:val="NumberList1"/>
      </w:pPr>
      <w:r>
        <w:t>Wildfire (originating in the area northwest of the city)</w:t>
      </w:r>
    </w:p>
    <w:p w14:paraId="02D288A8" w14:textId="77777777" w:rsidR="00A66FFA" w:rsidRDefault="00A66FFA" w:rsidP="0050324C">
      <w:pPr>
        <w:pStyle w:val="NumberList1"/>
      </w:pPr>
      <w:r>
        <w:t>Wildfire (originating in the area southwest of the city)</w:t>
      </w:r>
    </w:p>
    <w:p w14:paraId="61D142D0" w14:textId="77777777" w:rsidR="00A66FFA" w:rsidRDefault="00A66FFA" w:rsidP="0050324C">
      <w:pPr>
        <w:pStyle w:val="NumberList1"/>
      </w:pPr>
      <w:r>
        <w:t>Flood</w:t>
      </w:r>
    </w:p>
    <w:p w14:paraId="33FCFEBB" w14:textId="77777777" w:rsidR="00A66FFA" w:rsidRDefault="00A66FFA" w:rsidP="0050324C">
      <w:pPr>
        <w:pStyle w:val="NumberList1"/>
      </w:pPr>
      <w:r>
        <w:t>Earthquake</w:t>
      </w:r>
    </w:p>
    <w:p w14:paraId="26939639" w14:textId="387FC64B" w:rsidR="00A66FFA" w:rsidRDefault="00A66FFA">
      <w:pPr>
        <w:overflowPunct/>
        <w:autoSpaceDE/>
        <w:autoSpaceDN/>
        <w:adjustRightInd/>
        <w:spacing w:after="160" w:line="259" w:lineRule="auto"/>
        <w:textAlignment w:val="auto"/>
        <w:rPr>
          <w:color w:val="000000" w:themeColor="text1"/>
        </w:rPr>
      </w:pPr>
      <w:r>
        <w:rPr>
          <w:color w:val="000000" w:themeColor="text1"/>
        </w:rPr>
        <w:br w:type="page"/>
      </w:r>
    </w:p>
    <w:p w14:paraId="49242EFC" w14:textId="77777777" w:rsidR="00A66FFA" w:rsidRDefault="00A66FFA" w:rsidP="007929B5">
      <w:pPr>
        <w:pStyle w:val="BlankPage"/>
      </w:pPr>
    </w:p>
    <w:p w14:paraId="081E9582" w14:textId="4A80C576" w:rsidR="00A66FFA" w:rsidRPr="007118E9" w:rsidRDefault="00A66FFA" w:rsidP="007929B5">
      <w:pPr>
        <w:pStyle w:val="BlankPage"/>
      </w:pPr>
      <w:r w:rsidRPr="007118E9">
        <w:t>This page intentionally left blank.</w:t>
      </w:r>
    </w:p>
    <w:p w14:paraId="694C0188" w14:textId="792893CA" w:rsidR="00A66FFA" w:rsidRDefault="00A66FFA">
      <w:pPr>
        <w:overflowPunct/>
        <w:autoSpaceDE/>
        <w:autoSpaceDN/>
        <w:adjustRightInd/>
        <w:spacing w:after="160" w:line="259" w:lineRule="auto"/>
        <w:textAlignment w:val="auto"/>
        <w:rPr>
          <w:color w:val="000000" w:themeColor="text1"/>
        </w:rPr>
      </w:pPr>
      <w:r>
        <w:rPr>
          <w:color w:val="000000" w:themeColor="text1"/>
        </w:rPr>
        <w:br w:type="page"/>
      </w:r>
    </w:p>
    <w:p w14:paraId="17BD74F1" w14:textId="5105B750" w:rsidR="00A66FFA" w:rsidRDefault="00A66FFA" w:rsidP="00A66FFA">
      <w:pPr>
        <w:pStyle w:val="Heading1"/>
      </w:pPr>
      <w:bookmarkStart w:id="7" w:name="_Toc141431199"/>
      <w:bookmarkStart w:id="8" w:name="_Toc141431233"/>
      <w:r>
        <w:lastRenderedPageBreak/>
        <w:t>Data, Assumptions, and Definitions</w:t>
      </w:r>
      <w:bookmarkEnd w:id="7"/>
      <w:bookmarkEnd w:id="8"/>
    </w:p>
    <w:p w14:paraId="5A3BF10E" w14:textId="18E70D2E" w:rsidR="00A66FFA" w:rsidRPr="00B3002D" w:rsidRDefault="00A66FFA" w:rsidP="007929B5">
      <w:pPr>
        <w:pStyle w:val="BodyText"/>
        <w:rPr>
          <w:spacing w:val="-4"/>
        </w:rPr>
      </w:pPr>
      <w:r w:rsidRPr="00B3002D">
        <w:rPr>
          <w:spacing w:val="-4"/>
        </w:rPr>
        <w:t xml:space="preserve">The </w:t>
      </w:r>
      <w:r w:rsidR="00450152" w:rsidRPr="00B3002D">
        <w:rPr>
          <w:spacing w:val="-4"/>
        </w:rPr>
        <w:t>E</w:t>
      </w:r>
      <w:r w:rsidRPr="00B3002D">
        <w:rPr>
          <w:spacing w:val="-4"/>
        </w:rPr>
        <w:t xml:space="preserve">vacuation </w:t>
      </w:r>
      <w:r w:rsidR="00450152" w:rsidRPr="00B3002D">
        <w:rPr>
          <w:spacing w:val="-4"/>
        </w:rPr>
        <w:t>R</w:t>
      </w:r>
      <w:r w:rsidRPr="00B3002D">
        <w:rPr>
          <w:spacing w:val="-4"/>
        </w:rPr>
        <w:t xml:space="preserve">oute </w:t>
      </w:r>
      <w:r w:rsidR="00450152" w:rsidRPr="00B3002D">
        <w:rPr>
          <w:spacing w:val="-4"/>
        </w:rPr>
        <w:t>A</w:t>
      </w:r>
      <w:r w:rsidRPr="00B3002D">
        <w:rPr>
          <w:spacing w:val="-4"/>
        </w:rPr>
        <w:t xml:space="preserve">nalysis uses updated data from </w:t>
      </w:r>
      <w:proofErr w:type="spellStart"/>
      <w:r w:rsidRPr="00B3002D">
        <w:rPr>
          <w:spacing w:val="-4"/>
        </w:rPr>
        <w:t>UrbanFootprint</w:t>
      </w:r>
      <w:proofErr w:type="spellEnd"/>
      <w:r w:rsidRPr="00B3002D">
        <w:rPr>
          <w:spacing w:val="-4"/>
        </w:rPr>
        <w:t xml:space="preserve"> and the OpenStreetMap Foundation that was published in 2021. The OpenStreetMap Foundation data builds on and includes all roads in the U.S. Census Bureau’s Topologically Integrated Geographic Encoding and Referencing (TIGER) database. The database includes primary roads, secondary roads, local neighborhood roads, rural roads, city streets, vehicular trails, ramps, service drivers, walkways, stairways, alleys, and private roads. Roads </w:t>
      </w:r>
      <w:r w:rsidR="00BD0624">
        <w:rPr>
          <w:spacing w:val="-4"/>
        </w:rPr>
        <w:t>within</w:t>
      </w:r>
      <w:r w:rsidRPr="00B3002D">
        <w:rPr>
          <w:spacing w:val="-4"/>
        </w:rPr>
        <w:t xml:space="preserve"> the city are evaluated for evacuation route viability</w:t>
      </w:r>
      <w:r w:rsidR="00BD0624">
        <w:rPr>
          <w:spacing w:val="-4"/>
        </w:rPr>
        <w:t xml:space="preserve"> using the assumptions described below and methodology described in Section 4</w:t>
      </w:r>
      <w:r w:rsidRPr="00B3002D">
        <w:rPr>
          <w:spacing w:val="-4"/>
        </w:rPr>
        <w:t>.</w:t>
      </w:r>
    </w:p>
    <w:p w14:paraId="489B8612" w14:textId="722CA067" w:rsidR="00A66FFA" w:rsidRDefault="00A66FFA" w:rsidP="00C72220">
      <w:pPr>
        <w:pStyle w:val="BodyText"/>
      </w:pPr>
      <w:r w:rsidRPr="002E3297">
        <w:t>To develop a methodology that effectively evaluates the safety and capacity of evacuation routes and identifies residential areas that lack two evacuation routes, the following definitions and assumptions apply:</w:t>
      </w:r>
    </w:p>
    <w:p w14:paraId="11732E2B" w14:textId="77777777" w:rsidR="00A66FFA" w:rsidRDefault="00A66FFA" w:rsidP="0050324C">
      <w:pPr>
        <w:pStyle w:val="NumberList1"/>
        <w:numPr>
          <w:ilvl w:val="0"/>
          <w:numId w:val="48"/>
        </w:numPr>
      </w:pPr>
      <w:r>
        <w:t xml:space="preserve">“Evacuation route vulnerability” refers to the reduced ability of people to </w:t>
      </w:r>
      <w:r w:rsidRPr="00181EF7">
        <w:t>evacuate</w:t>
      </w:r>
      <w:r>
        <w:t xml:space="preserve"> under emergency conditions. Evacuation route vulnerability scores are calculated for each residential parcel. Lower values indicate lower levels of vulnerability, while higher values indicate greater evacuation route vulnerability.</w:t>
      </w:r>
    </w:p>
    <w:p w14:paraId="0ABEE1FE" w14:textId="77777777" w:rsidR="00A66FFA" w:rsidRPr="0050324C" w:rsidRDefault="00A66FFA" w:rsidP="0050324C">
      <w:pPr>
        <w:pStyle w:val="NumberList1"/>
        <w:numPr>
          <w:ilvl w:val="0"/>
          <w:numId w:val="48"/>
        </w:numPr>
        <w:rPr>
          <w:spacing w:val="-4"/>
        </w:rPr>
      </w:pPr>
      <w:r w:rsidRPr="0050324C">
        <w:rPr>
          <w:spacing w:val="-4"/>
        </w:rPr>
        <w:t>“Capacity” is defined by the ability of a road to accommodate traffic volume. In this analysis, road type (local, collector, arterial, or highway/freeway) is used as an indicator of road capacity.</w:t>
      </w:r>
    </w:p>
    <w:p w14:paraId="57F093DB" w14:textId="77777777" w:rsidR="00A66FFA" w:rsidRPr="00B3002D" w:rsidRDefault="00A66FFA" w:rsidP="0050324C">
      <w:pPr>
        <w:pStyle w:val="BulletList1"/>
        <w:tabs>
          <w:tab w:val="clear" w:pos="1080"/>
        </w:tabs>
        <w:spacing w:before="0"/>
        <w:ind w:left="1440"/>
        <w:rPr>
          <w:spacing w:val="-4"/>
        </w:rPr>
      </w:pPr>
      <w:r w:rsidRPr="00B3002D">
        <w:rPr>
          <w:spacing w:val="-4"/>
        </w:rPr>
        <w:t>“Local” roads are streets that are primarily used to gain access to property. Proximity to local roads was not considered a significant determinant of evacuation vulnerability.</w:t>
      </w:r>
    </w:p>
    <w:p w14:paraId="43651672" w14:textId="35127F5D" w:rsidR="00A66FFA" w:rsidRDefault="00A66FFA" w:rsidP="0050324C">
      <w:pPr>
        <w:pStyle w:val="BulletList1"/>
        <w:tabs>
          <w:tab w:val="clear" w:pos="1080"/>
        </w:tabs>
        <w:spacing w:before="0"/>
        <w:ind w:left="1440"/>
      </w:pPr>
      <w:r>
        <w:t>“Collector” roads are considered low-to-moderate capacity roads that serve to move traffic from local streets to arterial roads.</w:t>
      </w:r>
    </w:p>
    <w:p w14:paraId="181ADDBF" w14:textId="77777777" w:rsidR="00A66FFA" w:rsidRDefault="00A66FFA" w:rsidP="0050324C">
      <w:pPr>
        <w:pStyle w:val="BulletList1"/>
        <w:tabs>
          <w:tab w:val="clear" w:pos="1080"/>
        </w:tabs>
        <w:spacing w:before="0"/>
        <w:ind w:left="1440"/>
      </w:pPr>
      <w:r>
        <w:t>An “arterial” road is a high-capacity urban road. The primary function of an arterial road is to deliver traffic from collector roads to highways/freeways, which are the highest capacity evacuation route.</w:t>
      </w:r>
    </w:p>
    <w:p w14:paraId="59B9A30E" w14:textId="77777777" w:rsidR="00A66FFA" w:rsidRDefault="00A66FFA" w:rsidP="0050324C">
      <w:pPr>
        <w:pStyle w:val="NumberList1"/>
      </w:pPr>
      <w:r>
        <w:t>Evacuation proceedings are primarily reliant on “outbound” roads: roads that transport drivers away from the city. Outbound roads are either freeways or arterials. Outbound roads begin at the intersection closest to the city boundary.</w:t>
      </w:r>
    </w:p>
    <w:p w14:paraId="41B1328B" w14:textId="77777777" w:rsidR="00A66FFA" w:rsidRDefault="00A66FFA" w:rsidP="0050324C">
      <w:pPr>
        <w:pStyle w:val="NumberList1"/>
      </w:pPr>
      <w:r>
        <w:t>“Proximity” is defined by the distance from a residential parcel to nearest road (for collector roads) or “nodes”: the nearest intersection on the following road types: arterial, outbound, or highway/freeway.</w:t>
      </w:r>
    </w:p>
    <w:p w14:paraId="45ECCBE6" w14:textId="77777777" w:rsidR="00A66FFA" w:rsidRDefault="00A66FFA" w:rsidP="0050324C">
      <w:pPr>
        <w:pStyle w:val="NumberList1"/>
      </w:pPr>
      <w:r>
        <w:t>All roads have a potential role in evacuations. Closer proximity to higher capacity roads and outbound roads reduces evacuation vulnerability.</w:t>
      </w:r>
    </w:p>
    <w:p w14:paraId="38B56AE6" w14:textId="77C692BA" w:rsidR="000E0338" w:rsidRDefault="00A66FFA" w:rsidP="0050324C">
      <w:pPr>
        <w:pStyle w:val="NumberList1"/>
      </w:pPr>
      <w:r>
        <w:t>Hazard scenarios influence the direction people evacuate (away from the hazard area).</w:t>
      </w:r>
    </w:p>
    <w:p w14:paraId="24BA92D0" w14:textId="638ACE9F" w:rsidR="00880645" w:rsidRPr="000E0338" w:rsidRDefault="00A66FFA" w:rsidP="0050324C">
      <w:pPr>
        <w:pStyle w:val="NumberList1"/>
      </w:pPr>
      <w:r>
        <w:t>Under the earthquake hazard scenario, segments of roads with bridges are not viable.</w:t>
      </w:r>
    </w:p>
    <w:bookmarkEnd w:id="2"/>
    <w:p w14:paraId="28485CA4" w14:textId="77777777" w:rsidR="00A66FFA" w:rsidRDefault="008C3919" w:rsidP="007929B5">
      <w:pPr>
        <w:pStyle w:val="BlankPage"/>
      </w:pPr>
      <w:r>
        <w:br w:type="page"/>
      </w:r>
    </w:p>
    <w:p w14:paraId="05602441" w14:textId="77777777" w:rsidR="00A66FFA" w:rsidRDefault="00A66FFA" w:rsidP="007929B5">
      <w:pPr>
        <w:pStyle w:val="BlankPage"/>
      </w:pPr>
    </w:p>
    <w:p w14:paraId="704C37DD" w14:textId="3D65CC6C" w:rsidR="00A66FFA" w:rsidRPr="007118E9" w:rsidRDefault="00A66FFA" w:rsidP="007929B5">
      <w:pPr>
        <w:pStyle w:val="BlankPage"/>
      </w:pPr>
      <w:r w:rsidRPr="007118E9">
        <w:t>This page intentionally left blank.</w:t>
      </w:r>
    </w:p>
    <w:p w14:paraId="5C7B6F15" w14:textId="026E7258" w:rsidR="00A66FFA" w:rsidRDefault="00A66FFA">
      <w:pPr>
        <w:overflowPunct/>
        <w:autoSpaceDE/>
        <w:autoSpaceDN/>
        <w:adjustRightInd/>
        <w:spacing w:after="160" w:line="259" w:lineRule="auto"/>
        <w:textAlignment w:val="auto"/>
      </w:pPr>
      <w:r>
        <w:br w:type="page"/>
      </w:r>
    </w:p>
    <w:p w14:paraId="27316192" w14:textId="647E77DB" w:rsidR="00A66FFA" w:rsidRPr="002E3297" w:rsidRDefault="00A66FFA" w:rsidP="00A66FFA">
      <w:pPr>
        <w:pStyle w:val="Heading1"/>
      </w:pPr>
      <w:bookmarkStart w:id="9" w:name="_Toc141431200"/>
      <w:bookmarkStart w:id="10" w:name="_Toc141431234"/>
      <w:r>
        <w:lastRenderedPageBreak/>
        <w:t>Methodology</w:t>
      </w:r>
      <w:bookmarkEnd w:id="9"/>
      <w:bookmarkEnd w:id="10"/>
    </w:p>
    <w:p w14:paraId="2C78F4F5" w14:textId="3ED7CD15" w:rsidR="00A66FFA" w:rsidRPr="00B3002D" w:rsidRDefault="00A66FFA" w:rsidP="007C1EEA">
      <w:pPr>
        <w:pStyle w:val="BodyText"/>
        <w:rPr>
          <w:spacing w:val="-6"/>
        </w:rPr>
      </w:pPr>
      <w:r w:rsidRPr="00B3002D">
        <w:rPr>
          <w:spacing w:val="-6"/>
        </w:rPr>
        <w:t>Evacuation route vulnerability scores were assigned to each residential property based on several factors</w:t>
      </w:r>
      <w:r w:rsidR="00D37E65" w:rsidRPr="00B3002D">
        <w:rPr>
          <w:spacing w:val="-6"/>
        </w:rPr>
        <w:t>,</w:t>
      </w:r>
      <w:r w:rsidRPr="00B3002D">
        <w:rPr>
          <w:spacing w:val="-6"/>
        </w:rPr>
        <w:t xml:space="preserve"> including proximity, capacity, and viability. The geospatial analysis included the following steps:</w:t>
      </w:r>
    </w:p>
    <w:p w14:paraId="375A2974" w14:textId="10CCBD66" w:rsidR="00A66FFA" w:rsidRPr="00024D37" w:rsidRDefault="00A66FFA" w:rsidP="0050324C">
      <w:pPr>
        <w:pStyle w:val="NumberList1"/>
        <w:numPr>
          <w:ilvl w:val="0"/>
          <w:numId w:val="49"/>
        </w:numPr>
      </w:pPr>
      <w:r w:rsidRPr="00024D37">
        <w:t xml:space="preserve">Map all residential parcels </w:t>
      </w:r>
      <w:r w:rsidR="005E79F8" w:rsidRPr="00024D37">
        <w:t>in Santee</w:t>
      </w:r>
      <w:r w:rsidRPr="00024D37">
        <w:t xml:space="preserve"> and all collector, arterial</w:t>
      </w:r>
      <w:r w:rsidR="005B0BDA" w:rsidRPr="00024D37">
        <w:t xml:space="preserve"> and</w:t>
      </w:r>
      <w:r w:rsidRPr="00024D37">
        <w:t xml:space="preserve"> outbound roads and freeways.</w:t>
      </w:r>
    </w:p>
    <w:p w14:paraId="18F527CD" w14:textId="68AEB508" w:rsidR="00A66FFA" w:rsidRDefault="00A66FFA" w:rsidP="0050324C">
      <w:pPr>
        <w:pStyle w:val="NumberList1"/>
        <w:numPr>
          <w:ilvl w:val="0"/>
          <w:numId w:val="49"/>
        </w:numPr>
      </w:pPr>
      <w:r>
        <w:t>Create nodes at the intersection of collector and local roads to arterial roads and all intersections on outbound roads, including on-ramps for highways/freeways.</w:t>
      </w:r>
    </w:p>
    <w:p w14:paraId="1004A317" w14:textId="77777777" w:rsidR="00A66FFA" w:rsidRDefault="00A66FFA" w:rsidP="0050324C">
      <w:pPr>
        <w:pStyle w:val="NumberList1"/>
        <w:numPr>
          <w:ilvl w:val="0"/>
          <w:numId w:val="49"/>
        </w:numPr>
      </w:pPr>
      <w:r>
        <w:t>Determine the proximity of each residential parcel to the nearest evacuation route (highway/freeway or outbound road) using the following methodology:</w:t>
      </w:r>
    </w:p>
    <w:p w14:paraId="1CF16500" w14:textId="77777777" w:rsidR="00A66FFA" w:rsidRPr="00181EF7" w:rsidRDefault="00A66FFA" w:rsidP="0050324C">
      <w:pPr>
        <w:pStyle w:val="NumberList2"/>
      </w:pPr>
      <w:r w:rsidRPr="00181EF7">
        <w:t>Calculate the distance from the parcel to the nearest collector road.</w:t>
      </w:r>
    </w:p>
    <w:p w14:paraId="73BC7AF4" w14:textId="77777777" w:rsidR="00A66FFA" w:rsidRPr="00B3002D" w:rsidRDefault="00A66FFA" w:rsidP="0050324C">
      <w:pPr>
        <w:pStyle w:val="NumberList2"/>
        <w:rPr>
          <w:spacing w:val="-6"/>
        </w:rPr>
      </w:pPr>
      <w:r w:rsidRPr="00B3002D">
        <w:rPr>
          <w:spacing w:val="-6"/>
        </w:rPr>
        <w:t>Calculate the distance to the nearest arterial, outbound road, or highway/freeway node.</w:t>
      </w:r>
      <w:r w:rsidRPr="00B3002D">
        <w:rPr>
          <w:rStyle w:val="FootnoteReference"/>
          <w:spacing w:val="-6"/>
        </w:rPr>
        <w:footnoteReference w:id="4"/>
      </w:r>
    </w:p>
    <w:p w14:paraId="20C5C732" w14:textId="77777777" w:rsidR="00A66FFA" w:rsidRDefault="00A66FFA" w:rsidP="0050324C">
      <w:pPr>
        <w:pStyle w:val="NumberList1"/>
        <w:numPr>
          <w:ilvl w:val="0"/>
          <w:numId w:val="49"/>
        </w:numPr>
      </w:pPr>
      <w:r>
        <w:t>Each distance value calculated in Step 3 is weighted based on road type. Apply the following vulnerability weights to the road type to reflect the higher vulnerability of lower capacity roads and roads with bridges:</w:t>
      </w:r>
    </w:p>
    <w:tbl>
      <w:tblPr>
        <w:tblStyle w:val="TableGrid"/>
        <w:tblW w:w="0" w:type="auto"/>
        <w:jc w:val="right"/>
        <w:tblLook w:val="04A0" w:firstRow="1" w:lastRow="0" w:firstColumn="1" w:lastColumn="0" w:noHBand="0" w:noVBand="1"/>
      </w:tblPr>
      <w:tblGrid>
        <w:gridCol w:w="4100"/>
        <w:gridCol w:w="4100"/>
      </w:tblGrid>
      <w:tr w:rsidR="00A66FFA" w14:paraId="46D8A2C8" w14:textId="77777777" w:rsidTr="0050324C">
        <w:trPr>
          <w:jc w:val="right"/>
        </w:trPr>
        <w:tc>
          <w:tcPr>
            <w:tcW w:w="4100" w:type="dxa"/>
          </w:tcPr>
          <w:p w14:paraId="5E779A03" w14:textId="77777777" w:rsidR="00A66FFA" w:rsidRPr="00A07DDC" w:rsidRDefault="00A66FFA" w:rsidP="007C1EEA">
            <w:pPr>
              <w:jc w:val="both"/>
              <w:rPr>
                <w:b/>
                <w:bCs w:val="0"/>
              </w:rPr>
            </w:pPr>
            <w:r w:rsidRPr="00A07DDC">
              <w:rPr>
                <w:b/>
              </w:rPr>
              <w:t>Road Type</w:t>
            </w:r>
          </w:p>
        </w:tc>
        <w:tc>
          <w:tcPr>
            <w:tcW w:w="4100" w:type="dxa"/>
          </w:tcPr>
          <w:p w14:paraId="2D5C3E8E" w14:textId="77777777" w:rsidR="00A66FFA" w:rsidRPr="00A07DDC" w:rsidRDefault="00A66FFA" w:rsidP="007C1EEA">
            <w:pPr>
              <w:jc w:val="both"/>
              <w:rPr>
                <w:b/>
                <w:bCs w:val="0"/>
              </w:rPr>
            </w:pPr>
            <w:r w:rsidRPr="00A07DDC">
              <w:rPr>
                <w:b/>
              </w:rPr>
              <w:t>Vulnerability Weight</w:t>
            </w:r>
          </w:p>
        </w:tc>
      </w:tr>
      <w:tr w:rsidR="00A66FFA" w14:paraId="49913C3B" w14:textId="77777777" w:rsidTr="0050324C">
        <w:trPr>
          <w:jc w:val="right"/>
        </w:trPr>
        <w:tc>
          <w:tcPr>
            <w:tcW w:w="4100" w:type="dxa"/>
          </w:tcPr>
          <w:p w14:paraId="7FE99A49" w14:textId="77777777" w:rsidR="00A66FFA" w:rsidRDefault="00A66FFA" w:rsidP="007C1EEA">
            <w:pPr>
              <w:jc w:val="both"/>
            </w:pPr>
            <w:r>
              <w:t>Freeway</w:t>
            </w:r>
          </w:p>
        </w:tc>
        <w:tc>
          <w:tcPr>
            <w:tcW w:w="4100" w:type="dxa"/>
          </w:tcPr>
          <w:p w14:paraId="3FD0D53C" w14:textId="77777777" w:rsidR="00A66FFA" w:rsidRDefault="00A66FFA" w:rsidP="007C1EEA">
            <w:pPr>
              <w:jc w:val="both"/>
            </w:pPr>
            <w:r>
              <w:t>1</w:t>
            </w:r>
          </w:p>
        </w:tc>
      </w:tr>
      <w:tr w:rsidR="00A66FFA" w14:paraId="2AEAB885" w14:textId="77777777" w:rsidTr="0050324C">
        <w:trPr>
          <w:jc w:val="right"/>
        </w:trPr>
        <w:tc>
          <w:tcPr>
            <w:tcW w:w="4100" w:type="dxa"/>
          </w:tcPr>
          <w:p w14:paraId="63C090AD" w14:textId="77777777" w:rsidR="00A66FFA" w:rsidRDefault="00A66FFA" w:rsidP="007C1EEA">
            <w:pPr>
              <w:jc w:val="both"/>
            </w:pPr>
            <w:r>
              <w:t>Outbound Road</w:t>
            </w:r>
          </w:p>
        </w:tc>
        <w:tc>
          <w:tcPr>
            <w:tcW w:w="4100" w:type="dxa"/>
          </w:tcPr>
          <w:p w14:paraId="6D7B369B" w14:textId="77777777" w:rsidR="00A66FFA" w:rsidRDefault="00A66FFA" w:rsidP="007C1EEA">
            <w:pPr>
              <w:jc w:val="both"/>
            </w:pPr>
            <w:r>
              <w:t>2</w:t>
            </w:r>
          </w:p>
        </w:tc>
      </w:tr>
      <w:tr w:rsidR="00A66FFA" w14:paraId="3D990794" w14:textId="77777777" w:rsidTr="0050324C">
        <w:trPr>
          <w:jc w:val="right"/>
        </w:trPr>
        <w:tc>
          <w:tcPr>
            <w:tcW w:w="4100" w:type="dxa"/>
          </w:tcPr>
          <w:p w14:paraId="09B5827D" w14:textId="77777777" w:rsidR="00A66FFA" w:rsidRDefault="00A66FFA" w:rsidP="007C1EEA">
            <w:pPr>
              <w:jc w:val="both"/>
            </w:pPr>
            <w:r>
              <w:t>Arterial Road</w:t>
            </w:r>
          </w:p>
        </w:tc>
        <w:tc>
          <w:tcPr>
            <w:tcW w:w="4100" w:type="dxa"/>
          </w:tcPr>
          <w:p w14:paraId="135BA36B" w14:textId="77777777" w:rsidR="00A66FFA" w:rsidRDefault="00A66FFA" w:rsidP="007C1EEA">
            <w:pPr>
              <w:jc w:val="both"/>
            </w:pPr>
            <w:r>
              <w:t>3</w:t>
            </w:r>
          </w:p>
        </w:tc>
      </w:tr>
      <w:tr w:rsidR="00A66FFA" w14:paraId="411F1B16" w14:textId="77777777" w:rsidTr="0050324C">
        <w:trPr>
          <w:jc w:val="right"/>
        </w:trPr>
        <w:tc>
          <w:tcPr>
            <w:tcW w:w="4100" w:type="dxa"/>
          </w:tcPr>
          <w:p w14:paraId="32C48C16" w14:textId="77777777" w:rsidR="00A66FFA" w:rsidRDefault="00A66FFA" w:rsidP="007C1EEA">
            <w:pPr>
              <w:jc w:val="both"/>
            </w:pPr>
            <w:r>
              <w:t>Collector Road</w:t>
            </w:r>
          </w:p>
        </w:tc>
        <w:tc>
          <w:tcPr>
            <w:tcW w:w="4100" w:type="dxa"/>
          </w:tcPr>
          <w:p w14:paraId="393F013C" w14:textId="77777777" w:rsidR="00A66FFA" w:rsidRDefault="00A66FFA" w:rsidP="007C1EEA">
            <w:pPr>
              <w:jc w:val="both"/>
            </w:pPr>
            <w:r>
              <w:t>4</w:t>
            </w:r>
          </w:p>
        </w:tc>
      </w:tr>
      <w:tr w:rsidR="00A66FFA" w14:paraId="1E9AC5A5" w14:textId="77777777" w:rsidTr="0050324C">
        <w:trPr>
          <w:jc w:val="right"/>
        </w:trPr>
        <w:tc>
          <w:tcPr>
            <w:tcW w:w="4100" w:type="dxa"/>
          </w:tcPr>
          <w:p w14:paraId="615EEEFC" w14:textId="77777777" w:rsidR="00A66FFA" w:rsidRDefault="00A66FFA" w:rsidP="007C1EEA">
            <w:pPr>
              <w:jc w:val="both"/>
            </w:pPr>
            <w:r>
              <w:t>Road segment with bridge</w:t>
            </w:r>
          </w:p>
        </w:tc>
        <w:tc>
          <w:tcPr>
            <w:tcW w:w="4100" w:type="dxa"/>
          </w:tcPr>
          <w:p w14:paraId="12032B24" w14:textId="77777777" w:rsidR="00A66FFA" w:rsidRDefault="00A66FFA" w:rsidP="007C1EEA">
            <w:pPr>
              <w:jc w:val="both"/>
            </w:pPr>
            <w:r>
              <w:t>10</w:t>
            </w:r>
          </w:p>
        </w:tc>
      </w:tr>
    </w:tbl>
    <w:p w14:paraId="329CFBF2" w14:textId="77777777" w:rsidR="00A66FFA" w:rsidRDefault="00A66FFA" w:rsidP="007C1EEA">
      <w:pPr>
        <w:jc w:val="both"/>
      </w:pPr>
    </w:p>
    <w:p w14:paraId="4B7A44CF" w14:textId="3A53F7CF" w:rsidR="00A66FFA" w:rsidRDefault="00A66FFA" w:rsidP="0050324C">
      <w:pPr>
        <w:pStyle w:val="NumberList1"/>
      </w:pPr>
      <w:r>
        <w:t>Add weighted distance values for each evacuation route to calculate the</w:t>
      </w:r>
      <w:r w:rsidR="005B0BDA">
        <w:t xml:space="preserve"> evacuation route vulnerability sco</w:t>
      </w:r>
      <w:r>
        <w:t>re. Lower values indicate the evacuation route has a lower vulnerability to the hazard scenario; higher values indicate greater vulnerability.</w:t>
      </w:r>
    </w:p>
    <w:p w14:paraId="2CAEA77F" w14:textId="6191D153" w:rsidR="00A66FFA" w:rsidRPr="00EC7E4C" w:rsidRDefault="00A66FFA" w:rsidP="0050324C">
      <w:pPr>
        <w:pStyle w:val="NumberList1"/>
        <w:rPr>
          <w:spacing w:val="-2"/>
        </w:rPr>
      </w:pPr>
      <w:r w:rsidRPr="00EC7E4C">
        <w:rPr>
          <w:spacing w:val="-2"/>
        </w:rPr>
        <w:t xml:space="preserve">For each hazard scenario, identify residential parcels whose evacuation route vulnerability has changed (increased or decreased) from the baseline, and determine if there are any residential areas with fewer than two evacuation routes. A geographic information systems (GIS) assessment that identifies potential vulnerabilities </w:t>
      </w:r>
      <w:r w:rsidR="005E79F8" w:rsidRPr="00EC7E4C">
        <w:rPr>
          <w:spacing w:val="-2"/>
        </w:rPr>
        <w:t>in Santee</w:t>
      </w:r>
      <w:r w:rsidRPr="00EC7E4C">
        <w:rPr>
          <w:spacing w:val="-2"/>
        </w:rPr>
        <w:t xml:space="preserve"> is performed to conclude </w:t>
      </w:r>
      <w:r w:rsidR="005B0BDA" w:rsidRPr="00EC7E4C">
        <w:rPr>
          <w:spacing w:val="-2"/>
        </w:rPr>
        <w:t>whether</w:t>
      </w:r>
      <w:r w:rsidRPr="00EC7E4C">
        <w:rPr>
          <w:spacing w:val="-2"/>
        </w:rPr>
        <w:t xml:space="preserve"> all residential parcels have at least two points of egress.</w:t>
      </w:r>
    </w:p>
    <w:p w14:paraId="61BFA41D" w14:textId="77777777" w:rsidR="00A66FFA" w:rsidRDefault="00A66FFA" w:rsidP="007C1EEA">
      <w:pPr>
        <w:overflowPunct/>
        <w:autoSpaceDE/>
        <w:autoSpaceDN/>
        <w:adjustRightInd/>
        <w:spacing w:after="160" w:line="259" w:lineRule="auto"/>
        <w:jc w:val="both"/>
        <w:textAlignment w:val="auto"/>
      </w:pPr>
      <w:r>
        <w:br w:type="page"/>
      </w:r>
    </w:p>
    <w:p w14:paraId="23EAD01E" w14:textId="77777777" w:rsidR="00A66FFA" w:rsidRDefault="00A66FFA" w:rsidP="007929B5">
      <w:pPr>
        <w:pStyle w:val="BlankPage"/>
      </w:pPr>
    </w:p>
    <w:p w14:paraId="11DBA60C" w14:textId="02CD9571" w:rsidR="00A66FFA" w:rsidRPr="007118E9" w:rsidRDefault="00A66FFA" w:rsidP="007929B5">
      <w:pPr>
        <w:pStyle w:val="BlankPage"/>
      </w:pPr>
      <w:r w:rsidRPr="007118E9">
        <w:t>This page intentionally left blank.</w:t>
      </w:r>
    </w:p>
    <w:p w14:paraId="273A88B5" w14:textId="24F6244F" w:rsidR="00A66FFA" w:rsidRDefault="00A66FFA" w:rsidP="00A66FFA">
      <w:pPr>
        <w:overflowPunct/>
        <w:autoSpaceDE/>
        <w:autoSpaceDN/>
        <w:adjustRightInd/>
        <w:spacing w:after="160" w:line="259" w:lineRule="auto"/>
        <w:textAlignment w:val="auto"/>
      </w:pPr>
    </w:p>
    <w:p w14:paraId="62253A69" w14:textId="48EBE7AF" w:rsidR="00A66FFA" w:rsidRDefault="00A66FFA">
      <w:pPr>
        <w:overflowPunct/>
        <w:autoSpaceDE/>
        <w:autoSpaceDN/>
        <w:adjustRightInd/>
        <w:spacing w:after="160" w:line="259" w:lineRule="auto"/>
        <w:textAlignment w:val="auto"/>
      </w:pPr>
      <w:r>
        <w:br w:type="page"/>
      </w:r>
    </w:p>
    <w:p w14:paraId="431419E2" w14:textId="4D4D4E29" w:rsidR="00A66FFA" w:rsidRDefault="00A66FFA" w:rsidP="00A66FFA">
      <w:pPr>
        <w:pStyle w:val="Heading1"/>
      </w:pPr>
      <w:bookmarkStart w:id="11" w:name="_Toc141431201"/>
      <w:bookmarkStart w:id="12" w:name="_Toc141431235"/>
      <w:r w:rsidRPr="0027175E">
        <w:lastRenderedPageBreak/>
        <w:t>Results</w:t>
      </w:r>
      <w:bookmarkEnd w:id="11"/>
      <w:bookmarkEnd w:id="12"/>
    </w:p>
    <w:p w14:paraId="7531C97E" w14:textId="77777777" w:rsidR="00A66FFA" w:rsidRPr="007F3703" w:rsidRDefault="00A66FFA" w:rsidP="007F3703">
      <w:pPr>
        <w:pStyle w:val="ListNumber"/>
        <w:numPr>
          <w:ilvl w:val="0"/>
          <w:numId w:val="30"/>
        </w:numPr>
        <w:rPr>
          <w:u w:val="single"/>
        </w:rPr>
      </w:pPr>
      <w:r w:rsidRPr="007F3703">
        <w:rPr>
          <w:u w:val="single"/>
        </w:rPr>
        <w:t>Baseline</w:t>
      </w:r>
    </w:p>
    <w:p w14:paraId="120BD12D" w14:textId="77777777" w:rsidR="00A66FFA" w:rsidRDefault="00A66FFA" w:rsidP="007929B5">
      <w:pPr>
        <w:pStyle w:val="BodyText"/>
      </w:pPr>
      <w:r>
        <w:t xml:space="preserve">The baseline scenario evaluates the </w:t>
      </w:r>
      <w:r w:rsidRPr="00EE151A">
        <w:t>evacuation route vulnerability of residential parcels absent a hazard event. In the baseline scenario, all outbound roads are available to residents for evacuation</w:t>
      </w:r>
      <w:r>
        <w:t xml:space="preserve"> (</w:t>
      </w:r>
      <w:r w:rsidRPr="003273A3">
        <w:rPr>
          <w:b/>
          <w:bCs w:val="0"/>
        </w:rPr>
        <w:t>Figure 1, Baseline Residential Evacuation Vulnerability Score</w:t>
      </w:r>
      <w:r>
        <w:t>)</w:t>
      </w:r>
      <w:r w:rsidRPr="00EE151A">
        <w:t xml:space="preserve">. Key intersections within the </w:t>
      </w:r>
      <w:r>
        <w:t>c</w:t>
      </w:r>
      <w:r w:rsidRPr="00EE151A">
        <w:t>ity boundary are where</w:t>
      </w:r>
      <w:r>
        <w:t xml:space="preserve"> two</w:t>
      </w:r>
      <w:r w:rsidRPr="00EE151A">
        <w:t xml:space="preserve"> arterial roads connect. These key intersections are labeled on the baseline map. Major intersections are necessary to efficiently route residents to outbound roads. Residential parcels with highe</w:t>
      </w:r>
      <w:r>
        <w:t>r</w:t>
      </w:r>
      <w:r w:rsidRPr="00EE151A">
        <w:t xml:space="preserve"> evacuation route vulnerability score</w:t>
      </w:r>
      <w:r>
        <w:t>s</w:t>
      </w:r>
      <w:r w:rsidRPr="00EE151A">
        <w:t xml:space="preserve"> are highlighted in red</w:t>
      </w:r>
      <w:r>
        <w:t>, orange, or yellow</w:t>
      </w:r>
      <w:r w:rsidRPr="00EE151A">
        <w:t xml:space="preserve">. Assuming all evacuation routes are viable, residents in the </w:t>
      </w:r>
      <w:r>
        <w:t xml:space="preserve">northern and southwestern regions </w:t>
      </w:r>
      <w:r w:rsidRPr="00EE151A">
        <w:t xml:space="preserve">of the </w:t>
      </w:r>
      <w:r>
        <w:t>c</w:t>
      </w:r>
      <w:r w:rsidRPr="00EE151A">
        <w:t>ity have the highest evacuation route vulnerability, as they have the f</w:t>
      </w:r>
      <w:r>
        <w:t>a</w:t>
      </w:r>
      <w:r w:rsidRPr="00EE151A">
        <w:t>rthest to travel to access outbound evacuation routes</w:t>
      </w:r>
      <w:r>
        <w:t xml:space="preserve"> (i.e., State Route [SR-] 67, SR-52, SR-125, and Interstate [I-] 8)</w:t>
      </w:r>
      <w:r w:rsidRPr="00EE151A">
        <w:t>.</w:t>
      </w:r>
    </w:p>
    <w:p w14:paraId="6A645C20" w14:textId="5F5F1769" w:rsidR="00A66FFA" w:rsidRDefault="00A66FFA" w:rsidP="007929B5">
      <w:pPr>
        <w:pStyle w:val="BodyText"/>
      </w:pPr>
      <w:r w:rsidRPr="001A23F8">
        <w:t xml:space="preserve">In addition to considering evacuation route vulnerability, the vulnerability of residents should be considered in determining which areas may need to be prioritized by first responders during an evacuation. The areas in the </w:t>
      </w:r>
      <w:r w:rsidR="005E79F8">
        <w:t xml:space="preserve">Santee </w:t>
      </w:r>
      <w:r w:rsidRPr="001A23F8">
        <w:t xml:space="preserve">with a greater percentage of </w:t>
      </w:r>
      <w:r>
        <w:t>older adults</w:t>
      </w:r>
      <w:r w:rsidRPr="001A23F8">
        <w:t xml:space="preserve">, </w:t>
      </w:r>
      <w:r>
        <w:t xml:space="preserve">people with </w:t>
      </w:r>
      <w:r w:rsidRPr="001A23F8">
        <w:t>disabi</w:t>
      </w:r>
      <w:r>
        <w:t>lities</w:t>
      </w:r>
      <w:r w:rsidRPr="001A23F8">
        <w:t>, and households that do not own a vehicle (i.e., transit</w:t>
      </w:r>
      <w:r>
        <w:t>-</w:t>
      </w:r>
      <w:r w:rsidRPr="001A23F8">
        <w:t>dependent populations) require greater levels of support during an evacuation. Other vulnerable groups beyond those within these demographics should be examined relative to evacuation route vulnerability.</w:t>
      </w:r>
    </w:p>
    <w:p w14:paraId="272F1AFB" w14:textId="18CB6D76" w:rsidR="00A66FFA" w:rsidRDefault="00A66FFA" w:rsidP="007929B5">
      <w:pPr>
        <w:pStyle w:val="BodyText"/>
      </w:pPr>
      <w:r>
        <w:t xml:space="preserve">For example, </w:t>
      </w:r>
      <w:r w:rsidRPr="001A23F8">
        <w:t xml:space="preserve">the following areas are defined as disadvantaged communities in the General Plan </w:t>
      </w:r>
      <w:r>
        <w:t xml:space="preserve">Safety and </w:t>
      </w:r>
      <w:r w:rsidRPr="001A23F8">
        <w:t>Environmental Justice Element:</w:t>
      </w:r>
    </w:p>
    <w:p w14:paraId="552AE37A" w14:textId="0BD7DD2B" w:rsidR="00A66FFA" w:rsidRDefault="00A66FFA" w:rsidP="00902CCE">
      <w:pPr>
        <w:pStyle w:val="BulletList1"/>
      </w:pPr>
      <w:r>
        <w:t>The area south of Mission Gorge Road and west of Fanita Road (Census Tract 0166.05)</w:t>
      </w:r>
    </w:p>
    <w:p w14:paraId="6965A66B" w14:textId="01B027E0" w:rsidR="00A66FFA" w:rsidRDefault="00A66FFA" w:rsidP="00902CCE">
      <w:pPr>
        <w:pStyle w:val="BulletList1"/>
      </w:pPr>
      <w:r>
        <w:t>The area south of Mission Gorge Road and east of Fanita Road (Census Tract 0166.16)</w:t>
      </w:r>
    </w:p>
    <w:p w14:paraId="7BAE54AC" w14:textId="054BB8B5" w:rsidR="00A66FFA" w:rsidRDefault="00A66FFA" w:rsidP="00902CCE">
      <w:pPr>
        <w:pStyle w:val="BulletList1"/>
      </w:pPr>
      <w:r>
        <w:t>The area south of Mission Gorge Road and east of Cuyamaca Street (Census Tract 0166.17)</w:t>
      </w:r>
    </w:p>
    <w:p w14:paraId="69F349B6" w14:textId="05E495CB" w:rsidR="00A66FFA" w:rsidRDefault="00A66FFA" w:rsidP="007929B5">
      <w:pPr>
        <w:pStyle w:val="BodyText"/>
      </w:pPr>
      <w:r w:rsidRPr="00902CCE">
        <w:t xml:space="preserve">[See Figure </w:t>
      </w:r>
      <w:r w:rsidR="00902CCE" w:rsidRPr="00902CCE">
        <w:t xml:space="preserve">6.1 </w:t>
      </w:r>
      <w:r w:rsidR="0050324C">
        <w:t>through Figure 6.3</w:t>
      </w:r>
      <w:r w:rsidRPr="00902CCE">
        <w:t xml:space="preserve"> i</w:t>
      </w:r>
      <w:r>
        <w:t>n the Safety and Environmental Justice Element</w:t>
      </w:r>
      <w:r w:rsidR="00D64491">
        <w:t xml:space="preserve"> for </w:t>
      </w:r>
      <w:r w:rsidR="00BA7322">
        <w:t xml:space="preserve">the City’s </w:t>
      </w:r>
      <w:r w:rsidR="00E92FFE">
        <w:t>disadvantaged communities</w:t>
      </w:r>
      <w:r>
        <w:t>.]</w:t>
      </w:r>
    </w:p>
    <w:p w14:paraId="195BC7C4" w14:textId="77777777" w:rsidR="00A66FFA" w:rsidRDefault="00A66FFA" w:rsidP="00A66FFA"/>
    <w:p w14:paraId="710B6339" w14:textId="77777777" w:rsidR="00A66FFA" w:rsidRDefault="00A66FFA" w:rsidP="00A66FFA">
      <w:r>
        <w:br w:type="page"/>
      </w:r>
    </w:p>
    <w:p w14:paraId="27F7645D" w14:textId="77777777" w:rsidR="000B22E8" w:rsidRDefault="00A66FFA" w:rsidP="000B22E8">
      <w:pPr>
        <w:pStyle w:val="FigureTitle"/>
      </w:pPr>
      <w:bookmarkStart w:id="13" w:name="_Toc141431239"/>
      <w:r w:rsidRPr="00CB3DD7">
        <w:lastRenderedPageBreak/>
        <w:t>Figure 1. Baseline Residential Evacuation Vulnerability Score</w:t>
      </w:r>
      <w:bookmarkEnd w:id="13"/>
    </w:p>
    <w:p w14:paraId="5CEA6450" w14:textId="7A158E0C" w:rsidR="00A66FFA" w:rsidRDefault="00A66FFA" w:rsidP="000B22E8">
      <w:r w:rsidRPr="000B22E8">
        <w:rPr>
          <w:noProof/>
        </w:rPr>
        <w:drawing>
          <wp:inline distT="0" distB="0" distL="0" distR="0" wp14:anchorId="4FEF000F" wp14:editId="287E83D5">
            <wp:extent cx="5909419" cy="804354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l="4449" t="3665" r="4689" b="840"/>
                    <a:stretch/>
                  </pic:blipFill>
                  <pic:spPr bwMode="auto">
                    <a:xfrm>
                      <a:off x="0" y="0"/>
                      <a:ext cx="5927512" cy="8068173"/>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27172C67" w14:textId="77777777" w:rsidR="00A66FFA" w:rsidRPr="007F3703" w:rsidRDefault="00A66FFA" w:rsidP="007F3703">
      <w:pPr>
        <w:pStyle w:val="ListNumber"/>
        <w:rPr>
          <w:u w:val="single"/>
        </w:rPr>
      </w:pPr>
      <w:r w:rsidRPr="007F3703">
        <w:rPr>
          <w:u w:val="single"/>
        </w:rPr>
        <w:lastRenderedPageBreak/>
        <w:t>Wildfire (Northeast)</w:t>
      </w:r>
    </w:p>
    <w:p w14:paraId="3F0F2F01" w14:textId="4BEEB0FB" w:rsidR="00A66FFA" w:rsidRDefault="00A66FFA" w:rsidP="007929B5">
      <w:pPr>
        <w:pStyle w:val="BodyText"/>
      </w:pPr>
      <w:bookmarkStart w:id="14" w:name="_Hlk115703078"/>
      <w:r>
        <w:t>This scenario assumes a mandatory residential evacuation due to a wildfire northeast of the city. Outbound roads leading north/northeast, such as</w:t>
      </w:r>
      <w:r w:rsidRPr="009C4CF7">
        <w:t xml:space="preserve"> </w:t>
      </w:r>
      <w:r>
        <w:t xml:space="preserve">SR-67 North, are assumed to be not viable due to the wildfire hazard. </w:t>
      </w:r>
      <w:bookmarkStart w:id="15" w:name="_Hlk128656638"/>
      <w:r>
        <w:t xml:space="preserve">The south- and west-bound freeways are the most viable evacuation routes in </w:t>
      </w:r>
      <w:r w:rsidR="005E79F8">
        <w:t>Santee</w:t>
      </w:r>
      <w:r w:rsidRPr="00A059BA">
        <w:t xml:space="preserve"> </w:t>
      </w:r>
      <w:r w:rsidRPr="00E05947">
        <w:t>in this scenario</w:t>
      </w:r>
      <w:r>
        <w:t xml:space="preserve">. </w:t>
      </w:r>
      <w:bookmarkEnd w:id="15"/>
      <w:r w:rsidRPr="00A5314B">
        <w:t xml:space="preserve">Evacuation </w:t>
      </w:r>
      <w:r>
        <w:t xml:space="preserve">vulnerability </w:t>
      </w:r>
      <w:r w:rsidRPr="00A5314B">
        <w:t>scores are re-calculated</w:t>
      </w:r>
      <w:r>
        <w:t xml:space="preserve"> from the baseline scenario</w:t>
      </w:r>
      <w:r w:rsidRPr="00A5314B">
        <w:t xml:space="preserve"> to account for the increased distance to the next closest, viable outbound road. </w:t>
      </w:r>
      <w:r w:rsidRPr="003273A3">
        <w:rPr>
          <w:b/>
          <w:bCs w:val="0"/>
        </w:rPr>
        <w:t xml:space="preserve">Figure 2, </w:t>
      </w:r>
      <w:bookmarkStart w:id="16" w:name="_Hlk129773721"/>
      <w:r w:rsidR="00957F78" w:rsidRPr="003273A3">
        <w:rPr>
          <w:b/>
          <w:bCs w:val="0"/>
        </w:rPr>
        <w:t>Northeast Wildfire Residential Evacuation Vulnerability Score</w:t>
      </w:r>
      <w:bookmarkEnd w:id="16"/>
      <w:r>
        <w:t>,</w:t>
      </w:r>
      <w:r w:rsidRPr="00A5314B">
        <w:t xml:space="preserve"> highlights residential parcels with evacuation route vulnerability scores that increased as a result of the</w:t>
      </w:r>
      <w:r>
        <w:t xml:space="preserve"> SR-67 North</w:t>
      </w:r>
      <w:r w:rsidRPr="00A5314B">
        <w:t xml:space="preserve"> evacuation route being closed.</w:t>
      </w:r>
      <w:r>
        <w:t xml:space="preserve"> SR-67 South, SR-52 West, and SR-125 South, as well as I-8, are the outbound roads most likely to be </w:t>
      </w:r>
      <w:r w:rsidR="003E3710">
        <w:t xml:space="preserve">used </w:t>
      </w:r>
      <w:r>
        <w:t xml:space="preserve">in this scenario. Residents are able to travel along the following arterial roadways in </w:t>
      </w:r>
      <w:r w:rsidR="005E79F8">
        <w:t xml:space="preserve">Santee </w:t>
      </w:r>
      <w:r>
        <w:t xml:space="preserve">in order to access the viable south- and west-bound freeways: Mast Boulevard, Mission Gorge Road, Cuyamaca Street, and Magnolia Avenue. The viable south- and west-bound freeways under this scenario increase overall evacuation capacity in </w:t>
      </w:r>
      <w:r w:rsidR="005E79F8">
        <w:t>Santee</w:t>
      </w:r>
      <w:r>
        <w:t xml:space="preserve">. </w:t>
      </w:r>
      <w:r w:rsidRPr="008D7651">
        <w:t>However, the</w:t>
      </w:r>
      <w:r>
        <w:t xml:space="preserve"> city’s internal</w:t>
      </w:r>
      <w:r w:rsidRPr="008D7651">
        <w:t xml:space="preserve"> </w:t>
      </w:r>
      <w:r>
        <w:t xml:space="preserve">roadways (e.g., arterial roads) are subject to congestion as residents attempt to access the outbound freeways. Emergency responders should consider activating evacuation traffic management along arterial roads to allow for easier access to the freeways, </w:t>
      </w:r>
      <w:r w:rsidRPr="00990882">
        <w:t>although this requires extensive coordination and should be reserved for extreme wildfire threats</w:t>
      </w:r>
      <w:r>
        <w:t>.</w:t>
      </w:r>
    </w:p>
    <w:bookmarkEnd w:id="14"/>
    <w:p w14:paraId="448B0D0F" w14:textId="77777777" w:rsidR="00A66FFA" w:rsidRDefault="00A66FFA" w:rsidP="00A66FFA">
      <w:r>
        <w:br w:type="page"/>
      </w:r>
    </w:p>
    <w:p w14:paraId="1E1C4CA3" w14:textId="77777777" w:rsidR="000B22E8" w:rsidRDefault="00A66FFA" w:rsidP="000B22E8">
      <w:pPr>
        <w:pStyle w:val="FigureTitle"/>
        <w:rPr>
          <w:u w:val="single"/>
        </w:rPr>
      </w:pPr>
      <w:bookmarkStart w:id="17" w:name="_Toc141431240"/>
      <w:r w:rsidRPr="00CB3DD7">
        <w:lastRenderedPageBreak/>
        <w:t xml:space="preserve">Figure 2. Northeast Wildfire </w:t>
      </w:r>
      <w:r w:rsidRPr="0016651E">
        <w:t>Residential</w:t>
      </w:r>
      <w:r w:rsidRPr="0089088F">
        <w:t xml:space="preserve"> Evacuation Vulnerability Score</w:t>
      </w:r>
      <w:bookmarkEnd w:id="17"/>
      <w:r>
        <w:rPr>
          <w:u w:val="single"/>
        </w:rPr>
        <w:t xml:space="preserve"> </w:t>
      </w:r>
    </w:p>
    <w:p w14:paraId="2580CE2B" w14:textId="25F4097A" w:rsidR="00A66FFA" w:rsidRPr="005965AA" w:rsidRDefault="00A66FFA" w:rsidP="000B22E8">
      <w:r>
        <w:rPr>
          <w:noProof/>
          <w:u w:val="single"/>
        </w:rPr>
        <w:drawing>
          <wp:inline distT="0" distB="0" distL="0" distR="0" wp14:anchorId="6601BA3F" wp14:editId="18944A3D">
            <wp:extent cx="5936426" cy="7972425"/>
            <wp:effectExtent l="0" t="0" r="571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4055" t="3815" r="4446" b="1226"/>
                    <a:stretch/>
                  </pic:blipFill>
                  <pic:spPr bwMode="auto">
                    <a:xfrm>
                      <a:off x="0" y="0"/>
                      <a:ext cx="5936426" cy="7972425"/>
                    </a:xfrm>
                    <a:prstGeom prst="rect">
                      <a:avLst/>
                    </a:prstGeom>
                    <a:ln>
                      <a:noFill/>
                    </a:ln>
                    <a:extLst>
                      <a:ext uri="{53640926-AAD7-44D8-BBD7-CCE9431645EC}">
                        <a14:shadowObscured xmlns:a14="http://schemas.microsoft.com/office/drawing/2010/main"/>
                      </a:ext>
                    </a:extLst>
                  </pic:spPr>
                </pic:pic>
              </a:graphicData>
            </a:graphic>
          </wp:inline>
        </w:drawing>
      </w:r>
      <w:r>
        <w:rPr>
          <w:u w:val="single"/>
        </w:rPr>
        <w:br w:type="page"/>
      </w:r>
    </w:p>
    <w:p w14:paraId="597219AB" w14:textId="77777777" w:rsidR="00A66FFA" w:rsidRPr="007F3703" w:rsidRDefault="00A66FFA" w:rsidP="007F3703">
      <w:pPr>
        <w:pStyle w:val="ListNumber"/>
        <w:rPr>
          <w:u w:val="single"/>
        </w:rPr>
      </w:pPr>
      <w:r w:rsidRPr="007F3703">
        <w:rPr>
          <w:u w:val="single"/>
        </w:rPr>
        <w:lastRenderedPageBreak/>
        <w:t>Wildfire (Northwest)</w:t>
      </w:r>
    </w:p>
    <w:p w14:paraId="094F8AFE" w14:textId="33B9C77E" w:rsidR="00A66FFA" w:rsidRPr="003C2CE5" w:rsidRDefault="00A66FFA" w:rsidP="007929B5">
      <w:pPr>
        <w:pStyle w:val="BodyText"/>
      </w:pPr>
      <w:r w:rsidRPr="00931112">
        <w:t xml:space="preserve">This scenario assumes a </w:t>
      </w:r>
      <w:r w:rsidRPr="003C2CE5">
        <w:t xml:space="preserve">mandatory residential evacuation due to a wildfire northwest of the city. Outbound roads leading north/northwest, including SR-52 West, are assumed to be not viable. The south- and east-bound freeways are the most viable evacuation routes in </w:t>
      </w:r>
      <w:r w:rsidR="005E79F8">
        <w:t xml:space="preserve">Santee </w:t>
      </w:r>
      <w:r w:rsidRPr="003C2CE5">
        <w:t xml:space="preserve">in this scenario. Evacuation scores are re-calculated from the baseline scenario to account for the increased distance to the next closest, viable outbound road. </w:t>
      </w:r>
      <w:r w:rsidRPr="003273A3">
        <w:rPr>
          <w:b/>
          <w:bCs w:val="0"/>
        </w:rPr>
        <w:t xml:space="preserve">Figure 3, </w:t>
      </w:r>
      <w:bookmarkStart w:id="18" w:name="_Hlk129773753"/>
      <w:r w:rsidRPr="003273A3">
        <w:rPr>
          <w:b/>
          <w:bCs w:val="0"/>
        </w:rPr>
        <w:t>Northwest Wildfire Residential Evacuation Vulnerability Score</w:t>
      </w:r>
      <w:bookmarkEnd w:id="18"/>
      <w:r w:rsidRPr="002A2F18">
        <w:t>,</w:t>
      </w:r>
      <w:r w:rsidRPr="00931112">
        <w:t xml:space="preserve"> highlights residential parcels with evacuation route vulnerability scores that increased as a result of the </w:t>
      </w:r>
      <w:r w:rsidRPr="003C2CE5">
        <w:t>SR-52 West</w:t>
      </w:r>
      <w:r w:rsidRPr="003C2CE5" w:rsidDel="00A059BA">
        <w:t xml:space="preserve"> </w:t>
      </w:r>
      <w:r w:rsidRPr="003C2CE5">
        <w:t>evacuation route being closed. SR-67 South, SR-52 East, SR-125 South, a</w:t>
      </w:r>
      <w:r w:rsidR="002B71B1">
        <w:t>nd</w:t>
      </w:r>
      <w:r w:rsidRPr="003C2CE5">
        <w:t xml:space="preserve"> I-8 East are the outbound roads most likely to be </w:t>
      </w:r>
      <w:r>
        <w:t>used</w:t>
      </w:r>
      <w:r w:rsidRPr="003C2CE5">
        <w:t xml:space="preserve"> in this scenario. Residents are able to travel along the following arterial roadways in </w:t>
      </w:r>
      <w:r w:rsidR="005E79F8">
        <w:t xml:space="preserve">Santee </w:t>
      </w:r>
      <w:r w:rsidRPr="003C2CE5">
        <w:t xml:space="preserve">in order to access the viable south- and east-bound freeways: Mast Boulevard, Mission Gorge Road, Cuyamaca Street, and Magnolia Avenue. The viable south- and east-bound freeways under this scenario increase overall evacuation capacity in </w:t>
      </w:r>
      <w:r w:rsidR="005E79F8">
        <w:t>Santee</w:t>
      </w:r>
      <w:r w:rsidRPr="003C2CE5">
        <w:t>. However, the city’s internal roadways (e.g., arterial roads) are subject to congestion as residents attempt to access the freeways. Emergency responders should consider activating evacuation traffic management along arterial roads to allow for easier access to the freeways, although this requires extensive coordination and should be reserved for extreme wildfire threats.</w:t>
      </w:r>
    </w:p>
    <w:p w14:paraId="4B93EBE5" w14:textId="77777777" w:rsidR="00A66FFA" w:rsidRDefault="00A66FFA" w:rsidP="00A66FFA">
      <w:r>
        <w:br w:type="page"/>
      </w:r>
    </w:p>
    <w:p w14:paraId="1D5F5279" w14:textId="77777777" w:rsidR="000B22E8" w:rsidRDefault="00A66FFA" w:rsidP="000B22E8">
      <w:pPr>
        <w:pStyle w:val="FigureTitle"/>
        <w:rPr>
          <w:noProof/>
          <w:u w:val="single"/>
        </w:rPr>
      </w:pPr>
      <w:bookmarkStart w:id="19" w:name="_Toc141431241"/>
      <w:r w:rsidRPr="00CB3DD7">
        <w:rPr>
          <w:noProof/>
        </w:rPr>
        <w:lastRenderedPageBreak/>
        <w:t>Figure 3.</w:t>
      </w:r>
      <w:r w:rsidRPr="00CB3DD7">
        <w:t xml:space="preserve"> Northwest Wildfire </w:t>
      </w:r>
      <w:r w:rsidRPr="0016651E">
        <w:t>Residential</w:t>
      </w:r>
      <w:r w:rsidRPr="0089088F">
        <w:t xml:space="preserve"> Evacuation Vulnerability Score</w:t>
      </w:r>
      <w:bookmarkEnd w:id="19"/>
      <w:r>
        <w:rPr>
          <w:noProof/>
          <w:u w:val="single"/>
        </w:rPr>
        <w:t xml:space="preserve"> </w:t>
      </w:r>
    </w:p>
    <w:p w14:paraId="04CD7DD2" w14:textId="10DA2F90" w:rsidR="00A66FFA" w:rsidRDefault="00A66FFA" w:rsidP="00A66FFA">
      <w:pPr>
        <w:jc w:val="center"/>
        <w:rPr>
          <w:u w:val="single"/>
        </w:rPr>
      </w:pPr>
      <w:r w:rsidRPr="00CB3DD7">
        <w:rPr>
          <w:noProof/>
        </w:rPr>
        <w:drawing>
          <wp:inline distT="0" distB="0" distL="0" distR="0" wp14:anchorId="68B91166" wp14:editId="0BF0C10F">
            <wp:extent cx="5905500" cy="7995840"/>
            <wp:effectExtent l="0" t="0" r="0" b="571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4231" t="3668" r="4632" b="972"/>
                    <a:stretch/>
                  </pic:blipFill>
                  <pic:spPr bwMode="auto">
                    <a:xfrm>
                      <a:off x="0" y="0"/>
                      <a:ext cx="5920035" cy="8015519"/>
                    </a:xfrm>
                    <a:prstGeom prst="rect">
                      <a:avLst/>
                    </a:prstGeom>
                    <a:ln>
                      <a:noFill/>
                    </a:ln>
                    <a:extLst>
                      <a:ext uri="{53640926-AAD7-44D8-BBD7-CCE9431645EC}">
                        <a14:shadowObscured xmlns:a14="http://schemas.microsoft.com/office/drawing/2010/main"/>
                      </a:ext>
                    </a:extLst>
                  </pic:spPr>
                </pic:pic>
              </a:graphicData>
            </a:graphic>
          </wp:inline>
        </w:drawing>
      </w:r>
      <w:r>
        <w:rPr>
          <w:u w:val="single"/>
        </w:rPr>
        <w:br w:type="page"/>
      </w:r>
    </w:p>
    <w:p w14:paraId="5A609BA8" w14:textId="77777777" w:rsidR="00A66FFA" w:rsidRPr="007F3703" w:rsidRDefault="00A66FFA" w:rsidP="007F3703">
      <w:pPr>
        <w:pStyle w:val="ListNumber"/>
        <w:rPr>
          <w:u w:val="single"/>
        </w:rPr>
      </w:pPr>
      <w:r w:rsidRPr="007F3703">
        <w:rPr>
          <w:u w:val="single"/>
        </w:rPr>
        <w:lastRenderedPageBreak/>
        <w:t>Wildfire (Southwest)</w:t>
      </w:r>
    </w:p>
    <w:p w14:paraId="474068FA" w14:textId="117E8C9B" w:rsidR="00A66FFA" w:rsidRDefault="00A66FFA" w:rsidP="007929B5">
      <w:pPr>
        <w:pStyle w:val="BodyText"/>
      </w:pPr>
      <w:r w:rsidRPr="004A7B35">
        <w:t xml:space="preserve">This </w:t>
      </w:r>
      <w:r>
        <w:t>scenario assumes a mandatory residential evacuation due to a wildfire southwest of the city. Outbound roads leading south/southwest, including SR-52 West and SR-125</w:t>
      </w:r>
      <w:r w:rsidRPr="00A059BA">
        <w:t xml:space="preserve"> </w:t>
      </w:r>
      <w:r>
        <w:t xml:space="preserve">South, are assumed to be not viable. </w:t>
      </w:r>
      <w:r w:rsidRPr="00D06E50">
        <w:t xml:space="preserve">The </w:t>
      </w:r>
      <w:r>
        <w:t>north</w:t>
      </w:r>
      <w:r w:rsidRPr="00D06E50">
        <w:t xml:space="preserve">- and east-bound freeways are the most viable evacuation routes in </w:t>
      </w:r>
      <w:r w:rsidR="005E79F8">
        <w:t xml:space="preserve">Santee </w:t>
      </w:r>
      <w:r w:rsidRPr="00E05947">
        <w:t>in this scenario</w:t>
      </w:r>
      <w:r w:rsidRPr="00D06E50">
        <w:t xml:space="preserve">. </w:t>
      </w:r>
      <w:r w:rsidRPr="00F62DB7">
        <w:t xml:space="preserve">Evacuation scores are re-calculated </w:t>
      </w:r>
      <w:r>
        <w:t>from the baseline scenario</w:t>
      </w:r>
      <w:r w:rsidRPr="00A5314B">
        <w:t xml:space="preserve"> </w:t>
      </w:r>
      <w:r w:rsidRPr="00F62DB7">
        <w:t xml:space="preserve">to account for the increased distance to the next closest, viable outbound road. </w:t>
      </w:r>
      <w:r w:rsidRPr="003273A3">
        <w:rPr>
          <w:b/>
          <w:bCs w:val="0"/>
        </w:rPr>
        <w:t>Figure 4, Southwest Wildfire Residential Evacuation Vulnerability Score</w:t>
      </w:r>
      <w:r>
        <w:t>,</w:t>
      </w:r>
      <w:r w:rsidRPr="00F62DB7">
        <w:t xml:space="preserve"> highlights residential parcels with evacuation route vulnerability scores that increased as a result of the </w:t>
      </w:r>
      <w:r>
        <w:t>SR-52 West and SR-125</w:t>
      </w:r>
      <w:r w:rsidRPr="00A059BA">
        <w:t xml:space="preserve"> </w:t>
      </w:r>
      <w:r>
        <w:t>South</w:t>
      </w:r>
      <w:r w:rsidDel="00A059BA">
        <w:t xml:space="preserve"> </w:t>
      </w:r>
      <w:r w:rsidRPr="00F62DB7">
        <w:t>evacuation route</w:t>
      </w:r>
      <w:r>
        <w:t>s</w:t>
      </w:r>
      <w:r w:rsidRPr="00F62DB7">
        <w:t xml:space="preserve"> being closed.</w:t>
      </w:r>
      <w:r>
        <w:t xml:space="preserve"> SR-67 North</w:t>
      </w:r>
      <w:r w:rsidR="002A60E7">
        <w:t>,</w:t>
      </w:r>
      <w:r>
        <w:t xml:space="preserve"> SR-52 East, a</w:t>
      </w:r>
      <w:r w:rsidR="002A60E7">
        <w:t>nd</w:t>
      </w:r>
      <w:r>
        <w:t xml:space="preserve"> I-8 East </w:t>
      </w:r>
      <w:r w:rsidRPr="00E05947">
        <w:t xml:space="preserve">are the outbound roads most likely to be </w:t>
      </w:r>
      <w:r>
        <w:t>used</w:t>
      </w:r>
      <w:r w:rsidRPr="00E05947">
        <w:t xml:space="preserve"> in this scenario</w:t>
      </w:r>
      <w:r>
        <w:t xml:space="preserve">. </w:t>
      </w:r>
      <w:r w:rsidRPr="00D06E50">
        <w:t xml:space="preserve">Residents are able to travel along the following </w:t>
      </w:r>
      <w:r>
        <w:t xml:space="preserve">arterial </w:t>
      </w:r>
      <w:r w:rsidRPr="00D06E50">
        <w:t xml:space="preserve">roadways in </w:t>
      </w:r>
      <w:r w:rsidR="005E79F8">
        <w:t xml:space="preserve">Santee </w:t>
      </w:r>
      <w:r w:rsidRPr="00D06E50">
        <w:t>to access the</w:t>
      </w:r>
      <w:r>
        <w:t xml:space="preserve"> viable north</w:t>
      </w:r>
      <w:r w:rsidRPr="00D06E50">
        <w:t xml:space="preserve">- and east-bound freeways: Mast Boulevard, Mission Gorge Road, Cuyamaca Street, and Magnolia Avenue. The </w:t>
      </w:r>
      <w:r>
        <w:t>viable north</w:t>
      </w:r>
      <w:r w:rsidRPr="00D06E50">
        <w:t>- and east-bound freeways under this scenario increase overall evacuation capacity</w:t>
      </w:r>
      <w:r>
        <w:t xml:space="preserve"> in </w:t>
      </w:r>
      <w:r w:rsidR="005E79F8">
        <w:t>Santee</w:t>
      </w:r>
      <w:r w:rsidRPr="00D06E50">
        <w:t xml:space="preserve">. </w:t>
      </w:r>
      <w:r>
        <w:t>However, the evacuation of residents without life-saving resources or residents with reduced mobility, such as those who do not have access to a vehicle of their own, may be more challenging.</w:t>
      </w:r>
    </w:p>
    <w:p w14:paraId="0D081CB5" w14:textId="77777777" w:rsidR="00A66FFA" w:rsidRDefault="00A66FFA" w:rsidP="00A66FFA">
      <w:r>
        <w:br w:type="page"/>
      </w:r>
    </w:p>
    <w:p w14:paraId="61882B3C" w14:textId="77777777" w:rsidR="000B22E8" w:rsidRDefault="00A66FFA" w:rsidP="000B22E8">
      <w:pPr>
        <w:pStyle w:val="FigureTitle"/>
        <w:rPr>
          <w:noProof/>
          <w:u w:val="single"/>
        </w:rPr>
      </w:pPr>
      <w:bookmarkStart w:id="20" w:name="_Toc141431242"/>
      <w:r w:rsidRPr="00CB3DD7">
        <w:rPr>
          <w:noProof/>
        </w:rPr>
        <w:lastRenderedPageBreak/>
        <w:t>Figure 4.</w:t>
      </w:r>
      <w:r w:rsidRPr="00CB3DD7">
        <w:t xml:space="preserve"> Southwest Wildfire </w:t>
      </w:r>
      <w:r w:rsidRPr="0016651E">
        <w:t>Residential</w:t>
      </w:r>
      <w:r w:rsidRPr="0089088F">
        <w:t xml:space="preserve"> Evacuation Vulnerability Score</w:t>
      </w:r>
      <w:bookmarkEnd w:id="20"/>
      <w:r>
        <w:rPr>
          <w:noProof/>
          <w:u w:val="single"/>
        </w:rPr>
        <w:t xml:space="preserve"> </w:t>
      </w:r>
    </w:p>
    <w:p w14:paraId="0B421616" w14:textId="121F93E8" w:rsidR="00A66FFA" w:rsidRPr="004A7B35" w:rsidRDefault="00A83220" w:rsidP="00A66FFA">
      <w:pPr>
        <w:jc w:val="center"/>
      </w:pPr>
      <w:r>
        <w:rPr>
          <w:noProof/>
        </w:rPr>
        <w:drawing>
          <wp:inline distT="0" distB="0" distL="0" distR="0" wp14:anchorId="18A39609" wp14:editId="2E2B0716">
            <wp:extent cx="5876925" cy="8001000"/>
            <wp:effectExtent l="0" t="0" r="952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6"/>
                    <a:stretch>
                      <a:fillRect/>
                    </a:stretch>
                  </pic:blipFill>
                  <pic:spPr>
                    <a:xfrm>
                      <a:off x="0" y="0"/>
                      <a:ext cx="5876925" cy="8001000"/>
                    </a:xfrm>
                    <a:prstGeom prst="rect">
                      <a:avLst/>
                    </a:prstGeom>
                  </pic:spPr>
                </pic:pic>
              </a:graphicData>
            </a:graphic>
          </wp:inline>
        </w:drawing>
      </w:r>
      <w:r w:rsidR="00A66FFA" w:rsidRPr="004A7B35">
        <w:br w:type="page"/>
      </w:r>
    </w:p>
    <w:p w14:paraId="015604AA" w14:textId="77777777" w:rsidR="00A66FFA" w:rsidRPr="007F3703" w:rsidRDefault="00A66FFA" w:rsidP="007F3703">
      <w:pPr>
        <w:pStyle w:val="ListNumber"/>
        <w:rPr>
          <w:u w:val="single"/>
        </w:rPr>
      </w:pPr>
      <w:r w:rsidRPr="007F3703">
        <w:rPr>
          <w:u w:val="single"/>
        </w:rPr>
        <w:lastRenderedPageBreak/>
        <w:t>Flood</w:t>
      </w:r>
    </w:p>
    <w:p w14:paraId="5AE8B104" w14:textId="5C4566FF" w:rsidR="00DA02AF" w:rsidRDefault="00A66FFA" w:rsidP="007929B5">
      <w:pPr>
        <w:pStyle w:val="BodyText"/>
      </w:pPr>
      <w:r w:rsidRPr="004A7B35">
        <w:t>Th</w:t>
      </w:r>
      <w:r>
        <w:t>e flood scenario assumes that</w:t>
      </w:r>
      <w:r w:rsidR="00DA02AF">
        <w:t xml:space="preserve"> all city</w:t>
      </w:r>
      <w:r>
        <w:t xml:space="preserve"> residents will need to evacuate away from the flood zone. Because the flood zone is along the San Diego River, the roadways that cross the river (i.e., located within the floodway) are assumed to be non-viable</w:t>
      </w:r>
      <w:r w:rsidR="00BA7322">
        <w:t xml:space="preserve"> routes</w:t>
      </w:r>
      <w:r>
        <w:t xml:space="preserve">. For example, the following </w:t>
      </w:r>
      <w:r w:rsidRPr="00782BDC">
        <w:t>road</w:t>
      </w:r>
      <w:r>
        <w:t>way</w:t>
      </w:r>
      <w:r w:rsidRPr="00782BDC">
        <w:t>s are non-viable</w:t>
      </w:r>
      <w:r>
        <w:t xml:space="preserve"> in the event of a flood</w:t>
      </w:r>
      <w:r w:rsidRPr="00782BDC">
        <w:t xml:space="preserve">: </w:t>
      </w:r>
      <w:bookmarkStart w:id="21" w:name="_Hlk113969577"/>
      <w:bookmarkStart w:id="22" w:name="_Hlk129774116"/>
      <w:r w:rsidRPr="00782BDC">
        <w:t>West Hills Parkway, Carlton Hills</w:t>
      </w:r>
      <w:r>
        <w:t xml:space="preserve"> </w:t>
      </w:r>
      <w:r w:rsidRPr="00782BDC">
        <w:t>Boulevard, Olive Lane, Cuyamaca Street, Magnolia Avenue, Riverford Road, and Channel Road</w:t>
      </w:r>
      <w:bookmarkEnd w:id="21"/>
      <w:r>
        <w:t xml:space="preserve"> </w:t>
      </w:r>
      <w:bookmarkEnd w:id="22"/>
      <w:r>
        <w:t>(</w:t>
      </w:r>
      <w:r w:rsidRPr="003273A3">
        <w:rPr>
          <w:b/>
          <w:bCs w:val="0"/>
        </w:rPr>
        <w:t>Figure 5, Flood Residential Evacuation Vulnerability Score</w:t>
      </w:r>
      <w:r>
        <w:t>)</w:t>
      </w:r>
      <w:r w:rsidRPr="00782BDC">
        <w:t>.</w:t>
      </w:r>
      <w:r>
        <w:t xml:space="preserve"> </w:t>
      </w:r>
      <w:r w:rsidRPr="008B6724">
        <w:t xml:space="preserve">Evacuation scores are re-calculated </w:t>
      </w:r>
      <w:r>
        <w:t xml:space="preserve">from the baseline </w:t>
      </w:r>
      <w:r w:rsidRPr="008B6724">
        <w:t xml:space="preserve">to account for the increased distance to the next closest, viable outbound road. </w:t>
      </w:r>
      <w:r>
        <w:t>Figure 5</w:t>
      </w:r>
      <w:r w:rsidRPr="008B6724">
        <w:t xml:space="preserve"> highlights residential parcels with evacuation route vulnerability scores that increased as a result of the evacuation routes being closed.</w:t>
      </w:r>
      <w:r>
        <w:t xml:space="preserve"> </w:t>
      </w:r>
      <w:r w:rsidR="00DA02AF">
        <w:t xml:space="preserve">Given that all city residents are assumed to need to evacuate, residents in the north area of the </w:t>
      </w:r>
      <w:r w:rsidR="007C0716">
        <w:t>c</w:t>
      </w:r>
      <w:r w:rsidR="00DA02AF">
        <w:t xml:space="preserve">ity (furthest from the flood zone) are shown to have the highest vulnerability, although they are much less likely to be affected by a flood from the San Diego River. </w:t>
      </w:r>
      <w:r w:rsidR="007C0716">
        <w:t xml:space="preserve">It should be noted that residents closest to the flood zone are at highest risk of being affected by a flood hazards, although these residents generally have more options for viable routes to evacuate the city. </w:t>
      </w:r>
    </w:p>
    <w:p w14:paraId="5BFDA9D9" w14:textId="0C4C5ABC" w:rsidR="00A66FFA" w:rsidRDefault="00A66FFA" w:rsidP="007929B5">
      <w:pPr>
        <w:pStyle w:val="BodyText"/>
      </w:pPr>
      <w:r>
        <w:t xml:space="preserve">The roadways (collector and arterial) that flow in directions away from the floodway are the outbound roads </w:t>
      </w:r>
      <w:r w:rsidRPr="00782BDC">
        <w:t>most likely to be utilized in this scenario</w:t>
      </w:r>
      <w:r w:rsidR="00C61337">
        <w:t xml:space="preserve"> (e.g., Mast Boulevard, Woodside Avenue, Mission Gorge Road, El Nopal, Fanita Drive, Cuyamaca Street, Magnolia Avenue)</w:t>
      </w:r>
      <w:r>
        <w:t xml:space="preserve">. </w:t>
      </w:r>
      <w:r w:rsidRPr="00003467">
        <w:t xml:space="preserve">However, </w:t>
      </w:r>
      <w:r>
        <w:t xml:space="preserve">the floodway includes sections of several of the arterial roads in </w:t>
      </w:r>
      <w:r w:rsidR="005E79F8">
        <w:t>Santee</w:t>
      </w:r>
      <w:r w:rsidR="00C61337">
        <w:t xml:space="preserve"> (i.e., Cuyamaca Street </w:t>
      </w:r>
      <w:r w:rsidR="005F7BD7">
        <w:t xml:space="preserve">and </w:t>
      </w:r>
      <w:r w:rsidR="00C61337">
        <w:t>Magnolia Avenue, where they cross the floodplain)</w:t>
      </w:r>
      <w:r>
        <w:t>. Roadways that connect residents to evacuation routes (e.g., arterial roads) may be inundated, limiting the ability of residents to evacuate. Also, first responders may have more difficulty accessing vulnerable populations that need to be evacuated once the water inundates the area.</w:t>
      </w:r>
      <w:r w:rsidR="006E63CC">
        <w:t xml:space="preserve"> For example, people with mobility restrictions (e.g., wheelchairs) would </w:t>
      </w:r>
      <w:r w:rsidR="00C61337">
        <w:t xml:space="preserve">not be able to cross a ladder and would be more difficult to access in a flooded area. </w:t>
      </w:r>
      <w:r w:rsidR="00DA02AF" w:rsidRPr="00003467">
        <w:t>The time it takes to evacuate is not as critical during a flooding event because a flood is a slower-onset hazard.</w:t>
      </w:r>
      <w:r w:rsidR="00DA02AF">
        <w:t xml:space="preserve"> However</w:t>
      </w:r>
      <w:r w:rsidR="00C61337">
        <w:t>, people experiencing homelessness may be camped near the San Diego River and therefore, inundated with floodwaters before first responders can access the area.</w:t>
      </w:r>
    </w:p>
    <w:p w14:paraId="2D69DD99" w14:textId="77777777" w:rsidR="00A66FFA" w:rsidRDefault="00A66FFA" w:rsidP="00A66FFA">
      <w:r>
        <w:br w:type="page"/>
      </w:r>
    </w:p>
    <w:p w14:paraId="632EE506" w14:textId="77777777" w:rsidR="000B22E8" w:rsidRDefault="00A66FFA" w:rsidP="000B22E8">
      <w:pPr>
        <w:pStyle w:val="FigureTitle"/>
        <w:rPr>
          <w:noProof/>
          <w:u w:val="single"/>
        </w:rPr>
      </w:pPr>
      <w:bookmarkStart w:id="23" w:name="_Toc141431243"/>
      <w:r w:rsidRPr="00CB3DD7">
        <w:rPr>
          <w:noProof/>
        </w:rPr>
        <w:lastRenderedPageBreak/>
        <w:t>Figure 5.</w:t>
      </w:r>
      <w:r w:rsidRPr="00CB3DD7">
        <w:t xml:space="preserve"> Flood </w:t>
      </w:r>
      <w:r w:rsidRPr="0089088F">
        <w:t>Residential Evacuation Vulnerability Score</w:t>
      </w:r>
      <w:bookmarkEnd w:id="23"/>
      <w:r>
        <w:rPr>
          <w:noProof/>
          <w:u w:val="single"/>
        </w:rPr>
        <w:t xml:space="preserve"> </w:t>
      </w:r>
    </w:p>
    <w:p w14:paraId="51670DDF" w14:textId="6322EA95" w:rsidR="00A66FFA" w:rsidRPr="004A7B35" w:rsidRDefault="00A66FFA" w:rsidP="00A66FFA">
      <w:pPr>
        <w:jc w:val="center"/>
      </w:pPr>
      <w:r>
        <w:t xml:space="preserve"> </w:t>
      </w:r>
      <w:r w:rsidR="00A83220" w:rsidRPr="00A83220">
        <w:rPr>
          <w:noProof/>
        </w:rPr>
        <w:drawing>
          <wp:inline distT="0" distB="0" distL="0" distR="0" wp14:anchorId="39F5CB5C" wp14:editId="258768DB">
            <wp:extent cx="5895975" cy="8029575"/>
            <wp:effectExtent l="0" t="0" r="9525" b="9525"/>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7"/>
                    <a:stretch>
                      <a:fillRect/>
                    </a:stretch>
                  </pic:blipFill>
                  <pic:spPr>
                    <a:xfrm>
                      <a:off x="0" y="0"/>
                      <a:ext cx="5895975" cy="8029575"/>
                    </a:xfrm>
                    <a:prstGeom prst="rect">
                      <a:avLst/>
                    </a:prstGeom>
                  </pic:spPr>
                </pic:pic>
              </a:graphicData>
            </a:graphic>
          </wp:inline>
        </w:drawing>
      </w:r>
      <w:r w:rsidRPr="004A7B35">
        <w:br w:type="page"/>
      </w:r>
    </w:p>
    <w:p w14:paraId="798C154D" w14:textId="77777777" w:rsidR="00A66FFA" w:rsidRPr="007F3703" w:rsidRDefault="00A66FFA" w:rsidP="007F3703">
      <w:pPr>
        <w:pStyle w:val="ListNumber"/>
        <w:rPr>
          <w:u w:val="single"/>
        </w:rPr>
      </w:pPr>
      <w:r w:rsidRPr="007F3703">
        <w:rPr>
          <w:u w:val="single"/>
        </w:rPr>
        <w:lastRenderedPageBreak/>
        <w:t>Earthquake</w:t>
      </w:r>
    </w:p>
    <w:p w14:paraId="0E1A1D64" w14:textId="56B6E9F0" w:rsidR="00A66FFA" w:rsidRDefault="00A66FFA" w:rsidP="007929B5">
      <w:pPr>
        <w:pStyle w:val="BodyText"/>
      </w:pPr>
      <w:r>
        <w:t>Because earthquakes can cause damage to bridges</w:t>
      </w:r>
      <w:r w:rsidR="004D6093">
        <w:t>, including freeway bridges</w:t>
      </w:r>
      <w:r>
        <w:t>, the following assumptions were made: (</w:t>
      </w:r>
      <w:r w:rsidRPr="007903C0">
        <w:t xml:space="preserve">1) residential parcels that require a bridge crossing to access their most efficient evacuation route are more vulnerable compared to those that do not need to cross a bridge, and </w:t>
      </w:r>
      <w:r>
        <w:t>(</w:t>
      </w:r>
      <w:r w:rsidRPr="007903C0">
        <w:t xml:space="preserve">2) outbound roads that require a bridge crossing may not be viable evacuation routes after an earthquake. To account for the first assumption, residential parcels that require a bridge crossing to access their otherwise most efficient evacuation route have a higher </w:t>
      </w:r>
      <w:r>
        <w:t xml:space="preserve">vulnerability </w:t>
      </w:r>
      <w:r w:rsidRPr="007903C0">
        <w:t>weight assigned to the road segment with the bridge.</w:t>
      </w:r>
      <w:r>
        <w:t xml:space="preserve"> </w:t>
      </w:r>
      <w:r w:rsidRPr="007903C0">
        <w:t>The second assumption removes the majority of evacuation routes from the analysis.</w:t>
      </w:r>
      <w:r>
        <w:t xml:space="preserve"> For example, the bridges along the following roads are assumed to not be accessible in the event of an earthquake: C</w:t>
      </w:r>
      <w:r w:rsidRPr="003F27CA">
        <w:t xml:space="preserve">arlton Hills Boulevard, Cuyamaca Street, </w:t>
      </w:r>
      <w:r>
        <w:t xml:space="preserve">and </w:t>
      </w:r>
      <w:r w:rsidRPr="003F27CA">
        <w:t>Magnolia Avenu</w:t>
      </w:r>
      <w:r>
        <w:t xml:space="preserve">e. Vulnerable residential parcels with no viable evacuation routes are denoted in the shaded areas on </w:t>
      </w:r>
      <w:r w:rsidRPr="003273A3">
        <w:rPr>
          <w:b/>
          <w:bCs w:val="0"/>
        </w:rPr>
        <w:t>Figure 6, Earthquake Residential Evacuation Vulnerability Score</w:t>
      </w:r>
      <w:r>
        <w:t xml:space="preserve">. </w:t>
      </w:r>
      <w:r w:rsidRPr="00435BE7">
        <w:rPr>
          <w:b/>
          <w:i/>
          <w:iCs/>
        </w:rPr>
        <w:t>Note:</w:t>
      </w:r>
      <w:r>
        <w:t xml:space="preserve"> This figure represents a worst-case scenario where all bridges fail, meaning that no bridges can be traversed. The areas that do not have two points of egress have been included in this map </w:t>
      </w:r>
      <w:r w:rsidR="007020DB">
        <w:t>to</w:t>
      </w:r>
      <w:r>
        <w:t xml:space="preserve"> comply with </w:t>
      </w:r>
      <w:r w:rsidR="000E0338" w:rsidRPr="001779F3">
        <w:t>S</w:t>
      </w:r>
      <w:r w:rsidR="000E0338">
        <w:t>B</w:t>
      </w:r>
      <w:r w:rsidR="000E0338" w:rsidRPr="001779F3">
        <w:t xml:space="preserve"> </w:t>
      </w:r>
      <w:r>
        <w:t xml:space="preserve">99. Compared to the baseline scenario, more residential parcels in this scenario are </w:t>
      </w:r>
      <w:r w:rsidRPr="007903C0">
        <w:t xml:space="preserve">vulnerable </w:t>
      </w:r>
      <w:r>
        <w:t>due to their proximity to</w:t>
      </w:r>
      <w:r w:rsidRPr="007903C0">
        <w:t xml:space="preserve"> bridges, including those in the </w:t>
      </w:r>
      <w:r>
        <w:t>south</w:t>
      </w:r>
      <w:r w:rsidR="00285F17">
        <w:t xml:space="preserve"> central and northwest</w:t>
      </w:r>
      <w:r>
        <w:t xml:space="preserve"> regions</w:t>
      </w:r>
      <w:r w:rsidRPr="007903C0">
        <w:t xml:space="preserve"> of the </w:t>
      </w:r>
      <w:r>
        <w:t>c</w:t>
      </w:r>
      <w:r w:rsidRPr="007903C0">
        <w:t>ity</w:t>
      </w:r>
      <w:r>
        <w:t>. Residents in these areas would not be able to evacuate along the identified evacuation routes (i.e., freeways) because the arterials and collectors</w:t>
      </w:r>
      <w:r w:rsidDel="00867950">
        <w:t xml:space="preserve"> </w:t>
      </w:r>
      <w:r>
        <w:t xml:space="preserve">that connect to the freeways would not be accessible. </w:t>
      </w:r>
      <w:r w:rsidRPr="00545438">
        <w:t xml:space="preserve">Emergency responders should consider the possibility of bridge failure and </w:t>
      </w:r>
      <w:r>
        <w:t xml:space="preserve">should also </w:t>
      </w:r>
      <w:r w:rsidRPr="00545438">
        <w:t xml:space="preserve">encourage residents to pre-determine routes without bridge crossings that lead out of the </w:t>
      </w:r>
      <w:r>
        <w:t>c</w:t>
      </w:r>
      <w:r w:rsidRPr="00545438">
        <w:t>ity.</w:t>
      </w:r>
      <w:r w:rsidR="00285F17">
        <w:t xml:space="preserve"> Bridges should be inspected regularly and reinforced as needed to prevent the possibility of bridge failure during an evacuation event. </w:t>
      </w:r>
    </w:p>
    <w:p w14:paraId="1AE646E5" w14:textId="77777777" w:rsidR="00A66FFA" w:rsidRDefault="00A66FFA" w:rsidP="00A66FFA">
      <w:r>
        <w:br w:type="page"/>
      </w:r>
    </w:p>
    <w:p w14:paraId="572C1A00" w14:textId="77777777" w:rsidR="000B22E8" w:rsidRDefault="00A66FFA" w:rsidP="000B22E8">
      <w:pPr>
        <w:pStyle w:val="FigureTitle"/>
        <w:rPr>
          <w:noProof/>
          <w:u w:val="single"/>
        </w:rPr>
      </w:pPr>
      <w:bookmarkStart w:id="24" w:name="_Toc141431244"/>
      <w:r w:rsidRPr="00CB3DD7">
        <w:rPr>
          <w:noProof/>
        </w:rPr>
        <w:lastRenderedPageBreak/>
        <w:t>Figure 6.</w:t>
      </w:r>
      <w:r w:rsidRPr="00CB3DD7">
        <w:t xml:space="preserve"> Earthquake </w:t>
      </w:r>
      <w:r w:rsidRPr="0089088F">
        <w:t>Residential Evacuation Vulnerability Score</w:t>
      </w:r>
      <w:bookmarkEnd w:id="24"/>
      <w:r>
        <w:rPr>
          <w:noProof/>
          <w:u w:val="single"/>
        </w:rPr>
        <w:t xml:space="preserve"> </w:t>
      </w:r>
    </w:p>
    <w:p w14:paraId="0F3A7033" w14:textId="1A04E518" w:rsidR="00A66FFA" w:rsidRDefault="00285F17" w:rsidP="00A66FFA">
      <w:pPr>
        <w:jc w:val="center"/>
      </w:pPr>
      <w:r>
        <w:rPr>
          <w:noProof/>
        </w:rPr>
        <w:drawing>
          <wp:inline distT="0" distB="0" distL="0" distR="0" wp14:anchorId="72E90225" wp14:editId="70044CC2">
            <wp:extent cx="5924550" cy="8020050"/>
            <wp:effectExtent l="0" t="0" r="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8"/>
                    <a:stretch>
                      <a:fillRect/>
                    </a:stretch>
                  </pic:blipFill>
                  <pic:spPr>
                    <a:xfrm>
                      <a:off x="0" y="0"/>
                      <a:ext cx="5924550" cy="8020050"/>
                    </a:xfrm>
                    <a:prstGeom prst="rect">
                      <a:avLst/>
                    </a:prstGeom>
                  </pic:spPr>
                </pic:pic>
              </a:graphicData>
            </a:graphic>
          </wp:inline>
        </w:drawing>
      </w:r>
    </w:p>
    <w:p w14:paraId="1C25DCD2" w14:textId="17746063" w:rsidR="0071139F" w:rsidRDefault="0071139F">
      <w:pPr>
        <w:pStyle w:val="Heading1"/>
      </w:pPr>
      <w:bookmarkStart w:id="25" w:name="_Toc141431202"/>
      <w:bookmarkStart w:id="26" w:name="_Toc141431236"/>
      <w:r>
        <w:lastRenderedPageBreak/>
        <w:t>Evacuation Locations</w:t>
      </w:r>
      <w:bookmarkEnd w:id="25"/>
      <w:bookmarkEnd w:id="26"/>
    </w:p>
    <w:p w14:paraId="34EEE2D2" w14:textId="35850B0E" w:rsidR="00CA37B6" w:rsidRPr="00EC7E4C" w:rsidRDefault="0071139F" w:rsidP="0071139F">
      <w:pPr>
        <w:pStyle w:val="BodyText"/>
        <w:rPr>
          <w:spacing w:val="-4"/>
        </w:rPr>
      </w:pPr>
      <w:r w:rsidRPr="00EC7E4C">
        <w:rPr>
          <w:spacing w:val="-4"/>
        </w:rPr>
        <w:t xml:space="preserve">In accordance with AB 1409, this Evacuation Route Analysis is required to identify evacuation locations for the </w:t>
      </w:r>
      <w:r w:rsidR="007020DB" w:rsidRPr="00EC7E4C">
        <w:rPr>
          <w:spacing w:val="-4"/>
        </w:rPr>
        <w:t>c</w:t>
      </w:r>
      <w:r w:rsidRPr="00EC7E4C">
        <w:rPr>
          <w:spacing w:val="-4"/>
        </w:rPr>
        <w:t xml:space="preserve">ity. Evacuation locations for </w:t>
      </w:r>
      <w:r w:rsidR="007020DB" w:rsidRPr="00EC7E4C">
        <w:rPr>
          <w:spacing w:val="-4"/>
        </w:rPr>
        <w:t>c</w:t>
      </w:r>
      <w:r w:rsidRPr="00EC7E4C">
        <w:rPr>
          <w:spacing w:val="-4"/>
        </w:rPr>
        <w:t xml:space="preserve">ity residents would be dependent on the type and location of hazardous event affecting the </w:t>
      </w:r>
      <w:r w:rsidR="00450152" w:rsidRPr="00EC7E4C">
        <w:rPr>
          <w:spacing w:val="-4"/>
        </w:rPr>
        <w:t>city</w:t>
      </w:r>
      <w:r w:rsidRPr="00EC7E4C">
        <w:rPr>
          <w:spacing w:val="-4"/>
        </w:rPr>
        <w:t xml:space="preserve"> and would be determined by first responders on</w:t>
      </w:r>
      <w:r w:rsidR="007020DB" w:rsidRPr="00EC7E4C">
        <w:rPr>
          <w:spacing w:val="-4"/>
        </w:rPr>
        <w:t xml:space="preserve"> </w:t>
      </w:r>
      <w:r w:rsidRPr="00EC7E4C">
        <w:rPr>
          <w:spacing w:val="-4"/>
        </w:rPr>
        <w:t xml:space="preserve">site during emergency situations. For example, if a wildfire occurs north of the </w:t>
      </w:r>
      <w:r w:rsidR="00450152" w:rsidRPr="00EC7E4C">
        <w:rPr>
          <w:spacing w:val="-4"/>
        </w:rPr>
        <w:t>city</w:t>
      </w:r>
      <w:r w:rsidRPr="00EC7E4C">
        <w:rPr>
          <w:spacing w:val="-4"/>
        </w:rPr>
        <w:t xml:space="preserve">, residents would be directed to evacuate to community centers and City buildings in the southern portion of the </w:t>
      </w:r>
      <w:r w:rsidR="00450152" w:rsidRPr="00EC7E4C">
        <w:rPr>
          <w:spacing w:val="-4"/>
        </w:rPr>
        <w:t>city</w:t>
      </w:r>
      <w:r w:rsidRPr="00EC7E4C">
        <w:rPr>
          <w:spacing w:val="-4"/>
        </w:rPr>
        <w:t xml:space="preserve">, such as the City of Santee </w:t>
      </w:r>
      <w:r w:rsidR="00ED2F97" w:rsidRPr="00EC7E4C">
        <w:rPr>
          <w:spacing w:val="-4"/>
        </w:rPr>
        <w:t xml:space="preserve">Emergency </w:t>
      </w:r>
      <w:r w:rsidRPr="00EC7E4C">
        <w:rPr>
          <w:spacing w:val="-4"/>
        </w:rPr>
        <w:t>Operations Center</w:t>
      </w:r>
      <w:r w:rsidR="00EB54D2" w:rsidRPr="00EC7E4C">
        <w:rPr>
          <w:spacing w:val="-4"/>
        </w:rPr>
        <w:t xml:space="preserve"> (City of Santee Town Hall) or Alternate Emergency Operations Center (Santee Public Works Operations Center)</w:t>
      </w:r>
      <w:r w:rsidRPr="00EC7E4C">
        <w:rPr>
          <w:spacing w:val="-4"/>
        </w:rPr>
        <w:t xml:space="preserve">, or to areas south of the </w:t>
      </w:r>
      <w:r w:rsidR="00450152" w:rsidRPr="00EC7E4C">
        <w:rPr>
          <w:spacing w:val="-4"/>
        </w:rPr>
        <w:t>city</w:t>
      </w:r>
      <w:r w:rsidRPr="00EC7E4C">
        <w:rPr>
          <w:spacing w:val="-4"/>
        </w:rPr>
        <w:t xml:space="preserve">, such as El Cajon. Evacuation locations would consist of places in </w:t>
      </w:r>
      <w:r w:rsidR="005E79F8" w:rsidRPr="00EC7E4C">
        <w:rPr>
          <w:spacing w:val="-4"/>
        </w:rPr>
        <w:t xml:space="preserve">Santee </w:t>
      </w:r>
      <w:r w:rsidRPr="00EC7E4C">
        <w:rPr>
          <w:spacing w:val="-4"/>
        </w:rPr>
        <w:t>that residents are familiar with, such as parks, community centers, schools, libraries, City department buildings, or churches.</w:t>
      </w:r>
    </w:p>
    <w:p w14:paraId="326FA9B6" w14:textId="77777777" w:rsidR="00ED2F97" w:rsidRDefault="00ED2F97" w:rsidP="0071139F">
      <w:pPr>
        <w:pStyle w:val="BodyText"/>
      </w:pPr>
    </w:p>
    <w:p w14:paraId="1520896F" w14:textId="77777777" w:rsidR="00CA37B6" w:rsidRDefault="00CA37B6">
      <w:pPr>
        <w:overflowPunct/>
        <w:autoSpaceDE/>
        <w:autoSpaceDN/>
        <w:adjustRightInd/>
        <w:spacing w:after="160" w:line="259" w:lineRule="auto"/>
        <w:textAlignment w:val="auto"/>
        <w:rPr>
          <w:color w:val="000000" w:themeColor="text1"/>
        </w:rPr>
      </w:pPr>
      <w:r>
        <w:br w:type="page"/>
      </w:r>
    </w:p>
    <w:p w14:paraId="08875168" w14:textId="77777777" w:rsidR="00CA37B6" w:rsidRDefault="00CA37B6" w:rsidP="00034981">
      <w:pPr>
        <w:pStyle w:val="BlankPage"/>
      </w:pPr>
    </w:p>
    <w:p w14:paraId="521CF43E" w14:textId="4EBECB3A" w:rsidR="00CA37B6" w:rsidRPr="007118E9" w:rsidRDefault="00CA37B6" w:rsidP="00034981">
      <w:pPr>
        <w:pStyle w:val="BlankPage"/>
      </w:pPr>
      <w:r w:rsidRPr="007118E9">
        <w:t>This page intentionally left blank.</w:t>
      </w:r>
    </w:p>
    <w:p w14:paraId="71F83BCA" w14:textId="7386FE30" w:rsidR="0071139F" w:rsidRDefault="0071139F" w:rsidP="0071139F">
      <w:pPr>
        <w:pStyle w:val="BodyText"/>
      </w:pPr>
    </w:p>
    <w:p w14:paraId="66A27427" w14:textId="38F14749" w:rsidR="007020DB" w:rsidRDefault="007020DB">
      <w:pPr>
        <w:overflowPunct/>
        <w:autoSpaceDE/>
        <w:autoSpaceDN/>
        <w:adjustRightInd/>
        <w:spacing w:after="160" w:line="259" w:lineRule="auto"/>
        <w:textAlignment w:val="auto"/>
        <w:rPr>
          <w:color w:val="000000" w:themeColor="text1"/>
        </w:rPr>
      </w:pPr>
      <w:r>
        <w:br w:type="page"/>
      </w:r>
    </w:p>
    <w:p w14:paraId="4062B832" w14:textId="44BF7230" w:rsidR="00A66FFA" w:rsidRPr="00C35CD7" w:rsidRDefault="00A66FFA" w:rsidP="00A66FFA">
      <w:pPr>
        <w:pStyle w:val="Heading1"/>
      </w:pPr>
      <w:bookmarkStart w:id="27" w:name="_Toc141431203"/>
      <w:bookmarkStart w:id="28" w:name="_Toc141431237"/>
      <w:r w:rsidRPr="00C35CD7">
        <w:lastRenderedPageBreak/>
        <w:t>Conclusion</w:t>
      </w:r>
      <w:bookmarkEnd w:id="27"/>
      <w:bookmarkEnd w:id="28"/>
    </w:p>
    <w:p w14:paraId="26412B0F" w14:textId="788E0441" w:rsidR="00A66FFA" w:rsidRDefault="00A66FFA" w:rsidP="007929B5">
      <w:pPr>
        <w:pStyle w:val="BodyText"/>
      </w:pPr>
      <w:r w:rsidRPr="0041682E">
        <w:t xml:space="preserve">The results </w:t>
      </w:r>
      <w:r>
        <w:t xml:space="preserve">of the </w:t>
      </w:r>
      <w:r w:rsidR="00450152">
        <w:t>E</w:t>
      </w:r>
      <w:r>
        <w:t xml:space="preserve">vacuation </w:t>
      </w:r>
      <w:r w:rsidR="00450152">
        <w:t>R</w:t>
      </w:r>
      <w:r>
        <w:t xml:space="preserve">oute </w:t>
      </w:r>
      <w:r w:rsidR="00450152">
        <w:t>A</w:t>
      </w:r>
      <w:r>
        <w:t xml:space="preserve">nalysis </w:t>
      </w:r>
      <w:r w:rsidRPr="0041682E">
        <w:t>were as expected</w:t>
      </w:r>
      <w:r w:rsidRPr="00135B3D">
        <w:t xml:space="preserve"> </w:t>
      </w:r>
      <w:r w:rsidRPr="0041682E">
        <w:t xml:space="preserve">for </w:t>
      </w:r>
      <w:r>
        <w:t xml:space="preserve">each of </w:t>
      </w:r>
      <w:r w:rsidRPr="0041682E">
        <w:t>the hazard scenarios</w:t>
      </w:r>
      <w:r>
        <w:t>.</w:t>
      </w:r>
      <w:r w:rsidRPr="0041682E">
        <w:t xml:space="preserve"> Residential parcels near outbound roads that were assumed to be non-viable under the hazard scenario saw an increase in their </w:t>
      </w:r>
      <w:r>
        <w:t>E</w:t>
      </w:r>
      <w:r w:rsidRPr="0041682E">
        <w:t xml:space="preserve">vacuation </w:t>
      </w:r>
      <w:r>
        <w:t>R</w:t>
      </w:r>
      <w:r w:rsidRPr="0041682E">
        <w:t xml:space="preserve">oute </w:t>
      </w:r>
      <w:r>
        <w:t>V</w:t>
      </w:r>
      <w:r w:rsidRPr="0041682E">
        <w:t xml:space="preserve">ulnerability </w:t>
      </w:r>
      <w:r>
        <w:t>S</w:t>
      </w:r>
      <w:r w:rsidRPr="0041682E">
        <w:t>core</w:t>
      </w:r>
      <w:r>
        <w:t xml:space="preserve"> compared to the baseline scenario</w:t>
      </w:r>
      <w:r w:rsidRPr="0041682E">
        <w:t xml:space="preserve">, reflecting the greater distance residents would </w:t>
      </w:r>
      <w:r>
        <w:t xml:space="preserve">need to </w:t>
      </w:r>
      <w:r w:rsidRPr="0041682E">
        <w:t>travel to access the next nearest outbound evacuation route</w:t>
      </w:r>
      <w:r>
        <w:t>:</w:t>
      </w:r>
    </w:p>
    <w:p w14:paraId="2D1DB092" w14:textId="77777777" w:rsidR="00A66FFA" w:rsidRPr="0038385D" w:rsidRDefault="00A66FFA" w:rsidP="0038385D">
      <w:pPr>
        <w:pStyle w:val="BulletList1"/>
        <w:rPr>
          <w:spacing w:val="-2"/>
        </w:rPr>
      </w:pPr>
      <w:r w:rsidRPr="0038385D">
        <w:rPr>
          <w:spacing w:val="-2"/>
        </w:rPr>
        <w:t xml:space="preserve">The baseline scenario suggests that residents closest to the northern region of the city center are most vulnerable given the distance they would need to travel to access </w:t>
      </w:r>
      <w:proofErr w:type="spellStart"/>
      <w:r w:rsidRPr="0038385D">
        <w:rPr>
          <w:spacing w:val="-2"/>
        </w:rPr>
        <w:t>an</w:t>
      </w:r>
      <w:proofErr w:type="spellEnd"/>
      <w:r w:rsidRPr="0038385D">
        <w:rPr>
          <w:spacing w:val="-2"/>
        </w:rPr>
        <w:t xml:space="preserve"> outbound road.</w:t>
      </w:r>
    </w:p>
    <w:p w14:paraId="461A463D" w14:textId="245FD07B" w:rsidR="00A66FFA" w:rsidRDefault="00A66FFA" w:rsidP="0050324C">
      <w:pPr>
        <w:pStyle w:val="BodyText"/>
      </w:pPr>
      <w:r w:rsidRPr="00F61172">
        <w:t xml:space="preserve">The </w:t>
      </w:r>
      <w:r w:rsidR="00450152">
        <w:t>E</w:t>
      </w:r>
      <w:r w:rsidRPr="00F61172">
        <w:t xml:space="preserve">vacuation </w:t>
      </w:r>
      <w:r w:rsidR="00450152">
        <w:t>R</w:t>
      </w:r>
      <w:r w:rsidRPr="00F61172">
        <w:t xml:space="preserve">oute </w:t>
      </w:r>
      <w:r w:rsidR="00450152">
        <w:t>A</w:t>
      </w:r>
      <w:r w:rsidRPr="00F61172">
        <w:t>nalysis identified potential vulnerabilities in the city</w:t>
      </w:r>
      <w:r>
        <w:t xml:space="preserve"> </w:t>
      </w:r>
      <w:r w:rsidRPr="00F61172">
        <w:t xml:space="preserve">according to a GIS assessment that concludes </w:t>
      </w:r>
      <w:r w:rsidR="00551CB5" w:rsidRPr="00F61172">
        <w:t>whether</w:t>
      </w:r>
      <w:r w:rsidRPr="00F61172">
        <w:t xml:space="preserve"> all residential parcels have at least two points of egress.</w:t>
      </w:r>
      <w:r w:rsidR="00551CB5">
        <w:t xml:space="preserve"> </w:t>
      </w:r>
      <w:r>
        <w:t xml:space="preserve">The analysis shows that residents closest to the southern and southwestern regions of the city are most vulnerable given the bridges they would need to traverse to access </w:t>
      </w:r>
      <w:proofErr w:type="spellStart"/>
      <w:r>
        <w:t>an</w:t>
      </w:r>
      <w:proofErr w:type="spellEnd"/>
      <w:r>
        <w:t xml:space="preserve"> outbound road:</w:t>
      </w:r>
    </w:p>
    <w:p w14:paraId="7CF3FFFC" w14:textId="77777777" w:rsidR="00E20A3A" w:rsidRPr="001D2EA4" w:rsidRDefault="00E20A3A" w:rsidP="00E20A3A">
      <w:pPr>
        <w:pStyle w:val="BulletList1"/>
      </w:pPr>
      <w:bookmarkStart w:id="29" w:name="_Hlk128656746"/>
      <w:r>
        <w:t xml:space="preserve">The residential parcels in the northern region of the city are the most vulnerable in the event of a wildfire from the northeast; however, these residents have more than two viable evacuation routes in </w:t>
      </w:r>
      <w:r w:rsidRPr="001D2EA4">
        <w:t xml:space="preserve">this scenario. </w:t>
      </w:r>
    </w:p>
    <w:p w14:paraId="37B04ED9" w14:textId="77777777" w:rsidR="00E20A3A" w:rsidRPr="001D2EA4" w:rsidRDefault="00E20A3A" w:rsidP="00E20A3A">
      <w:pPr>
        <w:pStyle w:val="BulletList1"/>
      </w:pPr>
      <w:r w:rsidRPr="001D2EA4">
        <w:t xml:space="preserve">The residential parcels in the northern region of the city are the most vulnerable in the event of a wildfire from the northwest; however, these residents have more than two viable evacuation routes in this scenario. </w:t>
      </w:r>
    </w:p>
    <w:p w14:paraId="01CDAEAE" w14:textId="77777777" w:rsidR="00E20A3A" w:rsidRPr="001D2EA4" w:rsidRDefault="00E20A3A" w:rsidP="00E20A3A">
      <w:pPr>
        <w:pStyle w:val="BulletList1"/>
      </w:pPr>
      <w:r w:rsidRPr="001D2EA4">
        <w:t xml:space="preserve">The residential parcels in the northern and western regions of the city are the most vulnerable in the event of a wildfire from the </w:t>
      </w:r>
      <w:r>
        <w:t>s</w:t>
      </w:r>
      <w:r w:rsidRPr="001D2EA4">
        <w:t>o</w:t>
      </w:r>
      <w:r>
        <w:t>u</w:t>
      </w:r>
      <w:r w:rsidRPr="001D2EA4">
        <w:t xml:space="preserve">thwest; however, these residents have more than two viable evacuation routes in this scenario. </w:t>
      </w:r>
    </w:p>
    <w:p w14:paraId="4AB30681" w14:textId="77777777" w:rsidR="00E20A3A" w:rsidRPr="001D2EA4" w:rsidRDefault="00E20A3A" w:rsidP="00E20A3A">
      <w:pPr>
        <w:pStyle w:val="BulletList1"/>
      </w:pPr>
      <w:r w:rsidRPr="001D2EA4">
        <w:t xml:space="preserve">The residential parcels in the </w:t>
      </w:r>
      <w:r w:rsidRPr="00EC4B15">
        <w:t xml:space="preserve">northern </w:t>
      </w:r>
      <w:r w:rsidRPr="001D2EA4">
        <w:t xml:space="preserve">region of the city are the most vulnerable in the event of a flood; however, these residents have more than two viable evacuation routes in this scenario. </w:t>
      </w:r>
    </w:p>
    <w:p w14:paraId="79056028" w14:textId="542A86A3" w:rsidR="00A66FFA" w:rsidRDefault="00A66FFA" w:rsidP="0038385D">
      <w:pPr>
        <w:pStyle w:val="BulletList1"/>
      </w:pPr>
      <w:r>
        <w:t>The residential parcels in the south</w:t>
      </w:r>
      <w:r w:rsidR="00285F17">
        <w:t xml:space="preserve"> central and northwest</w:t>
      </w:r>
      <w:r>
        <w:t xml:space="preserve"> region</w:t>
      </w:r>
      <w:r w:rsidR="00285F17">
        <w:t>s</w:t>
      </w:r>
      <w:r>
        <w:t xml:space="preserve"> of the city do not have any viable evacuation routes in the event of an earthquake.</w:t>
      </w:r>
    </w:p>
    <w:p w14:paraId="5E46E21B" w14:textId="77777777" w:rsidR="00A66FFA" w:rsidRDefault="00A66FFA" w:rsidP="0038385D">
      <w:pPr>
        <w:pStyle w:val="BulletList1"/>
      </w:pPr>
      <w:r>
        <w:t xml:space="preserve">The residential parcels in the southwestern region of the city only have one viable evacuation route </w:t>
      </w:r>
      <w:r w:rsidRPr="006B3AD7">
        <w:t>in the event of an earthquake</w:t>
      </w:r>
      <w:r>
        <w:t>: Mission Gorge Road.</w:t>
      </w:r>
    </w:p>
    <w:bookmarkEnd w:id="29"/>
    <w:p w14:paraId="0C1F4D96" w14:textId="77777777" w:rsidR="00392D3A" w:rsidRDefault="00392D3A">
      <w:pPr>
        <w:overflowPunct/>
        <w:autoSpaceDE/>
        <w:autoSpaceDN/>
        <w:adjustRightInd/>
        <w:spacing w:after="160" w:line="259" w:lineRule="auto"/>
        <w:textAlignment w:val="auto"/>
        <w:rPr>
          <w:b/>
        </w:rPr>
      </w:pPr>
      <w:r>
        <w:rPr>
          <w:b/>
        </w:rPr>
        <w:br w:type="page"/>
      </w:r>
    </w:p>
    <w:p w14:paraId="12DACA44" w14:textId="77777777" w:rsidR="00392D3A" w:rsidRDefault="00392D3A" w:rsidP="007929B5">
      <w:pPr>
        <w:pStyle w:val="BlankPage"/>
      </w:pPr>
    </w:p>
    <w:p w14:paraId="301CB2D4" w14:textId="78E56183" w:rsidR="00392D3A" w:rsidRPr="007118E9" w:rsidRDefault="00392D3A" w:rsidP="007929B5">
      <w:pPr>
        <w:pStyle w:val="BlankPage"/>
      </w:pPr>
      <w:r w:rsidRPr="007118E9">
        <w:t>This page intentionally left blank.</w:t>
      </w:r>
    </w:p>
    <w:p w14:paraId="110E8BE3" w14:textId="77777777" w:rsidR="00392D3A" w:rsidRDefault="00392D3A">
      <w:pPr>
        <w:overflowPunct/>
        <w:autoSpaceDE/>
        <w:autoSpaceDN/>
        <w:adjustRightInd/>
        <w:spacing w:after="160" w:line="259" w:lineRule="auto"/>
        <w:textAlignment w:val="auto"/>
        <w:rPr>
          <w:b/>
        </w:rPr>
      </w:pPr>
      <w:r>
        <w:rPr>
          <w:b/>
        </w:rPr>
        <w:br w:type="page"/>
      </w:r>
    </w:p>
    <w:p w14:paraId="605CFE26" w14:textId="090B497A" w:rsidR="00A66FFA" w:rsidRDefault="00392D3A" w:rsidP="00392D3A">
      <w:pPr>
        <w:pStyle w:val="Heading1"/>
      </w:pPr>
      <w:bookmarkStart w:id="30" w:name="_Toc141431204"/>
      <w:bookmarkStart w:id="31" w:name="_Toc141431238"/>
      <w:r w:rsidRPr="00C35CD7">
        <w:lastRenderedPageBreak/>
        <w:t>Recommendations</w:t>
      </w:r>
      <w:bookmarkEnd w:id="30"/>
      <w:bookmarkEnd w:id="31"/>
    </w:p>
    <w:p w14:paraId="6DA5E53E" w14:textId="77777777" w:rsidR="00ED2F97" w:rsidRDefault="00A66FFA" w:rsidP="007929B5">
      <w:pPr>
        <w:pStyle w:val="BodyText"/>
      </w:pPr>
      <w:r w:rsidRPr="008211AA">
        <w:t xml:space="preserve">The </w:t>
      </w:r>
      <w:r w:rsidR="00450152">
        <w:t>E</w:t>
      </w:r>
      <w:r w:rsidRPr="008211AA">
        <w:t xml:space="preserve">vacuation </w:t>
      </w:r>
      <w:r w:rsidR="00450152">
        <w:t>R</w:t>
      </w:r>
      <w:r w:rsidRPr="008211AA">
        <w:t xml:space="preserve">oute </w:t>
      </w:r>
      <w:r w:rsidR="00450152">
        <w:t>A</w:t>
      </w:r>
      <w:r w:rsidRPr="008211AA">
        <w:t xml:space="preserve">nalysis suggests that emergency responders should be flexible in emergency scenarios </w:t>
      </w:r>
      <w:r>
        <w:t>since</w:t>
      </w:r>
      <w:r w:rsidRPr="008211AA">
        <w:t xml:space="preserve"> the location and extent of a hazard may disrupt established evacuation routes. Given the potential for congestion when certain </w:t>
      </w:r>
      <w:r w:rsidRPr="007929B5">
        <w:t>evacuation</w:t>
      </w:r>
      <w:r w:rsidRPr="008211AA">
        <w:t xml:space="preserve"> routes are closed, emergency responders should consider contraflow lane reversal </w:t>
      </w:r>
      <w:r>
        <w:t xml:space="preserve">(i.e., </w:t>
      </w:r>
      <w:r w:rsidRPr="00135B3D">
        <w:t>the reversal of lanes in order to temporarily increase the capacity of congested roads</w:t>
      </w:r>
      <w:r>
        <w:t>)</w:t>
      </w:r>
      <w:r w:rsidRPr="00135B3D">
        <w:t xml:space="preserve"> </w:t>
      </w:r>
      <w:r w:rsidRPr="008211AA">
        <w:t>as one strategy to efficiently evacuate residents</w:t>
      </w:r>
      <w:r w:rsidR="007C0716">
        <w:t xml:space="preserve"> during all hazard scenarios</w:t>
      </w:r>
      <w:r w:rsidRPr="008211AA">
        <w:t>. The majority of the outbound evacuation routes rely on a bridge</w:t>
      </w:r>
      <w:r>
        <w:t>, which are vulnerable to earthquakes and seismic hazards</w:t>
      </w:r>
      <w:r w:rsidRPr="008211AA">
        <w:t>.</w:t>
      </w:r>
      <w:r>
        <w:t xml:space="preserve"> Parcels that require access to bridges to evacuate should be prioritized as areas of concern </w:t>
      </w:r>
      <w:r w:rsidRPr="006D6331">
        <w:t>in the event of an earthquake</w:t>
      </w:r>
      <w:r>
        <w:t>.</w:t>
      </w:r>
      <w:r w:rsidR="00DA02AF" w:rsidRPr="00DA02AF">
        <w:t xml:space="preserve"> </w:t>
      </w:r>
      <w:r w:rsidR="007C0716" w:rsidRPr="00EC4B15">
        <w:t>In the event of a flood hazard</w:t>
      </w:r>
      <w:r w:rsidR="00DA02AF" w:rsidRPr="007C0716">
        <w:t xml:space="preserve">, </w:t>
      </w:r>
      <w:r w:rsidR="007C0716">
        <w:t xml:space="preserve">people experiencing homelessness may be camped near the San Diego River and therefore, inundated with floodwaters before first responders can access the area. First responders should focus first on evacuating areas closest to the flood zone. Additionally, </w:t>
      </w:r>
      <w:r w:rsidR="00DA02AF" w:rsidRPr="007C0716">
        <w:t xml:space="preserve">first responders may have more difficulty accessing vulnerable populations that need to be evacuated. For example, people with mobility restrictions (e.g., wheelchairs) would not be able to cross a ladder and would be more difficult to access in a flooded </w:t>
      </w:r>
      <w:r w:rsidR="007C0716">
        <w:t xml:space="preserve">or fire </w:t>
      </w:r>
      <w:r w:rsidR="00DA02AF" w:rsidRPr="007C0716">
        <w:t>area.</w:t>
      </w:r>
      <w:r w:rsidR="00DA02AF">
        <w:t xml:space="preserve"> </w:t>
      </w:r>
      <w:r w:rsidR="007C0716">
        <w:t xml:space="preserve">Special consideration should be made for accessing people with mobility restrictions (e.g., at hospitals, senior centers, etc.) during flood and fire hazards. </w:t>
      </w:r>
    </w:p>
    <w:p w14:paraId="6A8ED790" w14:textId="40E07E4C" w:rsidR="00A66FFA" w:rsidRPr="006D6331" w:rsidRDefault="00A66FFA" w:rsidP="00ED2F97">
      <w:pPr>
        <w:pStyle w:val="BodyText"/>
      </w:pPr>
      <w:r w:rsidRPr="008211AA">
        <w:t>Social vulnerability indicators, including age, disability, and other mobility factors, should be further examined to determine other potential barriers to evacuation besides distance to and capacity of evacuation routes</w:t>
      </w:r>
      <w:r>
        <w:t>.</w:t>
      </w:r>
      <w:r w:rsidR="00ED2F97">
        <w:t xml:space="preserve"> The City, in coordination with the County of San Diego, continues to plan for the needs of individuals with disabilities and access and functional needs, including but not limited to providing accessible transportation during evacuations, providing public information in multiple languages, language translation services at evacuation and recovery centers, and training first responders on how to interact with persons with physical, cognitive, and emotional disabilities. The City’s </w:t>
      </w:r>
      <w:r w:rsidR="00EB54D2">
        <w:t>EOP</w:t>
      </w:r>
      <w:r w:rsidR="00ED2F97">
        <w:t xml:space="preserve"> details the measures to ensure</w:t>
      </w:r>
      <w:r w:rsidR="00ED2F97" w:rsidRPr="00ED2F97">
        <w:t xml:space="preserve"> </w:t>
      </w:r>
      <w:r w:rsidR="00ED2F97">
        <w:t xml:space="preserve">that preparedness and response strategies serve the needs of the entire population within the City, including vulnerable populations, such as people with physical, programmatic, and communications needs; children; and household pets and service animals. </w:t>
      </w:r>
    </w:p>
    <w:p w14:paraId="1D241378" w14:textId="0CA555C6" w:rsidR="00392D3A" w:rsidRDefault="00392D3A">
      <w:pPr>
        <w:overflowPunct/>
        <w:autoSpaceDE/>
        <w:autoSpaceDN/>
        <w:adjustRightInd/>
        <w:spacing w:after="160" w:line="259" w:lineRule="auto"/>
        <w:textAlignment w:val="auto"/>
      </w:pPr>
      <w:r>
        <w:br w:type="page"/>
      </w:r>
    </w:p>
    <w:p w14:paraId="4FBDA3E1" w14:textId="77777777" w:rsidR="00392D3A" w:rsidRDefault="00392D3A" w:rsidP="007929B5">
      <w:pPr>
        <w:pStyle w:val="BlankPage"/>
      </w:pPr>
    </w:p>
    <w:p w14:paraId="0C90FC0C" w14:textId="0D92B1DA" w:rsidR="00392D3A" w:rsidRPr="007118E9" w:rsidRDefault="00392D3A" w:rsidP="007929B5">
      <w:pPr>
        <w:pStyle w:val="BlankPage"/>
      </w:pPr>
      <w:r w:rsidRPr="007118E9">
        <w:t>This page intentionally left blank.</w:t>
      </w:r>
    </w:p>
    <w:p w14:paraId="3DD83371" w14:textId="07316233" w:rsidR="008C3919" w:rsidRDefault="008C3919" w:rsidP="00A66FFA"/>
    <w:sectPr w:rsidR="008C3919" w:rsidSect="00EC7E4C">
      <w:footerReference w:type="default" r:id="rId19"/>
      <w:footerReference w:type="first" r:id="rId20"/>
      <w:pgSz w:w="12240" w:h="15840"/>
      <w:pgMar w:top="1440" w:right="1440" w:bottom="1440" w:left="144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77B62" w14:textId="77777777" w:rsidR="005A2A70" w:rsidRDefault="005A2A70" w:rsidP="004637A3">
      <w:r>
        <w:separator/>
      </w:r>
    </w:p>
  </w:endnote>
  <w:endnote w:type="continuationSeparator" w:id="0">
    <w:p w14:paraId="042A791D" w14:textId="77777777" w:rsidR="005A2A70" w:rsidRDefault="005A2A70" w:rsidP="00463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76762" w14:textId="77777777" w:rsidR="00024D37" w:rsidRPr="00CF168B" w:rsidRDefault="00024D37" w:rsidP="00024D37">
    <w:pPr>
      <w:pStyle w:val="Footer"/>
    </w:pPr>
    <w:r w:rsidRPr="00CA37B6">
      <w:t>Emergency Evacuation Route Analysis</w:t>
    </w:r>
    <w:r w:rsidRPr="00CF168B" w:rsidDel="007E48B1">
      <w:t xml:space="preserve"> </w:t>
    </w:r>
    <w:r w:rsidRPr="00CF168B">
      <w:tab/>
    </w:r>
    <w:r w:rsidRPr="00CF168B">
      <w:fldChar w:fldCharType="begin"/>
    </w:r>
    <w:r w:rsidRPr="00CF168B">
      <w:instrText xml:space="preserve"> PAGE </w:instrText>
    </w:r>
    <w:r w:rsidRPr="00CF168B">
      <w:fldChar w:fldCharType="separate"/>
    </w:r>
    <w:r>
      <w:t>2</w:t>
    </w:r>
    <w:r w:rsidRPr="00CF168B">
      <w:fldChar w:fldCharType="end"/>
    </w:r>
    <w:r w:rsidRPr="00CF168B">
      <w:tab/>
    </w:r>
    <w:r>
      <w:t xml:space="preserve">July </w:t>
    </w:r>
    <w:r w:rsidRPr="00CF168B">
      <w:t>202</w:t>
    </w:r>
    <w:r>
      <w:t>3</w:t>
    </w:r>
  </w:p>
  <w:p w14:paraId="20AFD938" w14:textId="4DF82DAA" w:rsidR="00024D37" w:rsidRPr="00024D37" w:rsidRDefault="00024D37" w:rsidP="00024D37">
    <w:pPr>
      <w:pStyle w:val="Footer"/>
    </w:pPr>
    <w:r w:rsidRPr="00CF168B">
      <w:t xml:space="preserve">City of Santee Safety-Environmental Justice Element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71AC8" w14:textId="77777777" w:rsidR="00024D37" w:rsidRPr="00CF168B" w:rsidRDefault="00024D37" w:rsidP="00024D37">
    <w:pPr>
      <w:pStyle w:val="Footer"/>
    </w:pPr>
    <w:r w:rsidRPr="00CA37B6">
      <w:t>Emergency Evacuation Route Analysis</w:t>
    </w:r>
    <w:r w:rsidRPr="00CF168B" w:rsidDel="007E48B1">
      <w:t xml:space="preserve"> </w:t>
    </w:r>
    <w:r w:rsidRPr="00CF168B">
      <w:tab/>
    </w:r>
    <w:r w:rsidRPr="00CF168B">
      <w:fldChar w:fldCharType="begin"/>
    </w:r>
    <w:r w:rsidRPr="00CF168B">
      <w:instrText xml:space="preserve"> PAGE </w:instrText>
    </w:r>
    <w:r w:rsidRPr="00CF168B">
      <w:fldChar w:fldCharType="separate"/>
    </w:r>
    <w:r>
      <w:t>2</w:t>
    </w:r>
    <w:r w:rsidRPr="00CF168B">
      <w:fldChar w:fldCharType="end"/>
    </w:r>
    <w:r w:rsidRPr="00CF168B">
      <w:tab/>
    </w:r>
    <w:r>
      <w:t xml:space="preserve">July </w:t>
    </w:r>
    <w:r w:rsidRPr="00CF168B">
      <w:t>202</w:t>
    </w:r>
    <w:r>
      <w:t>3</w:t>
    </w:r>
  </w:p>
  <w:p w14:paraId="3510FA95" w14:textId="5E25F06B" w:rsidR="00024D37" w:rsidRDefault="00024D37" w:rsidP="00024D37">
    <w:pPr>
      <w:pStyle w:val="Footer"/>
    </w:pPr>
    <w:r w:rsidRPr="00CF168B">
      <w:t xml:space="preserve">City of Santee Safety-Environmental Justice Element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92C14" w14:textId="64F061E6" w:rsidR="00B3002D" w:rsidRPr="00CF168B" w:rsidRDefault="00B3002D" w:rsidP="00B3002D">
    <w:pPr>
      <w:pStyle w:val="Footer"/>
    </w:pPr>
    <w:r w:rsidRPr="00CA37B6">
      <w:t>Emergency Evacuation Route Analysis</w:t>
    </w:r>
    <w:r w:rsidRPr="00CF168B" w:rsidDel="007E48B1">
      <w:t xml:space="preserve"> </w:t>
    </w:r>
    <w:r w:rsidRPr="00CF168B">
      <w:tab/>
    </w:r>
    <w:r w:rsidRPr="00CF168B">
      <w:fldChar w:fldCharType="begin"/>
    </w:r>
    <w:r w:rsidRPr="00CF168B">
      <w:instrText xml:space="preserve"> PAGE </w:instrText>
    </w:r>
    <w:r w:rsidRPr="00CF168B">
      <w:fldChar w:fldCharType="separate"/>
    </w:r>
    <w:r>
      <w:t>1</w:t>
    </w:r>
    <w:r w:rsidRPr="00CF168B">
      <w:fldChar w:fldCharType="end"/>
    </w:r>
    <w:r w:rsidRPr="00CF168B">
      <w:tab/>
    </w:r>
    <w:r w:rsidR="007040CE">
      <w:t>July</w:t>
    </w:r>
    <w:r w:rsidR="0072767D" w:rsidRPr="00CF168B">
      <w:t xml:space="preserve"> 202</w:t>
    </w:r>
    <w:r w:rsidR="0072767D">
      <w:t>3</w:t>
    </w:r>
  </w:p>
  <w:p w14:paraId="34770914" w14:textId="593F49CC" w:rsidR="00CA37B6" w:rsidRDefault="00024D37" w:rsidP="00024D37">
    <w:pPr>
      <w:pStyle w:val="Footer"/>
    </w:pPr>
    <w:r w:rsidRPr="00CF168B">
      <w:t xml:space="preserve">City of Santee Safety-Environmental Justice Element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FD17" w14:textId="31611BC7" w:rsidR="00CA37B6" w:rsidRPr="00CF168B" w:rsidRDefault="00CA37B6" w:rsidP="00CA37B6">
    <w:pPr>
      <w:pStyle w:val="Footer"/>
    </w:pPr>
    <w:r w:rsidRPr="00CA37B6">
      <w:t>Emergency Evacuation Route Analysis</w:t>
    </w:r>
    <w:r w:rsidRPr="00CF168B" w:rsidDel="007E48B1">
      <w:t xml:space="preserve"> </w:t>
    </w:r>
    <w:r w:rsidRPr="00CF168B">
      <w:tab/>
    </w:r>
    <w:r w:rsidRPr="00CF168B">
      <w:fldChar w:fldCharType="begin"/>
    </w:r>
    <w:r w:rsidRPr="00CF168B">
      <w:instrText xml:space="preserve"> PAGE </w:instrText>
    </w:r>
    <w:r w:rsidRPr="00CF168B">
      <w:fldChar w:fldCharType="separate"/>
    </w:r>
    <w:r>
      <w:t>4</w:t>
    </w:r>
    <w:r w:rsidRPr="00CF168B">
      <w:fldChar w:fldCharType="end"/>
    </w:r>
    <w:r w:rsidRPr="00CF168B">
      <w:tab/>
    </w:r>
    <w:r w:rsidR="007040CE">
      <w:t xml:space="preserve">July </w:t>
    </w:r>
    <w:r w:rsidR="0072767D" w:rsidRPr="00CF168B">
      <w:t>202</w:t>
    </w:r>
    <w:r w:rsidR="0072767D">
      <w:t>3</w:t>
    </w:r>
  </w:p>
  <w:p w14:paraId="7702878C" w14:textId="1FDB1964" w:rsidR="00CA37B6" w:rsidRDefault="00024D37" w:rsidP="00024D37">
    <w:pPr>
      <w:pStyle w:val="Footer"/>
    </w:pPr>
    <w:r w:rsidRPr="00CF168B">
      <w:t xml:space="preserve">City of Santee Safety-Environmental Justice Element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9F979" w14:textId="77777777" w:rsidR="005A2A70" w:rsidRDefault="005A2A70" w:rsidP="004637A3">
      <w:r>
        <w:separator/>
      </w:r>
    </w:p>
  </w:footnote>
  <w:footnote w:type="continuationSeparator" w:id="0">
    <w:p w14:paraId="7128A0B6" w14:textId="77777777" w:rsidR="005A2A70" w:rsidRDefault="005A2A70" w:rsidP="004637A3">
      <w:r>
        <w:continuationSeparator/>
      </w:r>
    </w:p>
  </w:footnote>
  <w:footnote w:id="1">
    <w:p w14:paraId="2AC3F293" w14:textId="77777777" w:rsidR="00A66FFA" w:rsidRDefault="00A66FFA" w:rsidP="00181EF7">
      <w:pPr>
        <w:pStyle w:val="FootnoteText"/>
      </w:pPr>
      <w:r>
        <w:rPr>
          <w:rStyle w:val="FootnoteReference"/>
        </w:rPr>
        <w:footnoteRef/>
      </w:r>
      <w:r>
        <w:t xml:space="preserve"> An act to add Section 65302.15 to the California Government Code.</w:t>
      </w:r>
    </w:p>
  </w:footnote>
  <w:footnote w:id="2">
    <w:p w14:paraId="3A3DC134" w14:textId="77777777" w:rsidR="00A66FFA" w:rsidRDefault="00A66FFA" w:rsidP="00181EF7">
      <w:pPr>
        <w:pStyle w:val="FootnoteText"/>
      </w:pPr>
      <w:r>
        <w:rPr>
          <w:rStyle w:val="FootnoteReference"/>
        </w:rPr>
        <w:footnoteRef/>
      </w:r>
      <w:r>
        <w:t xml:space="preserve"> An act to amend Section 65302 of the California Government Code.</w:t>
      </w:r>
    </w:p>
  </w:footnote>
  <w:footnote w:id="3">
    <w:p w14:paraId="6153BC15" w14:textId="220D01E6" w:rsidR="00A27A19" w:rsidRDefault="00A27A19">
      <w:pPr>
        <w:pStyle w:val="FootnoteText"/>
      </w:pPr>
      <w:r>
        <w:rPr>
          <w:rStyle w:val="FootnoteReference"/>
        </w:rPr>
        <w:footnoteRef/>
      </w:r>
      <w:r>
        <w:t xml:space="preserve"> An act to add Section 65302.15 to the California Government Code.</w:t>
      </w:r>
    </w:p>
  </w:footnote>
  <w:footnote w:id="4">
    <w:p w14:paraId="435C7500" w14:textId="1163D996" w:rsidR="00A66FFA" w:rsidRPr="00181EF7" w:rsidRDefault="00A66FFA" w:rsidP="0050324C">
      <w:pPr>
        <w:pStyle w:val="FootnoteText"/>
        <w:ind w:left="180" w:hanging="180"/>
      </w:pPr>
      <w:r w:rsidRPr="00181EF7">
        <w:rPr>
          <w:rStyle w:val="FootnoteReference"/>
        </w:rPr>
        <w:footnoteRef/>
      </w:r>
      <w:r w:rsidRPr="00181EF7">
        <w:t xml:space="preserve"> </w:t>
      </w:r>
      <w:r w:rsidR="00181EF7" w:rsidRPr="00181EF7">
        <w:tab/>
      </w:r>
      <w:r w:rsidRPr="00181EF7">
        <w:t>To account for the assumption that drivers would take the route that leads them out of the city most efficiently, if the distance from a parcel to a higher capacity road is less than the distance to a lower capacity road, the distance to the lower capacity road is assigned a value of 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C2F18" w14:textId="357F301C" w:rsidR="00DB3C16" w:rsidRDefault="00DB3C16">
    <w:pPr>
      <w:pStyle w:val="Header"/>
    </w:pPr>
    <w:r w:rsidRPr="00DB3C16">
      <w:t>RPC 2(b)(</w:t>
    </w:r>
    <w:proofErr w:type="spellStart"/>
    <w:r w:rsidRPr="00DB3C16">
      <w:t>i</w:t>
    </w:r>
    <w:proofErr w:type="spellEnd"/>
    <w:r w:rsidRPr="00DB3C16">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F2D0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10A92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A94225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69E6EE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51A6F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7101A1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0A2B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488CEC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2ACD8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57003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116719"/>
    <w:multiLevelType w:val="hybridMultilevel"/>
    <w:tmpl w:val="48F2DEAC"/>
    <w:lvl w:ilvl="0" w:tplc="FBD4B83C">
      <w:start w:val="1"/>
      <w:numFmt w:val="decimal"/>
      <w:pStyle w:val="TableNumberList"/>
      <w:lvlText w:val="%1."/>
      <w:lvlJc w:val="left"/>
      <w:pPr>
        <w:ind w:left="360" w:hanging="360"/>
      </w:pPr>
      <w:rPr>
        <w:rFonts w:ascii="Arial" w:hAnsi="Arial" w:cs="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294122"/>
    <w:multiLevelType w:val="multilevel"/>
    <w:tmpl w:val="C114B824"/>
    <w:styleLink w:val="HarrisReportListStyle"/>
    <w:lvl w:ilvl="0">
      <w:start w:val="1"/>
      <w:numFmt w:val="decimal"/>
      <w:pStyle w:val="Heading1"/>
      <w:lvlText w:val="Section %1"/>
      <w:lvlJc w:val="left"/>
      <w:pPr>
        <w:tabs>
          <w:tab w:val="num" w:pos="720"/>
        </w:tabs>
        <w:ind w:left="1440" w:hanging="1440"/>
      </w:pPr>
      <w:rPr>
        <w:rFonts w:ascii="Arial Bold" w:hAnsi="Arial Bold" w:hint="default"/>
        <w:b/>
        <w:bCs w:val="0"/>
        <w:i w:val="0"/>
        <w:iCs w:val="0"/>
        <w:caps w:val="0"/>
        <w:strike w:val="0"/>
        <w:dstrike w:val="0"/>
        <w:vanish w:val="0"/>
        <w:color w:val="000000"/>
        <w:spacing w:val="0"/>
        <w:kern w:val="0"/>
        <w:position w:val="0"/>
        <w:sz w:val="24"/>
        <w:u w:val="none"/>
        <w:vertAlign w:val="baseline"/>
        <w:em w:val="none"/>
      </w:rPr>
    </w:lvl>
    <w:lvl w:ilvl="1">
      <w:start w:val="1"/>
      <w:numFmt w:val="decimal"/>
      <w:pStyle w:val="Heading2"/>
      <w:lvlText w:val="%1.%2"/>
      <w:lvlJc w:val="left"/>
      <w:pPr>
        <w:tabs>
          <w:tab w:val="num" w:pos="864"/>
        </w:tabs>
        <w:ind w:left="864" w:hanging="864"/>
      </w:pPr>
      <w:rPr>
        <w:rFonts w:ascii="Arial" w:hAnsi="Arial" w:hint="default"/>
        <w:b/>
        <w:bCs w:val="0"/>
        <w:i w:val="0"/>
        <w:iCs w:val="0"/>
        <w:caps w:val="0"/>
        <w:strike w:val="0"/>
        <w:dstrike w:val="0"/>
        <w:snapToGrid w:val="0"/>
        <w:vanish w:val="0"/>
        <w:color w:val="000000"/>
        <w:spacing w:val="0"/>
        <w:kern w:val="0"/>
        <w:position w:val="0"/>
        <w:sz w:val="28"/>
        <w:szCs w:val="24"/>
        <w:u w:val="none"/>
        <w:vertAlign w:val="baseline"/>
        <w:em w:val="none"/>
      </w:rPr>
    </w:lvl>
    <w:lvl w:ilvl="2">
      <w:start w:val="1"/>
      <w:numFmt w:val="decimal"/>
      <w:pStyle w:val="Heading3"/>
      <w:lvlText w:val="%1.%2.%3"/>
      <w:lvlJc w:val="left"/>
      <w:pPr>
        <w:tabs>
          <w:tab w:val="num" w:pos="1080"/>
        </w:tabs>
        <w:ind w:left="1080" w:hanging="1080"/>
      </w:pPr>
      <w:rPr>
        <w:rFonts w:ascii="Arial" w:hAnsi="Arial" w:hint="default"/>
        <w:b/>
        <w:i w:val="0"/>
        <w:sz w:val="24"/>
        <w:szCs w:val="24"/>
      </w:rPr>
    </w:lvl>
    <w:lvl w:ilvl="3">
      <w:start w:val="1"/>
      <w:numFmt w:val="decimal"/>
      <w:pStyle w:val="Heading4"/>
      <w:lvlText w:val="%1.%2.%3.%4"/>
      <w:lvlJc w:val="left"/>
      <w:pPr>
        <w:tabs>
          <w:tab w:val="num" w:pos="1080"/>
        </w:tabs>
        <w:ind w:left="1080" w:hanging="1080"/>
      </w:pPr>
      <w:rPr>
        <w:rFonts w:ascii="Arial" w:hAnsi="Arial" w:hint="default"/>
        <w:b/>
        <w:i w:val="0"/>
        <w:sz w:val="22"/>
        <w:szCs w:val="24"/>
      </w:rPr>
    </w:lvl>
    <w:lvl w:ilvl="4">
      <w:start w:val="1"/>
      <w:numFmt w:val="none"/>
      <w:suff w:val="nothing"/>
      <w:lvlText w:val=""/>
      <w:lvlJc w:val="left"/>
      <w:pPr>
        <w:ind w:left="0" w:firstLine="0"/>
      </w:pPr>
      <w:rPr>
        <w:rFonts w:ascii="Arial" w:hAnsi="Arial" w:hint="default"/>
        <w:b/>
        <w:sz w:val="24"/>
      </w:rPr>
    </w:lvl>
    <w:lvl w:ilvl="5">
      <w:start w:val="1"/>
      <w:numFmt w:val="decimal"/>
      <w:lvlText w:val="%1.%2.%3.%4.%5.%6"/>
      <w:lvlJc w:val="left"/>
      <w:pPr>
        <w:tabs>
          <w:tab w:val="num" w:pos="720"/>
        </w:tabs>
        <w:ind w:left="1512" w:hanging="1512"/>
      </w:pPr>
      <w:rPr>
        <w:rFonts w:hint="default"/>
      </w:rPr>
    </w:lvl>
    <w:lvl w:ilvl="6">
      <w:start w:val="1"/>
      <w:numFmt w:val="decimal"/>
      <w:lvlText w:val="%1.%2.%3.%4.%5.%6.%7"/>
      <w:lvlJc w:val="left"/>
      <w:pPr>
        <w:tabs>
          <w:tab w:val="num" w:pos="720"/>
        </w:tabs>
        <w:ind w:left="1512" w:hanging="1512"/>
      </w:pPr>
      <w:rPr>
        <w:rFonts w:hint="default"/>
      </w:rPr>
    </w:lvl>
    <w:lvl w:ilvl="7">
      <w:start w:val="1"/>
      <w:numFmt w:val="decimal"/>
      <w:lvlText w:val="%1.%2.%3.%4.%5.%6.%7.%8"/>
      <w:lvlJc w:val="left"/>
      <w:pPr>
        <w:tabs>
          <w:tab w:val="num" w:pos="720"/>
        </w:tabs>
        <w:ind w:left="1512" w:hanging="1512"/>
      </w:pPr>
      <w:rPr>
        <w:rFonts w:ascii="Times New Roman" w:hAnsi="Times New Roman" w:cs="Times New Roman" w:hint="default"/>
        <w:b w:val="0"/>
        <w:bCs w:val="0"/>
        <w:i w:val="0"/>
        <w:iCs w:val="0"/>
        <w:caps w:val="0"/>
        <w:smallCaps w:val="0"/>
        <w:strike w:val="0"/>
        <w:dstrike w:val="0"/>
        <w:noProof w:val="0"/>
        <w:vanish w:val="0"/>
        <w:color w:val="406A97"/>
        <w:spacing w:val="20"/>
        <w:kern w:val="0"/>
        <w:position w:val="0"/>
        <w:u w:val="none"/>
        <w:effect w:val="none"/>
        <w:vertAlign w:val="baseline"/>
        <w:em w:val="none"/>
        <w:specVanish w:val="0"/>
      </w:rPr>
    </w:lvl>
    <w:lvl w:ilvl="8">
      <w:start w:val="1"/>
      <w:numFmt w:val="decimal"/>
      <w:lvlText w:val="%1.%2.%3.%4.%5.%6.%7.%8.%9"/>
      <w:lvlJc w:val="left"/>
      <w:pPr>
        <w:tabs>
          <w:tab w:val="num" w:pos="720"/>
        </w:tabs>
        <w:ind w:left="1512" w:hanging="1512"/>
      </w:pPr>
      <w:rPr>
        <w:rFonts w:ascii="Times New Roman" w:hAnsi="Times New Roman" w:cs="Times New Roman" w:hint="default"/>
        <w:b w:val="0"/>
        <w:bCs w:val="0"/>
        <w:i/>
        <w:iCs w:val="0"/>
        <w:caps w:val="0"/>
        <w:smallCaps w:val="0"/>
        <w:strike w:val="0"/>
        <w:dstrike w:val="0"/>
        <w:noProof w:val="0"/>
        <w:vanish w:val="0"/>
        <w:color w:val="406A97"/>
        <w:spacing w:val="20"/>
        <w:kern w:val="0"/>
        <w:position w:val="0"/>
        <w:u w:val="none"/>
        <w:effect w:val="none"/>
        <w:vertAlign w:val="baseline"/>
        <w:em w:val="none"/>
        <w:specVanish w:val="0"/>
      </w:rPr>
    </w:lvl>
  </w:abstractNum>
  <w:abstractNum w:abstractNumId="12" w15:restartNumberingAfterBreak="0">
    <w:nsid w:val="0E520E16"/>
    <w:multiLevelType w:val="multilevel"/>
    <w:tmpl w:val="AE800008"/>
    <w:lvl w:ilvl="0">
      <w:start w:val="1"/>
      <w:numFmt w:val="decimal"/>
      <w:lvlText w:val="Section %1"/>
      <w:lvlJc w:val="left"/>
      <w:pPr>
        <w:tabs>
          <w:tab w:val="num" w:pos="0"/>
        </w:tabs>
        <w:ind w:left="792" w:hanging="792"/>
      </w:pPr>
      <w:rPr>
        <w:rFonts w:ascii="Arial" w:hAnsi="Arial" w:hint="default"/>
        <w:b/>
        <w:bCs w:val="0"/>
        <w:i w:val="0"/>
        <w:iCs w:val="0"/>
        <w:caps w:val="0"/>
        <w:strike w:val="0"/>
        <w:dstrike w:val="0"/>
        <w:vanish w:val="0"/>
        <w:color w:val="000000"/>
        <w:spacing w:val="0"/>
        <w:kern w:val="0"/>
        <w:position w:val="0"/>
        <w:sz w:val="24"/>
        <w:u w:val="none"/>
        <w:vertAlign w:val="baseline"/>
        <w:em w:val="none"/>
      </w:rPr>
    </w:lvl>
    <w:lvl w:ilvl="1">
      <w:start w:val="1"/>
      <w:numFmt w:val="decimal"/>
      <w:lvlText w:val="%1.%2"/>
      <w:lvlJc w:val="left"/>
      <w:pPr>
        <w:tabs>
          <w:tab w:val="num" w:pos="720"/>
        </w:tabs>
        <w:ind w:left="720" w:hanging="720"/>
      </w:pPr>
      <w:rPr>
        <w:rFonts w:ascii="Arial" w:hAnsi="Arial" w:hint="default"/>
        <w:b/>
        <w:bCs w:val="0"/>
        <w:i w:val="0"/>
        <w:iCs w:val="0"/>
        <w:caps w:val="0"/>
        <w:strike w:val="0"/>
        <w:dstrike w:val="0"/>
        <w:snapToGrid w:val="0"/>
        <w:vanish w:val="0"/>
        <w:color w:val="000000"/>
        <w:spacing w:val="0"/>
        <w:kern w:val="0"/>
        <w:position w:val="0"/>
        <w:sz w:val="28"/>
        <w:szCs w:val="24"/>
        <w:u w:val="none"/>
        <w:vertAlign w:val="baseline"/>
        <w:em w:val="none"/>
      </w:rPr>
    </w:lvl>
    <w:lvl w:ilvl="2">
      <w:start w:val="1"/>
      <w:numFmt w:val="decimal"/>
      <w:lvlText w:val="%1.%2.%3"/>
      <w:lvlJc w:val="left"/>
      <w:pPr>
        <w:tabs>
          <w:tab w:val="num" w:pos="0"/>
        </w:tabs>
        <w:ind w:left="0" w:hanging="720"/>
      </w:pPr>
      <w:rPr>
        <w:rFonts w:ascii="Arial" w:hAnsi="Arial" w:hint="default"/>
        <w:b/>
        <w:i w:val="0"/>
        <w:sz w:val="24"/>
        <w:szCs w:val="24"/>
      </w:rPr>
    </w:lvl>
    <w:lvl w:ilvl="3">
      <w:start w:val="1"/>
      <w:numFmt w:val="decimal"/>
      <w:lvlText w:val="%1.%2.%3.%4"/>
      <w:lvlJc w:val="left"/>
      <w:pPr>
        <w:tabs>
          <w:tab w:val="num" w:pos="0"/>
        </w:tabs>
        <w:ind w:left="0" w:hanging="720"/>
      </w:pPr>
      <w:rPr>
        <w:rFonts w:ascii="Arial" w:hAnsi="Arial" w:hint="default"/>
        <w:b/>
        <w:i w:val="0"/>
        <w:sz w:val="22"/>
        <w:szCs w:val="24"/>
      </w:rPr>
    </w:lvl>
    <w:lvl w:ilvl="4">
      <w:start w:val="1"/>
      <w:numFmt w:val="decimal"/>
      <w:lvlText w:val="%1.%2.%3.%4.%5"/>
      <w:lvlJc w:val="left"/>
      <w:pPr>
        <w:tabs>
          <w:tab w:val="num" w:pos="648"/>
        </w:tabs>
        <w:ind w:left="648" w:hanging="1008"/>
      </w:pPr>
      <w:rPr>
        <w:rFonts w:hint="default"/>
      </w:rPr>
    </w:lvl>
    <w:lvl w:ilvl="5">
      <w:start w:val="1"/>
      <w:numFmt w:val="decimal"/>
      <w:pStyle w:val="Heading6"/>
      <w:lvlText w:val="%1.%2.%3.%4.%5.%6"/>
      <w:lvlJc w:val="left"/>
      <w:pPr>
        <w:tabs>
          <w:tab w:val="num" w:pos="792"/>
        </w:tabs>
        <w:ind w:left="792" w:hanging="1152"/>
      </w:pPr>
      <w:rPr>
        <w:rFonts w:hint="default"/>
      </w:rPr>
    </w:lvl>
    <w:lvl w:ilvl="6">
      <w:start w:val="1"/>
      <w:numFmt w:val="decimal"/>
      <w:pStyle w:val="Heading7"/>
      <w:lvlText w:val="%1.%2.%3.%4.%5.%6.%7"/>
      <w:lvlJc w:val="left"/>
      <w:pPr>
        <w:tabs>
          <w:tab w:val="num" w:pos="936"/>
        </w:tabs>
        <w:ind w:left="936" w:hanging="1296"/>
      </w:pPr>
      <w:rPr>
        <w:rFonts w:hint="default"/>
      </w:rPr>
    </w:lvl>
    <w:lvl w:ilvl="7">
      <w:start w:val="1"/>
      <w:numFmt w:val="decimal"/>
      <w:pStyle w:val="Heading8"/>
      <w:lvlText w:val="%1.%2.%3.%4.%5.%6.%7.%8"/>
      <w:lvlJc w:val="left"/>
      <w:pPr>
        <w:tabs>
          <w:tab w:val="num" w:pos="1080"/>
        </w:tabs>
        <w:ind w:left="1080" w:hanging="1440"/>
      </w:pPr>
      <w:rPr>
        <w:rFonts w:ascii="Times New Roman" w:hAnsi="Times New Roman" w:cs="Times New Roman" w:hint="default"/>
        <w:b w:val="0"/>
        <w:bCs w:val="0"/>
        <w:i w:val="0"/>
        <w:iCs w:val="0"/>
        <w:caps w:val="0"/>
        <w:smallCaps w:val="0"/>
        <w:strike w:val="0"/>
        <w:dstrike w:val="0"/>
        <w:noProof w:val="0"/>
        <w:vanish w:val="0"/>
        <w:color w:val="406A97"/>
        <w:spacing w:val="20"/>
        <w:kern w:val="0"/>
        <w:position w:val="0"/>
        <w:u w:val="none"/>
        <w:effect w:val="none"/>
        <w:vertAlign w:val="baseline"/>
        <w:em w:val="none"/>
        <w:specVanish w:val="0"/>
      </w:rPr>
    </w:lvl>
    <w:lvl w:ilvl="8">
      <w:start w:val="1"/>
      <w:numFmt w:val="decimal"/>
      <w:pStyle w:val="Heading9"/>
      <w:lvlText w:val="%1.%2.%3.%4.%5.%6.%7.%8.%9"/>
      <w:lvlJc w:val="left"/>
      <w:pPr>
        <w:tabs>
          <w:tab w:val="num" w:pos="1224"/>
        </w:tabs>
        <w:ind w:left="1224" w:hanging="1584"/>
      </w:pPr>
      <w:rPr>
        <w:rFonts w:ascii="Times New Roman" w:hAnsi="Times New Roman" w:cs="Times New Roman" w:hint="default"/>
        <w:b w:val="0"/>
        <w:bCs w:val="0"/>
        <w:i/>
        <w:iCs w:val="0"/>
        <w:caps w:val="0"/>
        <w:smallCaps w:val="0"/>
        <w:strike w:val="0"/>
        <w:dstrike w:val="0"/>
        <w:noProof w:val="0"/>
        <w:vanish w:val="0"/>
        <w:color w:val="406A97"/>
        <w:spacing w:val="20"/>
        <w:kern w:val="0"/>
        <w:position w:val="0"/>
        <w:u w:val="none"/>
        <w:effect w:val="none"/>
        <w:vertAlign w:val="baseline"/>
        <w:em w:val="none"/>
        <w:specVanish w:val="0"/>
      </w:rPr>
    </w:lvl>
  </w:abstractNum>
  <w:abstractNum w:abstractNumId="13" w15:restartNumberingAfterBreak="0">
    <w:nsid w:val="10566EE5"/>
    <w:multiLevelType w:val="hybridMultilevel"/>
    <w:tmpl w:val="90629250"/>
    <w:lvl w:ilvl="0" w:tplc="04090001">
      <w:start w:val="1"/>
      <w:numFmt w:val="bullet"/>
      <w:lvlText w:val=""/>
      <w:lvlJc w:val="left"/>
      <w:pPr>
        <w:ind w:left="720" w:hanging="360"/>
      </w:pPr>
      <w:rPr>
        <w:rFonts w:ascii="Symbol" w:hAnsi="Symbol" w:hint="default"/>
      </w:rPr>
    </w:lvl>
    <w:lvl w:ilvl="1" w:tplc="79E259A2">
      <w:numFmt w:val="bullet"/>
      <w:lvlText w:val=""/>
      <w:lvlJc w:val="left"/>
      <w:pPr>
        <w:ind w:left="1440" w:hanging="36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D73722"/>
    <w:multiLevelType w:val="hybridMultilevel"/>
    <w:tmpl w:val="A2C28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C00624"/>
    <w:multiLevelType w:val="hybridMultilevel"/>
    <w:tmpl w:val="6C0CA8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6746CC"/>
    <w:multiLevelType w:val="hybridMultilevel"/>
    <w:tmpl w:val="6A3C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31583B"/>
    <w:multiLevelType w:val="hybridMultilevel"/>
    <w:tmpl w:val="0E5C4038"/>
    <w:lvl w:ilvl="0" w:tplc="573031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735C76"/>
    <w:multiLevelType w:val="hybridMultilevel"/>
    <w:tmpl w:val="E4402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1F06D1"/>
    <w:multiLevelType w:val="hybridMultilevel"/>
    <w:tmpl w:val="0E5C4038"/>
    <w:lvl w:ilvl="0" w:tplc="573031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ED0692"/>
    <w:multiLevelType w:val="hybridMultilevel"/>
    <w:tmpl w:val="79288CFE"/>
    <w:lvl w:ilvl="0" w:tplc="534ABB40">
      <w:start w:val="1"/>
      <w:numFmt w:val="bullet"/>
      <w:pStyle w:val="BulletList2"/>
      <w:lvlText w:val=""/>
      <w:lvlJc w:val="left"/>
      <w:pPr>
        <w:ind w:left="1800" w:hanging="360"/>
      </w:pPr>
      <w:rPr>
        <w:rFonts w:ascii="Symbol" w:hAnsi="Symbol" w:hint="default"/>
        <w:b w:val="0"/>
        <w:sz w:val="18"/>
        <w:szCs w:val="18"/>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DDF0CCC"/>
    <w:multiLevelType w:val="hybridMultilevel"/>
    <w:tmpl w:val="0CF8E8C4"/>
    <w:lvl w:ilvl="0" w:tplc="41DACEAA">
      <w:start w:val="1"/>
      <w:numFmt w:val="lowerLetter"/>
      <w:pStyle w:val="NumberList2"/>
      <w:lvlText w:val="%1."/>
      <w:lvlJc w:val="left"/>
      <w:pPr>
        <w:ind w:left="1440" w:hanging="360"/>
      </w:pPr>
      <w:rPr>
        <w:rFonts w:hint="default"/>
      </w:rPr>
    </w:lvl>
    <w:lvl w:ilvl="1" w:tplc="921018FC">
      <w:start w:val="1"/>
      <w:numFmt w:val="bullet"/>
      <w:lvlText w:val="–"/>
      <w:lvlJc w:val="left"/>
      <w:pPr>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2FCA0BE5"/>
    <w:multiLevelType w:val="hybridMultilevel"/>
    <w:tmpl w:val="EB90B94E"/>
    <w:lvl w:ilvl="0" w:tplc="7F2083C4">
      <w:start w:val="1"/>
      <w:numFmt w:val="bullet"/>
      <w:pStyle w:val="Table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3" w15:restartNumberingAfterBreak="0">
    <w:nsid w:val="39361704"/>
    <w:multiLevelType w:val="hybridMultilevel"/>
    <w:tmpl w:val="5712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C12126"/>
    <w:multiLevelType w:val="hybridMultilevel"/>
    <w:tmpl w:val="D4D215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C4356F"/>
    <w:multiLevelType w:val="hybridMultilevel"/>
    <w:tmpl w:val="65F00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D36C2B"/>
    <w:multiLevelType w:val="hybridMultilevel"/>
    <w:tmpl w:val="41EA0CE0"/>
    <w:lvl w:ilvl="0" w:tplc="04090001">
      <w:start w:val="1"/>
      <w:numFmt w:val="bullet"/>
      <w:lvlText w:val=""/>
      <w:lvlJc w:val="left"/>
      <w:pPr>
        <w:ind w:left="720" w:hanging="360"/>
      </w:pPr>
      <w:rPr>
        <w:rFonts w:ascii="Symbol" w:hAnsi="Symbol" w:hint="default"/>
      </w:rPr>
    </w:lvl>
    <w:lvl w:ilvl="1" w:tplc="50123B16">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126611"/>
    <w:multiLevelType w:val="hybridMultilevel"/>
    <w:tmpl w:val="2778A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D23432"/>
    <w:multiLevelType w:val="hybridMultilevel"/>
    <w:tmpl w:val="39D61E2A"/>
    <w:lvl w:ilvl="0" w:tplc="A4FA95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FC2D6C"/>
    <w:multiLevelType w:val="hybridMultilevel"/>
    <w:tmpl w:val="39C4A128"/>
    <w:lvl w:ilvl="0" w:tplc="BD68F560">
      <w:start w:val="1"/>
      <w:numFmt w:val="bullet"/>
      <w:lvlText w:val=""/>
      <w:lvlJc w:val="left"/>
      <w:rPr>
        <w:rFonts w:ascii="Symbol" w:hAnsi="Symbol"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ED83EA7"/>
    <w:multiLevelType w:val="hybridMultilevel"/>
    <w:tmpl w:val="48B6C854"/>
    <w:lvl w:ilvl="0" w:tplc="BD68F560">
      <w:start w:val="1"/>
      <w:numFmt w:val="bullet"/>
      <w:pStyle w:val="BulletList1"/>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C96DAE"/>
    <w:multiLevelType w:val="hybridMultilevel"/>
    <w:tmpl w:val="50A09598"/>
    <w:lvl w:ilvl="0" w:tplc="7A16284E">
      <w:start w:val="1"/>
      <w:numFmt w:val="lowerLetter"/>
      <w:pStyle w:val="ListNumber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1D70C6"/>
    <w:multiLevelType w:val="hybridMultilevel"/>
    <w:tmpl w:val="781894E2"/>
    <w:lvl w:ilvl="0" w:tplc="FFFFFFF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77B022F"/>
    <w:multiLevelType w:val="hybridMultilevel"/>
    <w:tmpl w:val="541ADFF2"/>
    <w:lvl w:ilvl="0" w:tplc="590C9B3C">
      <w:numFmt w:val="bullet"/>
      <w:lvlText w:val="•"/>
      <w:lvlJc w:val="left"/>
      <w:pPr>
        <w:ind w:left="526" w:hanging="320"/>
      </w:pPr>
      <w:rPr>
        <w:rFonts w:ascii="Times New Roman" w:eastAsia="Times New Roman" w:hAnsi="Times New Roman" w:cs="Times New Roman" w:hint="default"/>
        <w:color w:val="F15938"/>
        <w:w w:val="111"/>
        <w:sz w:val="22"/>
        <w:szCs w:val="22"/>
        <w:lang w:val="en-US" w:eastAsia="en-US" w:bidi="en-US"/>
      </w:rPr>
    </w:lvl>
    <w:lvl w:ilvl="1" w:tplc="F050CDF4">
      <w:numFmt w:val="bullet"/>
      <w:lvlText w:val="•"/>
      <w:lvlJc w:val="left"/>
      <w:pPr>
        <w:ind w:left="860" w:hanging="320"/>
      </w:pPr>
      <w:rPr>
        <w:rFonts w:hint="default"/>
        <w:w w:val="111"/>
        <w:lang w:val="en-US" w:eastAsia="en-US" w:bidi="en-US"/>
      </w:rPr>
    </w:lvl>
    <w:lvl w:ilvl="2" w:tplc="EE52771E">
      <w:numFmt w:val="bullet"/>
      <w:pStyle w:val="ResumeBullet"/>
      <w:lvlText w:val="•"/>
      <w:lvlJc w:val="left"/>
      <w:pPr>
        <w:ind w:left="4080" w:hanging="320"/>
      </w:pPr>
      <w:rPr>
        <w:rFonts w:ascii="Times New Roman" w:eastAsia="Times New Roman" w:hAnsi="Times New Roman" w:cs="Times New Roman" w:hint="default"/>
        <w:color w:val="F15938"/>
        <w:w w:val="111"/>
        <w:sz w:val="22"/>
        <w:szCs w:val="22"/>
        <w:lang w:val="en-US" w:eastAsia="en-US" w:bidi="en-US"/>
      </w:rPr>
    </w:lvl>
    <w:lvl w:ilvl="3" w:tplc="F74E1D64">
      <w:numFmt w:val="bullet"/>
      <w:lvlText w:val="•"/>
      <w:lvlJc w:val="left"/>
      <w:pPr>
        <w:ind w:left="880" w:hanging="320"/>
      </w:pPr>
      <w:rPr>
        <w:rFonts w:hint="default"/>
        <w:lang w:val="en-US" w:eastAsia="en-US" w:bidi="en-US"/>
      </w:rPr>
    </w:lvl>
    <w:lvl w:ilvl="4" w:tplc="F06294A8">
      <w:numFmt w:val="bullet"/>
      <w:lvlText w:val="•"/>
      <w:lvlJc w:val="left"/>
      <w:pPr>
        <w:ind w:left="4080" w:hanging="320"/>
      </w:pPr>
      <w:rPr>
        <w:rFonts w:hint="default"/>
        <w:lang w:val="en-US" w:eastAsia="en-US" w:bidi="en-US"/>
      </w:rPr>
    </w:lvl>
    <w:lvl w:ilvl="5" w:tplc="70D403DA">
      <w:numFmt w:val="bullet"/>
      <w:lvlText w:val="•"/>
      <w:lvlJc w:val="left"/>
      <w:pPr>
        <w:ind w:left="4100" w:hanging="320"/>
      </w:pPr>
      <w:rPr>
        <w:rFonts w:hint="default"/>
        <w:lang w:val="en-US" w:eastAsia="en-US" w:bidi="en-US"/>
      </w:rPr>
    </w:lvl>
    <w:lvl w:ilvl="6" w:tplc="35E4C816">
      <w:numFmt w:val="bullet"/>
      <w:lvlText w:val="•"/>
      <w:lvlJc w:val="left"/>
      <w:pPr>
        <w:ind w:left="2629" w:hanging="320"/>
      </w:pPr>
      <w:rPr>
        <w:rFonts w:hint="default"/>
        <w:lang w:val="en-US" w:eastAsia="en-US" w:bidi="en-US"/>
      </w:rPr>
    </w:lvl>
    <w:lvl w:ilvl="7" w:tplc="8A8ED14A">
      <w:numFmt w:val="bullet"/>
      <w:lvlText w:val="•"/>
      <w:lvlJc w:val="left"/>
      <w:pPr>
        <w:ind w:left="1158" w:hanging="320"/>
      </w:pPr>
      <w:rPr>
        <w:rFonts w:hint="default"/>
        <w:lang w:val="en-US" w:eastAsia="en-US" w:bidi="en-US"/>
      </w:rPr>
    </w:lvl>
    <w:lvl w:ilvl="8" w:tplc="9A7AB178">
      <w:numFmt w:val="bullet"/>
      <w:lvlText w:val="•"/>
      <w:lvlJc w:val="left"/>
      <w:pPr>
        <w:ind w:left="-312" w:hanging="320"/>
      </w:pPr>
      <w:rPr>
        <w:rFonts w:hint="default"/>
        <w:lang w:val="en-US" w:eastAsia="en-US" w:bidi="en-US"/>
      </w:rPr>
    </w:lvl>
  </w:abstractNum>
  <w:abstractNum w:abstractNumId="34" w15:restartNumberingAfterBreak="0">
    <w:nsid w:val="7941766B"/>
    <w:multiLevelType w:val="hybridMultilevel"/>
    <w:tmpl w:val="78FA9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F13588"/>
    <w:multiLevelType w:val="hybridMultilevel"/>
    <w:tmpl w:val="EF02EA28"/>
    <w:lvl w:ilvl="0" w:tplc="BB5A1EE0">
      <w:start w:val="1"/>
      <w:numFmt w:val="decimal"/>
      <w:pStyle w:val="NumberList1"/>
      <w:lvlText w:val="%1."/>
      <w:lvlJc w:val="left"/>
      <w:pPr>
        <w:tabs>
          <w:tab w:val="num" w:pos="1080"/>
        </w:tabs>
        <w:ind w:left="1080" w:hanging="360"/>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47281570">
    <w:abstractNumId w:val="11"/>
  </w:num>
  <w:num w:numId="2" w16cid:durableId="857616613">
    <w:abstractNumId w:val="16"/>
  </w:num>
  <w:num w:numId="3" w16cid:durableId="1039627625">
    <w:abstractNumId w:val="29"/>
  </w:num>
  <w:num w:numId="4" w16cid:durableId="1571235066">
    <w:abstractNumId w:val="13"/>
  </w:num>
  <w:num w:numId="5" w16cid:durableId="378407166">
    <w:abstractNumId w:val="26"/>
  </w:num>
  <w:num w:numId="6" w16cid:durableId="477110024">
    <w:abstractNumId w:val="23"/>
  </w:num>
  <w:num w:numId="7" w16cid:durableId="765153522">
    <w:abstractNumId w:val="14"/>
  </w:num>
  <w:num w:numId="8" w16cid:durableId="1726950747">
    <w:abstractNumId w:val="3"/>
  </w:num>
  <w:num w:numId="9" w16cid:durableId="604070354">
    <w:abstractNumId w:val="2"/>
  </w:num>
  <w:num w:numId="10" w16cid:durableId="1455439038">
    <w:abstractNumId w:val="1"/>
  </w:num>
  <w:num w:numId="11" w16cid:durableId="204483774">
    <w:abstractNumId w:val="0"/>
  </w:num>
  <w:num w:numId="12" w16cid:durableId="1692533728">
    <w:abstractNumId w:val="27"/>
  </w:num>
  <w:num w:numId="13" w16cid:durableId="923878547">
    <w:abstractNumId w:val="34"/>
  </w:num>
  <w:num w:numId="14" w16cid:durableId="518815123">
    <w:abstractNumId w:val="15"/>
  </w:num>
  <w:num w:numId="15" w16cid:durableId="749546042">
    <w:abstractNumId w:val="32"/>
  </w:num>
  <w:num w:numId="16" w16cid:durableId="685715788">
    <w:abstractNumId w:val="24"/>
  </w:num>
  <w:num w:numId="17" w16cid:durableId="275798482">
    <w:abstractNumId w:val="17"/>
  </w:num>
  <w:num w:numId="18" w16cid:durableId="634141158">
    <w:abstractNumId w:val="19"/>
  </w:num>
  <w:num w:numId="19" w16cid:durableId="1016082460">
    <w:abstractNumId w:val="18"/>
  </w:num>
  <w:num w:numId="20" w16cid:durableId="1780755916">
    <w:abstractNumId w:val="25"/>
  </w:num>
  <w:num w:numId="21" w16cid:durableId="1248030834">
    <w:abstractNumId w:val="9"/>
  </w:num>
  <w:num w:numId="22" w16cid:durableId="1912546176">
    <w:abstractNumId w:val="7"/>
  </w:num>
  <w:num w:numId="23" w16cid:durableId="768543214">
    <w:abstractNumId w:val="6"/>
  </w:num>
  <w:num w:numId="24" w16cid:durableId="26562701">
    <w:abstractNumId w:val="5"/>
  </w:num>
  <w:num w:numId="25" w16cid:durableId="833498460">
    <w:abstractNumId w:val="4"/>
  </w:num>
  <w:num w:numId="26" w16cid:durableId="475878189">
    <w:abstractNumId w:val="8"/>
  </w:num>
  <w:num w:numId="27" w16cid:durableId="1635213157">
    <w:abstractNumId w:val="28"/>
  </w:num>
  <w:num w:numId="28" w16cid:durableId="568733716">
    <w:abstractNumId w:val="8"/>
    <w:lvlOverride w:ilvl="0">
      <w:startOverride w:val="1"/>
    </w:lvlOverride>
  </w:num>
  <w:num w:numId="29" w16cid:durableId="525604607">
    <w:abstractNumId w:val="31"/>
  </w:num>
  <w:num w:numId="30" w16cid:durableId="1317033963">
    <w:abstractNumId w:val="8"/>
    <w:lvlOverride w:ilvl="0">
      <w:startOverride w:val="1"/>
    </w:lvlOverride>
  </w:num>
  <w:num w:numId="31" w16cid:durableId="445003764">
    <w:abstractNumId w:val="30"/>
  </w:num>
  <w:num w:numId="32" w16cid:durableId="115098466">
    <w:abstractNumId w:val="20"/>
  </w:num>
  <w:num w:numId="33" w16cid:durableId="82917396">
    <w:abstractNumId w:val="11"/>
  </w:num>
  <w:num w:numId="34" w16cid:durableId="1375426237">
    <w:abstractNumId w:val="11"/>
  </w:num>
  <w:num w:numId="35" w16cid:durableId="915669747">
    <w:abstractNumId w:val="11"/>
  </w:num>
  <w:num w:numId="36" w16cid:durableId="411780696">
    <w:abstractNumId w:val="11"/>
  </w:num>
  <w:num w:numId="37" w16cid:durableId="126122361">
    <w:abstractNumId w:val="11"/>
  </w:num>
  <w:num w:numId="38" w16cid:durableId="1321739763">
    <w:abstractNumId w:val="11"/>
  </w:num>
  <w:num w:numId="39" w16cid:durableId="569539942">
    <w:abstractNumId w:val="12"/>
  </w:num>
  <w:num w:numId="40" w16cid:durableId="556404539">
    <w:abstractNumId w:val="12"/>
  </w:num>
  <w:num w:numId="41" w16cid:durableId="551697626">
    <w:abstractNumId w:val="12"/>
  </w:num>
  <w:num w:numId="42" w16cid:durableId="946809091">
    <w:abstractNumId w:val="12"/>
  </w:num>
  <w:num w:numId="43" w16cid:durableId="1756239646">
    <w:abstractNumId w:val="35"/>
  </w:num>
  <w:num w:numId="44" w16cid:durableId="885023628">
    <w:abstractNumId w:val="21"/>
  </w:num>
  <w:num w:numId="45" w16cid:durableId="471749094">
    <w:abstractNumId w:val="33"/>
  </w:num>
  <w:num w:numId="46" w16cid:durableId="1663239424">
    <w:abstractNumId w:val="22"/>
  </w:num>
  <w:num w:numId="47" w16cid:durableId="1835221360">
    <w:abstractNumId w:val="10"/>
  </w:num>
  <w:num w:numId="48" w16cid:durableId="609046001">
    <w:abstractNumId w:val="35"/>
    <w:lvlOverride w:ilvl="0">
      <w:startOverride w:val="1"/>
    </w:lvlOverride>
  </w:num>
  <w:num w:numId="49" w16cid:durableId="1521822162">
    <w:abstractNumId w:val="35"/>
    <w:lvlOverride w:ilvl="0">
      <w:startOverride w:val="1"/>
    </w:lvlOverride>
  </w:num>
  <w:num w:numId="50" w16cid:durableId="1228102574">
    <w:abstractNumId w:val="21"/>
    <w:lvlOverride w:ilvl="0">
      <w:startOverride w:val="1"/>
    </w:lvlOverride>
  </w:num>
  <w:num w:numId="51" w16cid:durableId="522019165">
    <w:abstractNumId w:val="35"/>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7A3"/>
    <w:rsid w:val="000001E7"/>
    <w:rsid w:val="000018D6"/>
    <w:rsid w:val="00003F7D"/>
    <w:rsid w:val="00004B2C"/>
    <w:rsid w:val="00011663"/>
    <w:rsid w:val="00024D37"/>
    <w:rsid w:val="00031C17"/>
    <w:rsid w:val="00032A0C"/>
    <w:rsid w:val="00035505"/>
    <w:rsid w:val="0004266C"/>
    <w:rsid w:val="00043DED"/>
    <w:rsid w:val="00056559"/>
    <w:rsid w:val="00061458"/>
    <w:rsid w:val="00063159"/>
    <w:rsid w:val="000706A2"/>
    <w:rsid w:val="00070FCB"/>
    <w:rsid w:val="000713F6"/>
    <w:rsid w:val="0008145E"/>
    <w:rsid w:val="00083B50"/>
    <w:rsid w:val="00084576"/>
    <w:rsid w:val="00084ACF"/>
    <w:rsid w:val="0008670C"/>
    <w:rsid w:val="000940FF"/>
    <w:rsid w:val="00095B69"/>
    <w:rsid w:val="000A1FDA"/>
    <w:rsid w:val="000A2855"/>
    <w:rsid w:val="000A4DBF"/>
    <w:rsid w:val="000A7DE6"/>
    <w:rsid w:val="000B16C1"/>
    <w:rsid w:val="000B22E8"/>
    <w:rsid w:val="000B57A2"/>
    <w:rsid w:val="000C4A23"/>
    <w:rsid w:val="000C5915"/>
    <w:rsid w:val="000D647A"/>
    <w:rsid w:val="000E0338"/>
    <w:rsid w:val="000E11A7"/>
    <w:rsid w:val="000E1980"/>
    <w:rsid w:val="000E1E86"/>
    <w:rsid w:val="000E6470"/>
    <w:rsid w:val="000E68C9"/>
    <w:rsid w:val="000E6BA2"/>
    <w:rsid w:val="000E7DE6"/>
    <w:rsid w:val="000F3DC4"/>
    <w:rsid w:val="001013BF"/>
    <w:rsid w:val="001054FF"/>
    <w:rsid w:val="00110E64"/>
    <w:rsid w:val="001145DE"/>
    <w:rsid w:val="001210FA"/>
    <w:rsid w:val="00127908"/>
    <w:rsid w:val="00130017"/>
    <w:rsid w:val="00132C38"/>
    <w:rsid w:val="00133AC1"/>
    <w:rsid w:val="001409A5"/>
    <w:rsid w:val="001445E2"/>
    <w:rsid w:val="00146270"/>
    <w:rsid w:val="00156AC4"/>
    <w:rsid w:val="001609D4"/>
    <w:rsid w:val="00161321"/>
    <w:rsid w:val="00161597"/>
    <w:rsid w:val="00181EF7"/>
    <w:rsid w:val="001878B8"/>
    <w:rsid w:val="00192ABD"/>
    <w:rsid w:val="0019453D"/>
    <w:rsid w:val="001A3DC7"/>
    <w:rsid w:val="001B155B"/>
    <w:rsid w:val="001C0030"/>
    <w:rsid w:val="001C4EAB"/>
    <w:rsid w:val="001C667E"/>
    <w:rsid w:val="001D2352"/>
    <w:rsid w:val="001D29D4"/>
    <w:rsid w:val="001D477A"/>
    <w:rsid w:val="001D7CE6"/>
    <w:rsid w:val="001E1719"/>
    <w:rsid w:val="001E2D4D"/>
    <w:rsid w:val="001E3CFB"/>
    <w:rsid w:val="001E4743"/>
    <w:rsid w:val="001E6BAA"/>
    <w:rsid w:val="001F0363"/>
    <w:rsid w:val="001F26D2"/>
    <w:rsid w:val="001F39DB"/>
    <w:rsid w:val="00200D90"/>
    <w:rsid w:val="00206341"/>
    <w:rsid w:val="00212E2A"/>
    <w:rsid w:val="002171A4"/>
    <w:rsid w:val="002257B0"/>
    <w:rsid w:val="0022748C"/>
    <w:rsid w:val="00233072"/>
    <w:rsid w:val="00233C72"/>
    <w:rsid w:val="0023449E"/>
    <w:rsid w:val="002355C3"/>
    <w:rsid w:val="00240A80"/>
    <w:rsid w:val="00243F8F"/>
    <w:rsid w:val="002456C7"/>
    <w:rsid w:val="00245AF6"/>
    <w:rsid w:val="00247894"/>
    <w:rsid w:val="00247AA3"/>
    <w:rsid w:val="002518FA"/>
    <w:rsid w:val="00253588"/>
    <w:rsid w:val="00263A81"/>
    <w:rsid w:val="0026413B"/>
    <w:rsid w:val="002753C2"/>
    <w:rsid w:val="00275CA9"/>
    <w:rsid w:val="002808AC"/>
    <w:rsid w:val="00282A50"/>
    <w:rsid w:val="002845B3"/>
    <w:rsid w:val="00284F3E"/>
    <w:rsid w:val="00285B33"/>
    <w:rsid w:val="00285F17"/>
    <w:rsid w:val="002A0AF1"/>
    <w:rsid w:val="002A60E7"/>
    <w:rsid w:val="002A6B15"/>
    <w:rsid w:val="002B12FC"/>
    <w:rsid w:val="002B188A"/>
    <w:rsid w:val="002B4390"/>
    <w:rsid w:val="002B71B1"/>
    <w:rsid w:val="002B7A47"/>
    <w:rsid w:val="002B7F1C"/>
    <w:rsid w:val="002C281F"/>
    <w:rsid w:val="002C32D3"/>
    <w:rsid w:val="002C32E4"/>
    <w:rsid w:val="002C4D11"/>
    <w:rsid w:val="002C6AA0"/>
    <w:rsid w:val="002D2C31"/>
    <w:rsid w:val="002D2FB7"/>
    <w:rsid w:val="002D3B11"/>
    <w:rsid w:val="002E3973"/>
    <w:rsid w:val="002F4D06"/>
    <w:rsid w:val="002F6C1D"/>
    <w:rsid w:val="003009AB"/>
    <w:rsid w:val="003077E0"/>
    <w:rsid w:val="00310645"/>
    <w:rsid w:val="0031248A"/>
    <w:rsid w:val="003206AD"/>
    <w:rsid w:val="00321DD8"/>
    <w:rsid w:val="0032267A"/>
    <w:rsid w:val="00324E6F"/>
    <w:rsid w:val="00326E25"/>
    <w:rsid w:val="003273A3"/>
    <w:rsid w:val="0034102B"/>
    <w:rsid w:val="00343A5B"/>
    <w:rsid w:val="00347538"/>
    <w:rsid w:val="00347E16"/>
    <w:rsid w:val="00350B71"/>
    <w:rsid w:val="00351930"/>
    <w:rsid w:val="00351FB3"/>
    <w:rsid w:val="00352367"/>
    <w:rsid w:val="00355690"/>
    <w:rsid w:val="00360A7C"/>
    <w:rsid w:val="00365B71"/>
    <w:rsid w:val="003664E7"/>
    <w:rsid w:val="00376115"/>
    <w:rsid w:val="00382520"/>
    <w:rsid w:val="00382CE5"/>
    <w:rsid w:val="0038385D"/>
    <w:rsid w:val="00390534"/>
    <w:rsid w:val="003913F5"/>
    <w:rsid w:val="00391717"/>
    <w:rsid w:val="00392D3A"/>
    <w:rsid w:val="00393807"/>
    <w:rsid w:val="003944FF"/>
    <w:rsid w:val="003A0894"/>
    <w:rsid w:val="003A2963"/>
    <w:rsid w:val="003A2990"/>
    <w:rsid w:val="003A62BB"/>
    <w:rsid w:val="003A6E2A"/>
    <w:rsid w:val="003B11C3"/>
    <w:rsid w:val="003B136C"/>
    <w:rsid w:val="003B1C31"/>
    <w:rsid w:val="003B408C"/>
    <w:rsid w:val="003B4DC2"/>
    <w:rsid w:val="003D163E"/>
    <w:rsid w:val="003D4BC8"/>
    <w:rsid w:val="003D5C81"/>
    <w:rsid w:val="003E0FFE"/>
    <w:rsid w:val="003E2084"/>
    <w:rsid w:val="003E3710"/>
    <w:rsid w:val="003E49B7"/>
    <w:rsid w:val="003E53CF"/>
    <w:rsid w:val="003E6ECE"/>
    <w:rsid w:val="003E7710"/>
    <w:rsid w:val="003F34EB"/>
    <w:rsid w:val="003F4B5C"/>
    <w:rsid w:val="00400A1A"/>
    <w:rsid w:val="00401E88"/>
    <w:rsid w:val="0040355A"/>
    <w:rsid w:val="00414CA8"/>
    <w:rsid w:val="004153D7"/>
    <w:rsid w:val="00415A1A"/>
    <w:rsid w:val="00420533"/>
    <w:rsid w:val="00423575"/>
    <w:rsid w:val="00431EF1"/>
    <w:rsid w:val="0043404D"/>
    <w:rsid w:val="0043447B"/>
    <w:rsid w:val="00435AED"/>
    <w:rsid w:val="00442F11"/>
    <w:rsid w:val="00450152"/>
    <w:rsid w:val="004508F9"/>
    <w:rsid w:val="0045350E"/>
    <w:rsid w:val="00453C67"/>
    <w:rsid w:val="00454980"/>
    <w:rsid w:val="0045566D"/>
    <w:rsid w:val="00456872"/>
    <w:rsid w:val="004637A3"/>
    <w:rsid w:val="004674EA"/>
    <w:rsid w:val="00474530"/>
    <w:rsid w:val="004752DE"/>
    <w:rsid w:val="00485E28"/>
    <w:rsid w:val="0049360B"/>
    <w:rsid w:val="00497AB7"/>
    <w:rsid w:val="004A143D"/>
    <w:rsid w:val="004A4DA0"/>
    <w:rsid w:val="004A57F7"/>
    <w:rsid w:val="004A59E6"/>
    <w:rsid w:val="004A6D19"/>
    <w:rsid w:val="004C0AE3"/>
    <w:rsid w:val="004C114E"/>
    <w:rsid w:val="004C2BFC"/>
    <w:rsid w:val="004C2EB2"/>
    <w:rsid w:val="004D0B6E"/>
    <w:rsid w:val="004D1EF6"/>
    <w:rsid w:val="004D587A"/>
    <w:rsid w:val="004D6093"/>
    <w:rsid w:val="004F4BDC"/>
    <w:rsid w:val="00501A13"/>
    <w:rsid w:val="0050324C"/>
    <w:rsid w:val="0050385F"/>
    <w:rsid w:val="00503A6B"/>
    <w:rsid w:val="00506582"/>
    <w:rsid w:val="00532910"/>
    <w:rsid w:val="00532C73"/>
    <w:rsid w:val="00532F54"/>
    <w:rsid w:val="005348A9"/>
    <w:rsid w:val="005404D2"/>
    <w:rsid w:val="00543D2E"/>
    <w:rsid w:val="00545398"/>
    <w:rsid w:val="00551CB5"/>
    <w:rsid w:val="00553F2B"/>
    <w:rsid w:val="005553EB"/>
    <w:rsid w:val="00555CF6"/>
    <w:rsid w:val="00566732"/>
    <w:rsid w:val="005778DC"/>
    <w:rsid w:val="00581ED3"/>
    <w:rsid w:val="00582AF0"/>
    <w:rsid w:val="0058738B"/>
    <w:rsid w:val="00590891"/>
    <w:rsid w:val="00591B1D"/>
    <w:rsid w:val="00596D4B"/>
    <w:rsid w:val="005A0912"/>
    <w:rsid w:val="005A2A70"/>
    <w:rsid w:val="005B0BDA"/>
    <w:rsid w:val="005C2897"/>
    <w:rsid w:val="005C62B2"/>
    <w:rsid w:val="005D55A9"/>
    <w:rsid w:val="005D7663"/>
    <w:rsid w:val="005E79F8"/>
    <w:rsid w:val="005F68CC"/>
    <w:rsid w:val="005F7BD7"/>
    <w:rsid w:val="00603C37"/>
    <w:rsid w:val="00604112"/>
    <w:rsid w:val="006055CF"/>
    <w:rsid w:val="00606E37"/>
    <w:rsid w:val="00615001"/>
    <w:rsid w:val="00615CC4"/>
    <w:rsid w:val="00615FC7"/>
    <w:rsid w:val="006165DF"/>
    <w:rsid w:val="00620CEB"/>
    <w:rsid w:val="00623B90"/>
    <w:rsid w:val="006243A1"/>
    <w:rsid w:val="0064666B"/>
    <w:rsid w:val="00652C01"/>
    <w:rsid w:val="006548A2"/>
    <w:rsid w:val="0066141A"/>
    <w:rsid w:val="006757D1"/>
    <w:rsid w:val="0067713F"/>
    <w:rsid w:val="0068081C"/>
    <w:rsid w:val="006814DF"/>
    <w:rsid w:val="00686C8D"/>
    <w:rsid w:val="0069134E"/>
    <w:rsid w:val="00692C59"/>
    <w:rsid w:val="00696443"/>
    <w:rsid w:val="006A3DEE"/>
    <w:rsid w:val="006B520E"/>
    <w:rsid w:val="006B5F75"/>
    <w:rsid w:val="006C139C"/>
    <w:rsid w:val="006D5F21"/>
    <w:rsid w:val="006E074C"/>
    <w:rsid w:val="006E0A0F"/>
    <w:rsid w:val="006E15B9"/>
    <w:rsid w:val="006E63CC"/>
    <w:rsid w:val="006F5CF4"/>
    <w:rsid w:val="006F6CEE"/>
    <w:rsid w:val="0070106A"/>
    <w:rsid w:val="00701812"/>
    <w:rsid w:val="007020DB"/>
    <w:rsid w:val="007040CE"/>
    <w:rsid w:val="007053B2"/>
    <w:rsid w:val="007070CB"/>
    <w:rsid w:val="0071139F"/>
    <w:rsid w:val="007130DF"/>
    <w:rsid w:val="00724A2D"/>
    <w:rsid w:val="00724E68"/>
    <w:rsid w:val="00726842"/>
    <w:rsid w:val="00727050"/>
    <w:rsid w:val="0072767D"/>
    <w:rsid w:val="00727F44"/>
    <w:rsid w:val="007319E4"/>
    <w:rsid w:val="00742F39"/>
    <w:rsid w:val="00743CF8"/>
    <w:rsid w:val="00744A79"/>
    <w:rsid w:val="007569E3"/>
    <w:rsid w:val="00766F00"/>
    <w:rsid w:val="007710AB"/>
    <w:rsid w:val="007809C4"/>
    <w:rsid w:val="007924AC"/>
    <w:rsid w:val="007929B5"/>
    <w:rsid w:val="007A09B0"/>
    <w:rsid w:val="007A3003"/>
    <w:rsid w:val="007B36EB"/>
    <w:rsid w:val="007B4D32"/>
    <w:rsid w:val="007B7FBF"/>
    <w:rsid w:val="007C0716"/>
    <w:rsid w:val="007C09FA"/>
    <w:rsid w:val="007C1EEA"/>
    <w:rsid w:val="007C45DC"/>
    <w:rsid w:val="007C7185"/>
    <w:rsid w:val="007C798F"/>
    <w:rsid w:val="007D3261"/>
    <w:rsid w:val="007D3C71"/>
    <w:rsid w:val="007E0BC2"/>
    <w:rsid w:val="007E188B"/>
    <w:rsid w:val="007E3406"/>
    <w:rsid w:val="007E352C"/>
    <w:rsid w:val="007E76A9"/>
    <w:rsid w:val="007E7837"/>
    <w:rsid w:val="007F114C"/>
    <w:rsid w:val="007F1310"/>
    <w:rsid w:val="007F15D4"/>
    <w:rsid w:val="007F3703"/>
    <w:rsid w:val="007F50CB"/>
    <w:rsid w:val="008004FC"/>
    <w:rsid w:val="008010F2"/>
    <w:rsid w:val="00803401"/>
    <w:rsid w:val="008127B4"/>
    <w:rsid w:val="00814481"/>
    <w:rsid w:val="00815F60"/>
    <w:rsid w:val="00820534"/>
    <w:rsid w:val="0082615B"/>
    <w:rsid w:val="00826BC7"/>
    <w:rsid w:val="00842955"/>
    <w:rsid w:val="00846081"/>
    <w:rsid w:val="00846889"/>
    <w:rsid w:val="00850F47"/>
    <w:rsid w:val="00856797"/>
    <w:rsid w:val="008640C0"/>
    <w:rsid w:val="00864E7B"/>
    <w:rsid w:val="00864F8D"/>
    <w:rsid w:val="00871A36"/>
    <w:rsid w:val="008720ED"/>
    <w:rsid w:val="00880645"/>
    <w:rsid w:val="008824B7"/>
    <w:rsid w:val="00885137"/>
    <w:rsid w:val="00886442"/>
    <w:rsid w:val="00892B36"/>
    <w:rsid w:val="00892DAB"/>
    <w:rsid w:val="008A264E"/>
    <w:rsid w:val="008B0A8D"/>
    <w:rsid w:val="008B4A72"/>
    <w:rsid w:val="008C0A0E"/>
    <w:rsid w:val="008C3919"/>
    <w:rsid w:val="008C5F6F"/>
    <w:rsid w:val="008C60E0"/>
    <w:rsid w:val="008C6653"/>
    <w:rsid w:val="008D3372"/>
    <w:rsid w:val="008F58F4"/>
    <w:rsid w:val="008F5EB9"/>
    <w:rsid w:val="008F6CCF"/>
    <w:rsid w:val="00902234"/>
    <w:rsid w:val="00902CCE"/>
    <w:rsid w:val="00904656"/>
    <w:rsid w:val="00910EC2"/>
    <w:rsid w:val="00915D89"/>
    <w:rsid w:val="00915FDD"/>
    <w:rsid w:val="00922519"/>
    <w:rsid w:val="00925637"/>
    <w:rsid w:val="0092665F"/>
    <w:rsid w:val="00927F16"/>
    <w:rsid w:val="00935D79"/>
    <w:rsid w:val="00945143"/>
    <w:rsid w:val="009457A0"/>
    <w:rsid w:val="00946506"/>
    <w:rsid w:val="00947CD3"/>
    <w:rsid w:val="0095046A"/>
    <w:rsid w:val="0095171B"/>
    <w:rsid w:val="0095717F"/>
    <w:rsid w:val="00957F78"/>
    <w:rsid w:val="009645BA"/>
    <w:rsid w:val="009659C6"/>
    <w:rsid w:val="00965CC3"/>
    <w:rsid w:val="00966E87"/>
    <w:rsid w:val="00967F41"/>
    <w:rsid w:val="00970A90"/>
    <w:rsid w:val="00972E2A"/>
    <w:rsid w:val="00975243"/>
    <w:rsid w:val="00985BFE"/>
    <w:rsid w:val="009918BD"/>
    <w:rsid w:val="00994D56"/>
    <w:rsid w:val="009A57D6"/>
    <w:rsid w:val="009A6ACD"/>
    <w:rsid w:val="009B0846"/>
    <w:rsid w:val="009B4C3B"/>
    <w:rsid w:val="009B7499"/>
    <w:rsid w:val="009C5144"/>
    <w:rsid w:val="009D1E89"/>
    <w:rsid w:val="009D354E"/>
    <w:rsid w:val="009D472B"/>
    <w:rsid w:val="009D4EAC"/>
    <w:rsid w:val="009D6CBC"/>
    <w:rsid w:val="009E5CB7"/>
    <w:rsid w:val="009F3570"/>
    <w:rsid w:val="00A000C8"/>
    <w:rsid w:val="00A00CBA"/>
    <w:rsid w:val="00A01C30"/>
    <w:rsid w:val="00A06D55"/>
    <w:rsid w:val="00A113E4"/>
    <w:rsid w:val="00A1393E"/>
    <w:rsid w:val="00A15C7C"/>
    <w:rsid w:val="00A27A19"/>
    <w:rsid w:val="00A3310A"/>
    <w:rsid w:val="00A42FAF"/>
    <w:rsid w:val="00A45796"/>
    <w:rsid w:val="00A5503E"/>
    <w:rsid w:val="00A56D28"/>
    <w:rsid w:val="00A6017A"/>
    <w:rsid w:val="00A61B9E"/>
    <w:rsid w:val="00A63545"/>
    <w:rsid w:val="00A66FFA"/>
    <w:rsid w:val="00A75436"/>
    <w:rsid w:val="00A808D8"/>
    <w:rsid w:val="00A810E5"/>
    <w:rsid w:val="00A83220"/>
    <w:rsid w:val="00A95228"/>
    <w:rsid w:val="00AA14F9"/>
    <w:rsid w:val="00AA3ED6"/>
    <w:rsid w:val="00AA51F7"/>
    <w:rsid w:val="00AA594D"/>
    <w:rsid w:val="00AA7A06"/>
    <w:rsid w:val="00AB366F"/>
    <w:rsid w:val="00AB4310"/>
    <w:rsid w:val="00AC32F3"/>
    <w:rsid w:val="00AC3D8C"/>
    <w:rsid w:val="00AC5287"/>
    <w:rsid w:val="00AD3FC0"/>
    <w:rsid w:val="00AE750B"/>
    <w:rsid w:val="00AF1271"/>
    <w:rsid w:val="00AF23D7"/>
    <w:rsid w:val="00B008A3"/>
    <w:rsid w:val="00B00D4F"/>
    <w:rsid w:val="00B04018"/>
    <w:rsid w:val="00B05FDF"/>
    <w:rsid w:val="00B10037"/>
    <w:rsid w:val="00B15F4D"/>
    <w:rsid w:val="00B21B65"/>
    <w:rsid w:val="00B22E80"/>
    <w:rsid w:val="00B25B15"/>
    <w:rsid w:val="00B3002D"/>
    <w:rsid w:val="00B347C7"/>
    <w:rsid w:val="00B557AE"/>
    <w:rsid w:val="00B645AF"/>
    <w:rsid w:val="00B73BFD"/>
    <w:rsid w:val="00B830F0"/>
    <w:rsid w:val="00B92333"/>
    <w:rsid w:val="00B958D8"/>
    <w:rsid w:val="00BA0B13"/>
    <w:rsid w:val="00BA4553"/>
    <w:rsid w:val="00BA7322"/>
    <w:rsid w:val="00BC2368"/>
    <w:rsid w:val="00BC4C52"/>
    <w:rsid w:val="00BC6C4E"/>
    <w:rsid w:val="00BD0624"/>
    <w:rsid w:val="00BD0E49"/>
    <w:rsid w:val="00BD2F1D"/>
    <w:rsid w:val="00BD3018"/>
    <w:rsid w:val="00BD34CB"/>
    <w:rsid w:val="00BD3912"/>
    <w:rsid w:val="00BE192E"/>
    <w:rsid w:val="00BE3CDD"/>
    <w:rsid w:val="00BE41D0"/>
    <w:rsid w:val="00BE6405"/>
    <w:rsid w:val="00BF6CD4"/>
    <w:rsid w:val="00BF6F2B"/>
    <w:rsid w:val="00C021B9"/>
    <w:rsid w:val="00C0751D"/>
    <w:rsid w:val="00C11B71"/>
    <w:rsid w:val="00C3459A"/>
    <w:rsid w:val="00C35A03"/>
    <w:rsid w:val="00C378AA"/>
    <w:rsid w:val="00C47A12"/>
    <w:rsid w:val="00C515DB"/>
    <w:rsid w:val="00C61337"/>
    <w:rsid w:val="00C625FF"/>
    <w:rsid w:val="00C72220"/>
    <w:rsid w:val="00C753A3"/>
    <w:rsid w:val="00C76596"/>
    <w:rsid w:val="00C77074"/>
    <w:rsid w:val="00C8613E"/>
    <w:rsid w:val="00C911C4"/>
    <w:rsid w:val="00C91CEB"/>
    <w:rsid w:val="00C9232D"/>
    <w:rsid w:val="00C93A3F"/>
    <w:rsid w:val="00C95B85"/>
    <w:rsid w:val="00CA1B8A"/>
    <w:rsid w:val="00CA3218"/>
    <w:rsid w:val="00CA37B6"/>
    <w:rsid w:val="00CC2EF5"/>
    <w:rsid w:val="00CC422F"/>
    <w:rsid w:val="00CC5064"/>
    <w:rsid w:val="00CC62D1"/>
    <w:rsid w:val="00CE087F"/>
    <w:rsid w:val="00CF20E3"/>
    <w:rsid w:val="00D01035"/>
    <w:rsid w:val="00D06051"/>
    <w:rsid w:val="00D11F31"/>
    <w:rsid w:val="00D15E60"/>
    <w:rsid w:val="00D16D17"/>
    <w:rsid w:val="00D22F72"/>
    <w:rsid w:val="00D2465F"/>
    <w:rsid w:val="00D30DF3"/>
    <w:rsid w:val="00D31C51"/>
    <w:rsid w:val="00D360E6"/>
    <w:rsid w:val="00D37E65"/>
    <w:rsid w:val="00D4295B"/>
    <w:rsid w:val="00D452C5"/>
    <w:rsid w:val="00D45FE8"/>
    <w:rsid w:val="00D5589D"/>
    <w:rsid w:val="00D60010"/>
    <w:rsid w:val="00D62DEE"/>
    <w:rsid w:val="00D64491"/>
    <w:rsid w:val="00D67E7F"/>
    <w:rsid w:val="00D73F65"/>
    <w:rsid w:val="00D81ED6"/>
    <w:rsid w:val="00D9409E"/>
    <w:rsid w:val="00DA02AF"/>
    <w:rsid w:val="00DA0569"/>
    <w:rsid w:val="00DA38DC"/>
    <w:rsid w:val="00DA490D"/>
    <w:rsid w:val="00DA67D5"/>
    <w:rsid w:val="00DB09E7"/>
    <w:rsid w:val="00DB1872"/>
    <w:rsid w:val="00DB3C16"/>
    <w:rsid w:val="00DC7A55"/>
    <w:rsid w:val="00DD12F4"/>
    <w:rsid w:val="00DD539E"/>
    <w:rsid w:val="00DE2A8F"/>
    <w:rsid w:val="00DE5F92"/>
    <w:rsid w:val="00DF1173"/>
    <w:rsid w:val="00DF5D0B"/>
    <w:rsid w:val="00E02EE2"/>
    <w:rsid w:val="00E17490"/>
    <w:rsid w:val="00E20A3A"/>
    <w:rsid w:val="00E263B2"/>
    <w:rsid w:val="00E277F9"/>
    <w:rsid w:val="00E41B95"/>
    <w:rsid w:val="00E42AD5"/>
    <w:rsid w:val="00E50230"/>
    <w:rsid w:val="00E53D72"/>
    <w:rsid w:val="00E55A6F"/>
    <w:rsid w:val="00E5622B"/>
    <w:rsid w:val="00E70093"/>
    <w:rsid w:val="00E745E4"/>
    <w:rsid w:val="00E8465A"/>
    <w:rsid w:val="00E848B1"/>
    <w:rsid w:val="00E91205"/>
    <w:rsid w:val="00E9140B"/>
    <w:rsid w:val="00E92FFE"/>
    <w:rsid w:val="00E942B6"/>
    <w:rsid w:val="00E96FF6"/>
    <w:rsid w:val="00EA7A6E"/>
    <w:rsid w:val="00EB19FA"/>
    <w:rsid w:val="00EB29BD"/>
    <w:rsid w:val="00EB3DB5"/>
    <w:rsid w:val="00EB54D2"/>
    <w:rsid w:val="00EB5810"/>
    <w:rsid w:val="00EC4B15"/>
    <w:rsid w:val="00EC7E4C"/>
    <w:rsid w:val="00ED2F97"/>
    <w:rsid w:val="00ED31EB"/>
    <w:rsid w:val="00ED38D8"/>
    <w:rsid w:val="00ED6776"/>
    <w:rsid w:val="00ED7C8C"/>
    <w:rsid w:val="00EE25ED"/>
    <w:rsid w:val="00EF47B4"/>
    <w:rsid w:val="00EF56C9"/>
    <w:rsid w:val="00EF59D3"/>
    <w:rsid w:val="00F073BB"/>
    <w:rsid w:val="00F11E8A"/>
    <w:rsid w:val="00F12E5B"/>
    <w:rsid w:val="00F13840"/>
    <w:rsid w:val="00F144B9"/>
    <w:rsid w:val="00F15257"/>
    <w:rsid w:val="00F20230"/>
    <w:rsid w:val="00F24C82"/>
    <w:rsid w:val="00F2563A"/>
    <w:rsid w:val="00F26287"/>
    <w:rsid w:val="00F30927"/>
    <w:rsid w:val="00F33A43"/>
    <w:rsid w:val="00F34D3D"/>
    <w:rsid w:val="00F402B9"/>
    <w:rsid w:val="00F413FF"/>
    <w:rsid w:val="00F41CDA"/>
    <w:rsid w:val="00F42CFD"/>
    <w:rsid w:val="00F459A3"/>
    <w:rsid w:val="00F460E9"/>
    <w:rsid w:val="00F476A4"/>
    <w:rsid w:val="00F50A82"/>
    <w:rsid w:val="00F55F44"/>
    <w:rsid w:val="00F609D0"/>
    <w:rsid w:val="00F6284F"/>
    <w:rsid w:val="00F65B7B"/>
    <w:rsid w:val="00F7477C"/>
    <w:rsid w:val="00F81B40"/>
    <w:rsid w:val="00F82750"/>
    <w:rsid w:val="00F86671"/>
    <w:rsid w:val="00F87C6E"/>
    <w:rsid w:val="00F95C4E"/>
    <w:rsid w:val="00FB1509"/>
    <w:rsid w:val="00FB15E0"/>
    <w:rsid w:val="00FB2AA1"/>
    <w:rsid w:val="00FC1682"/>
    <w:rsid w:val="00FC410F"/>
    <w:rsid w:val="00FC5FE2"/>
    <w:rsid w:val="00FD0B48"/>
    <w:rsid w:val="00FE16DF"/>
    <w:rsid w:val="00FE5E71"/>
    <w:rsid w:val="00FE6B54"/>
    <w:rsid w:val="00FF50B3"/>
    <w:rsid w:val="00FF6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19ABD70B"/>
  <w15:chartTrackingRefBased/>
  <w15:docId w15:val="{DA5E81F9-CFAB-4E4E-8B2D-95E966381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596"/>
    <w:pPr>
      <w:overflowPunct w:val="0"/>
      <w:autoSpaceDE w:val="0"/>
      <w:autoSpaceDN w:val="0"/>
      <w:adjustRightInd w:val="0"/>
      <w:spacing w:after="0" w:line="240" w:lineRule="auto"/>
      <w:textAlignment w:val="baseline"/>
    </w:pPr>
    <w:rPr>
      <w:rFonts w:ascii="Times New Roman" w:eastAsia="Times New Roman" w:hAnsi="Times New Roman" w:cs="Times New Roman"/>
      <w:bCs/>
      <w:sz w:val="24"/>
      <w:szCs w:val="20"/>
    </w:rPr>
  </w:style>
  <w:style w:type="paragraph" w:styleId="Heading1">
    <w:name w:val="heading 1"/>
    <w:basedOn w:val="Normal"/>
    <w:next w:val="BodyText"/>
    <w:link w:val="Heading1Char"/>
    <w:qFormat/>
    <w:rsid w:val="00C76596"/>
    <w:pPr>
      <w:keepNext/>
      <w:numPr>
        <w:numId w:val="38"/>
      </w:numPr>
      <w:pBdr>
        <w:bottom w:val="single" w:sz="12" w:space="3" w:color="auto"/>
      </w:pBdr>
      <w:overflowPunct/>
      <w:autoSpaceDE/>
      <w:autoSpaceDN/>
      <w:adjustRightInd/>
      <w:spacing w:after="200"/>
      <w:textAlignment w:val="auto"/>
      <w:outlineLvl w:val="0"/>
    </w:pPr>
    <w:rPr>
      <w:rFonts w:ascii="Arial" w:hAnsi="Arial" w:cs="Arial"/>
      <w:b/>
      <w:color w:val="000000" w:themeColor="text1"/>
      <w:kern w:val="32"/>
      <w:sz w:val="32"/>
      <w:szCs w:val="32"/>
    </w:rPr>
  </w:style>
  <w:style w:type="paragraph" w:styleId="Heading2">
    <w:name w:val="heading 2"/>
    <w:basedOn w:val="Normal"/>
    <w:next w:val="BodyText"/>
    <w:link w:val="Heading2Char"/>
    <w:qFormat/>
    <w:rsid w:val="00C76596"/>
    <w:pPr>
      <w:keepNext/>
      <w:numPr>
        <w:ilvl w:val="1"/>
        <w:numId w:val="38"/>
      </w:numPr>
      <w:overflowPunct/>
      <w:autoSpaceDE/>
      <w:autoSpaceDN/>
      <w:adjustRightInd/>
      <w:spacing w:before="200"/>
      <w:textAlignment w:val="auto"/>
      <w:outlineLvl w:val="1"/>
    </w:pPr>
    <w:rPr>
      <w:rFonts w:ascii="Arial" w:hAnsi="Arial"/>
      <w:b/>
      <w:color w:val="000000" w:themeColor="text1"/>
      <w:sz w:val="28"/>
      <w:szCs w:val="28"/>
    </w:rPr>
  </w:style>
  <w:style w:type="paragraph" w:styleId="Heading3">
    <w:name w:val="heading 3"/>
    <w:basedOn w:val="Heading2"/>
    <w:next w:val="Normal"/>
    <w:link w:val="Heading3Char"/>
    <w:qFormat/>
    <w:rsid w:val="00C76596"/>
    <w:pPr>
      <w:numPr>
        <w:ilvl w:val="2"/>
      </w:numPr>
      <w:outlineLvl w:val="2"/>
    </w:pPr>
    <w:rPr>
      <w:rFonts w:cs="Arial"/>
      <w:bCs w:val="0"/>
      <w:sz w:val="24"/>
      <w:szCs w:val="26"/>
    </w:rPr>
  </w:style>
  <w:style w:type="paragraph" w:styleId="Heading4">
    <w:name w:val="heading 4"/>
    <w:basedOn w:val="Normal"/>
    <w:next w:val="BodyText"/>
    <w:link w:val="Heading4Char"/>
    <w:qFormat/>
    <w:rsid w:val="00C76596"/>
    <w:pPr>
      <w:keepNext/>
      <w:numPr>
        <w:ilvl w:val="3"/>
        <w:numId w:val="38"/>
      </w:numPr>
      <w:overflowPunct/>
      <w:autoSpaceDE/>
      <w:autoSpaceDN/>
      <w:adjustRightInd/>
      <w:spacing w:before="200"/>
      <w:textAlignment w:val="auto"/>
      <w:outlineLvl w:val="3"/>
    </w:pPr>
    <w:rPr>
      <w:rFonts w:ascii="Arial" w:hAnsi="Arial"/>
      <w:b/>
      <w:color w:val="000000" w:themeColor="text1"/>
      <w:szCs w:val="28"/>
    </w:rPr>
  </w:style>
  <w:style w:type="paragraph" w:styleId="Heading5">
    <w:name w:val="heading 5"/>
    <w:basedOn w:val="Normal"/>
    <w:next w:val="BodyText"/>
    <w:link w:val="Heading5Char"/>
    <w:qFormat/>
    <w:rsid w:val="00C76596"/>
    <w:pPr>
      <w:keepNext/>
      <w:spacing w:before="200"/>
      <w:outlineLvl w:val="4"/>
    </w:pPr>
    <w:rPr>
      <w:rFonts w:ascii="Arial" w:hAnsi="Arial"/>
      <w:b/>
      <w:bCs w:val="0"/>
      <w:color w:val="000000" w:themeColor="text1"/>
      <w:szCs w:val="28"/>
    </w:rPr>
  </w:style>
  <w:style w:type="paragraph" w:styleId="Heading6">
    <w:name w:val="heading 6"/>
    <w:basedOn w:val="Normal"/>
    <w:next w:val="Normal"/>
    <w:link w:val="Heading6Char"/>
    <w:rsid w:val="00C76596"/>
    <w:pPr>
      <w:keepNext/>
      <w:numPr>
        <w:ilvl w:val="5"/>
        <w:numId w:val="42"/>
      </w:numPr>
      <w:spacing w:after="360"/>
      <w:outlineLvl w:val="5"/>
    </w:pPr>
    <w:rPr>
      <w:rFonts w:ascii="Arial" w:hAnsi="Arial"/>
      <w:bCs w:val="0"/>
      <w:u w:val="single"/>
    </w:rPr>
  </w:style>
  <w:style w:type="paragraph" w:styleId="Heading7">
    <w:name w:val="heading 7"/>
    <w:basedOn w:val="Normal"/>
    <w:next w:val="Normal"/>
    <w:link w:val="Heading7Char"/>
    <w:semiHidden/>
    <w:rsid w:val="00C76596"/>
    <w:pPr>
      <w:numPr>
        <w:ilvl w:val="6"/>
        <w:numId w:val="42"/>
      </w:numPr>
      <w:spacing w:before="240" w:after="60"/>
      <w:outlineLvl w:val="6"/>
    </w:pPr>
    <w:rPr>
      <w:rFonts w:ascii="Arial" w:hAnsi="Arial"/>
      <w:bCs w:val="0"/>
    </w:rPr>
  </w:style>
  <w:style w:type="paragraph" w:styleId="Heading8">
    <w:name w:val="heading 8"/>
    <w:basedOn w:val="Normal"/>
    <w:next w:val="Normal"/>
    <w:link w:val="Heading8Char"/>
    <w:semiHidden/>
    <w:rsid w:val="00C76596"/>
    <w:pPr>
      <w:numPr>
        <w:ilvl w:val="7"/>
        <w:numId w:val="42"/>
      </w:numPr>
      <w:spacing w:before="240" w:after="60"/>
      <w:outlineLvl w:val="7"/>
    </w:pPr>
    <w:rPr>
      <w:rFonts w:ascii="Arial" w:hAnsi="Arial"/>
      <w:bCs w:val="0"/>
      <w:i/>
    </w:rPr>
  </w:style>
  <w:style w:type="paragraph" w:styleId="Heading9">
    <w:name w:val="heading 9"/>
    <w:basedOn w:val="Normal"/>
    <w:next w:val="Normal"/>
    <w:link w:val="Heading9Char"/>
    <w:semiHidden/>
    <w:rsid w:val="00C76596"/>
    <w:pPr>
      <w:numPr>
        <w:ilvl w:val="8"/>
        <w:numId w:val="42"/>
      </w:numPr>
      <w:spacing w:before="240" w:after="60"/>
      <w:outlineLvl w:val="8"/>
    </w:pPr>
    <w:rPr>
      <w:rFonts w:ascii="Arial" w:hAnsi="Arial"/>
      <w:b/>
      <w:bCs w:val="0"/>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C76596"/>
    <w:rPr>
      <w:sz w:val="16"/>
      <w:szCs w:val="16"/>
    </w:rPr>
  </w:style>
  <w:style w:type="paragraph" w:styleId="CommentText">
    <w:name w:val="annotation text"/>
    <w:basedOn w:val="Normal"/>
    <w:link w:val="CommentTextChar"/>
    <w:rsid w:val="00C76596"/>
    <w:rPr>
      <w:sz w:val="20"/>
    </w:rPr>
  </w:style>
  <w:style w:type="character" w:customStyle="1" w:styleId="CommentTextChar">
    <w:name w:val="Comment Text Char"/>
    <w:basedOn w:val="DefaultParagraphFont"/>
    <w:link w:val="CommentText"/>
    <w:rsid w:val="00C76596"/>
    <w:rPr>
      <w:rFonts w:ascii="Times New Roman" w:eastAsia="Times New Roman" w:hAnsi="Times New Roman" w:cs="Times New Roman"/>
      <w:bCs/>
      <w:sz w:val="20"/>
      <w:szCs w:val="20"/>
    </w:rPr>
  </w:style>
  <w:style w:type="paragraph" w:customStyle="1" w:styleId="Cover-Preparedby">
    <w:name w:val="Cover - Prepared by"/>
    <w:basedOn w:val="Normal"/>
    <w:rsid w:val="00C76596"/>
    <w:pPr>
      <w:spacing w:before="1000" w:after="120"/>
    </w:pPr>
    <w:rPr>
      <w:rFonts w:ascii="Arial" w:hAnsi="Arial"/>
      <w:color w:val="000000" w:themeColor="text1"/>
      <w:sz w:val="20"/>
    </w:rPr>
  </w:style>
  <w:style w:type="paragraph" w:customStyle="1" w:styleId="Cover-Version">
    <w:name w:val="Cover - Version"/>
    <w:basedOn w:val="Normal"/>
    <w:rsid w:val="00C76596"/>
    <w:pPr>
      <w:tabs>
        <w:tab w:val="center" w:pos="4680"/>
      </w:tabs>
      <w:spacing w:before="400" w:after="200"/>
    </w:pPr>
    <w:rPr>
      <w:rFonts w:ascii="Arial Bold" w:hAnsi="Arial Bold" w:cs="Arial"/>
      <w:b/>
      <w:caps/>
      <w:color w:val="EE3025" w:themeColor="accent6"/>
      <w:sz w:val="28"/>
    </w:rPr>
  </w:style>
  <w:style w:type="paragraph" w:customStyle="1" w:styleId="CoverAddresses">
    <w:name w:val="Cover Addresses"/>
    <w:basedOn w:val="Normal"/>
    <w:rsid w:val="00C76596"/>
    <w:rPr>
      <w:rFonts w:ascii="Arial" w:hAnsi="Arial"/>
      <w:b/>
      <w:bCs w:val="0"/>
      <w:color w:val="000000" w:themeColor="text1"/>
      <w:sz w:val="22"/>
    </w:rPr>
  </w:style>
  <w:style w:type="paragraph" w:customStyle="1" w:styleId="CoverPubDate">
    <w:name w:val="Cover Pub Date"/>
    <w:basedOn w:val="CoverAddresses"/>
    <w:rsid w:val="00C76596"/>
    <w:pPr>
      <w:spacing w:before="480"/>
    </w:pPr>
    <w:rPr>
      <w:rFonts w:cs="Arial"/>
      <w:sz w:val="28"/>
      <w:szCs w:val="28"/>
    </w:rPr>
  </w:style>
  <w:style w:type="paragraph" w:customStyle="1" w:styleId="CoverReportTitle">
    <w:name w:val="Cover Report Title"/>
    <w:basedOn w:val="Normal"/>
    <w:qFormat/>
    <w:rsid w:val="00C76596"/>
    <w:pPr>
      <w:pBdr>
        <w:left w:val="single" w:sz="36" w:space="9" w:color="EE3124"/>
      </w:pBdr>
      <w:overflowPunct/>
      <w:autoSpaceDE/>
      <w:autoSpaceDN/>
      <w:adjustRightInd/>
      <w:spacing w:before="240" w:after="80"/>
      <w:ind w:left="302"/>
      <w:textAlignment w:val="auto"/>
    </w:pPr>
    <w:rPr>
      <w:rFonts w:ascii="Arial Bold" w:eastAsiaTheme="minorHAnsi" w:hAnsi="Arial Bold" w:cstheme="minorBidi"/>
      <w:b/>
      <w:noProof/>
      <w:color w:val="000000" w:themeColor="text1"/>
      <w:sz w:val="56"/>
      <w:szCs w:val="56"/>
    </w:rPr>
  </w:style>
  <w:style w:type="paragraph" w:styleId="BalloonText">
    <w:name w:val="Balloon Text"/>
    <w:basedOn w:val="Normal"/>
    <w:link w:val="BalloonTextChar"/>
    <w:semiHidden/>
    <w:rsid w:val="00C76596"/>
    <w:rPr>
      <w:rFonts w:ascii="Tahoma" w:hAnsi="Tahoma" w:cs="Tahoma"/>
      <w:bCs w:val="0"/>
      <w:sz w:val="20"/>
      <w:szCs w:val="16"/>
    </w:rPr>
  </w:style>
  <w:style w:type="character" w:customStyle="1" w:styleId="BalloonTextChar">
    <w:name w:val="Balloon Text Char"/>
    <w:basedOn w:val="DefaultParagraphFont"/>
    <w:link w:val="BalloonText"/>
    <w:semiHidden/>
    <w:rsid w:val="00C76596"/>
    <w:rPr>
      <w:rFonts w:ascii="Tahoma" w:eastAsia="Times New Roman" w:hAnsi="Tahoma" w:cs="Tahoma"/>
      <w:sz w:val="20"/>
      <w:szCs w:val="16"/>
    </w:rPr>
  </w:style>
  <w:style w:type="paragraph" w:customStyle="1" w:styleId="BlankPage">
    <w:name w:val="Blank Page"/>
    <w:basedOn w:val="BodyText"/>
    <w:qFormat/>
    <w:rsid w:val="00C76596"/>
    <w:pPr>
      <w:widowControl w:val="0"/>
      <w:spacing w:before="2800" w:line="240" w:lineRule="auto"/>
      <w:jc w:val="center"/>
    </w:pPr>
    <w:rPr>
      <w:i/>
    </w:rPr>
  </w:style>
  <w:style w:type="paragraph" w:styleId="BodyText">
    <w:name w:val="Body Text"/>
    <w:basedOn w:val="Normal"/>
    <w:link w:val="BodyTextChar"/>
    <w:qFormat/>
    <w:rsid w:val="00C76596"/>
    <w:pPr>
      <w:numPr>
        <w:ilvl w:val="12"/>
      </w:numPr>
      <w:suppressAutoHyphens/>
      <w:spacing w:before="200" w:line="288" w:lineRule="auto"/>
      <w:jc w:val="both"/>
    </w:pPr>
    <w:rPr>
      <w:color w:val="000000" w:themeColor="text1"/>
    </w:rPr>
  </w:style>
  <w:style w:type="character" w:customStyle="1" w:styleId="BodyTextChar">
    <w:name w:val="Body Text Char"/>
    <w:link w:val="BodyText"/>
    <w:rsid w:val="00C76596"/>
    <w:rPr>
      <w:rFonts w:ascii="Times New Roman" w:eastAsia="Times New Roman" w:hAnsi="Times New Roman" w:cs="Times New Roman"/>
      <w:bCs/>
      <w:color w:val="000000" w:themeColor="text1"/>
      <w:sz w:val="24"/>
      <w:szCs w:val="20"/>
    </w:rPr>
  </w:style>
  <w:style w:type="character" w:customStyle="1" w:styleId="Heading1Char">
    <w:name w:val="Heading 1 Char"/>
    <w:basedOn w:val="DefaultParagraphFont"/>
    <w:link w:val="Heading1"/>
    <w:rsid w:val="00C76596"/>
    <w:rPr>
      <w:rFonts w:ascii="Arial" w:eastAsia="Times New Roman" w:hAnsi="Arial" w:cs="Arial"/>
      <w:b/>
      <w:bCs/>
      <w:color w:val="000000" w:themeColor="text1"/>
      <w:kern w:val="32"/>
      <w:sz w:val="32"/>
      <w:szCs w:val="32"/>
    </w:rPr>
  </w:style>
  <w:style w:type="character" w:customStyle="1" w:styleId="Heading2Char">
    <w:name w:val="Heading 2 Char"/>
    <w:link w:val="Heading2"/>
    <w:rsid w:val="00C76596"/>
    <w:rPr>
      <w:rFonts w:ascii="Arial" w:eastAsia="Times New Roman" w:hAnsi="Arial" w:cs="Times New Roman"/>
      <w:b/>
      <w:bCs/>
      <w:color w:val="000000" w:themeColor="text1"/>
      <w:sz w:val="28"/>
      <w:szCs w:val="28"/>
    </w:rPr>
  </w:style>
  <w:style w:type="character" w:customStyle="1" w:styleId="Heading3Char">
    <w:name w:val="Heading 3 Char"/>
    <w:link w:val="Heading3"/>
    <w:rsid w:val="00C76596"/>
    <w:rPr>
      <w:rFonts w:ascii="Arial" w:eastAsia="Times New Roman" w:hAnsi="Arial" w:cs="Arial"/>
      <w:b/>
      <w:color w:val="000000" w:themeColor="text1"/>
      <w:sz w:val="24"/>
      <w:szCs w:val="26"/>
    </w:rPr>
  </w:style>
  <w:style w:type="character" w:customStyle="1" w:styleId="Heading4Char">
    <w:name w:val="Heading 4 Char"/>
    <w:basedOn w:val="DefaultParagraphFont"/>
    <w:link w:val="Heading4"/>
    <w:rsid w:val="00C76596"/>
    <w:rPr>
      <w:rFonts w:ascii="Arial" w:eastAsia="Times New Roman" w:hAnsi="Arial" w:cs="Times New Roman"/>
      <w:b/>
      <w:bCs/>
      <w:color w:val="000000" w:themeColor="text1"/>
      <w:sz w:val="24"/>
      <w:szCs w:val="28"/>
    </w:rPr>
  </w:style>
  <w:style w:type="character" w:customStyle="1" w:styleId="Heading5Char">
    <w:name w:val="Heading 5 Char"/>
    <w:basedOn w:val="DefaultParagraphFont"/>
    <w:link w:val="Heading5"/>
    <w:rsid w:val="00C76596"/>
    <w:rPr>
      <w:rFonts w:ascii="Arial" w:eastAsia="Times New Roman" w:hAnsi="Arial" w:cs="Times New Roman"/>
      <w:b/>
      <w:color w:val="000000" w:themeColor="text1"/>
      <w:sz w:val="24"/>
      <w:szCs w:val="28"/>
    </w:rPr>
  </w:style>
  <w:style w:type="numbering" w:customStyle="1" w:styleId="HarrisReportListStyle">
    <w:name w:val="Harris Report List Style"/>
    <w:uiPriority w:val="99"/>
    <w:rsid w:val="00C76596"/>
    <w:pPr>
      <w:numPr>
        <w:numId w:val="1"/>
      </w:numPr>
    </w:pPr>
  </w:style>
  <w:style w:type="character" w:styleId="Hyperlink">
    <w:name w:val="Hyperlink"/>
    <w:uiPriority w:val="99"/>
    <w:rsid w:val="00C76596"/>
    <w:rPr>
      <w:noProof w:val="0"/>
      <w:color w:val="0563C1"/>
      <w:u w:val="single"/>
      <w:lang w:val="en-US"/>
    </w:rPr>
  </w:style>
  <w:style w:type="paragraph" w:customStyle="1" w:styleId="BulletList1">
    <w:name w:val="Bullet List 1"/>
    <w:basedOn w:val="Normal"/>
    <w:rsid w:val="00C76596"/>
    <w:pPr>
      <w:numPr>
        <w:numId w:val="31"/>
      </w:numPr>
      <w:suppressAutoHyphens/>
      <w:spacing w:before="80" w:line="288" w:lineRule="auto"/>
      <w:contextualSpacing/>
      <w:jc w:val="both"/>
    </w:pPr>
    <w:rPr>
      <w:bCs w:val="0"/>
      <w:color w:val="000000" w:themeColor="text1"/>
    </w:rPr>
  </w:style>
  <w:style w:type="table" w:styleId="TableGrid">
    <w:name w:val="Table Grid"/>
    <w:basedOn w:val="TableNormal"/>
    <w:rsid w:val="00C7659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C76596"/>
    <w:rPr>
      <w:rFonts w:ascii="Arial" w:hAnsi="Arial"/>
      <w:bCs w:val="0"/>
      <w:sz w:val="16"/>
    </w:rPr>
  </w:style>
  <w:style w:type="character" w:customStyle="1" w:styleId="FootnoteTextChar">
    <w:name w:val="Footnote Text Char"/>
    <w:basedOn w:val="DefaultParagraphFont"/>
    <w:link w:val="FootnoteText"/>
    <w:semiHidden/>
    <w:rsid w:val="00C76596"/>
    <w:rPr>
      <w:rFonts w:ascii="Arial" w:eastAsia="Times New Roman" w:hAnsi="Arial" w:cs="Times New Roman"/>
      <w:sz w:val="16"/>
      <w:szCs w:val="20"/>
    </w:rPr>
  </w:style>
  <w:style w:type="character" w:styleId="FootnoteReference">
    <w:name w:val="footnote reference"/>
    <w:semiHidden/>
    <w:rsid w:val="00C76596"/>
    <w:rPr>
      <w:vertAlign w:val="superscript"/>
    </w:rPr>
  </w:style>
  <w:style w:type="paragraph" w:customStyle="1" w:styleId="FigureTitle">
    <w:name w:val="Figure Title"/>
    <w:basedOn w:val="Normal"/>
    <w:next w:val="Normal"/>
    <w:rsid w:val="00C76596"/>
    <w:pPr>
      <w:widowControl w:val="0"/>
      <w:spacing w:before="80"/>
      <w:jc w:val="center"/>
    </w:pPr>
    <w:rPr>
      <w:rFonts w:ascii="Arial Narrow" w:hAnsi="Arial Narrow"/>
      <w:b/>
      <w:bCs w:val="0"/>
      <w:color w:val="000000" w:themeColor="text1"/>
      <w:sz w:val="22"/>
      <w:szCs w:val="22"/>
    </w:rPr>
  </w:style>
  <w:style w:type="paragraph" w:customStyle="1" w:styleId="TableBodyText">
    <w:name w:val="Table Body Text"/>
    <w:basedOn w:val="Normal"/>
    <w:rsid w:val="00C76596"/>
    <w:pPr>
      <w:spacing w:before="40" w:after="40"/>
      <w:jc w:val="center"/>
    </w:pPr>
    <w:rPr>
      <w:rFonts w:ascii="Arial Narrow" w:hAnsi="Arial Narrow"/>
      <w:color w:val="000000" w:themeColor="text1"/>
      <w:sz w:val="20"/>
    </w:rPr>
  </w:style>
  <w:style w:type="paragraph" w:customStyle="1" w:styleId="TableBodyLeft">
    <w:name w:val="Table Body Left"/>
    <w:basedOn w:val="TableBodyText"/>
    <w:rsid w:val="00C76596"/>
    <w:pPr>
      <w:jc w:val="left"/>
    </w:pPr>
  </w:style>
  <w:style w:type="paragraph" w:customStyle="1" w:styleId="TableFootnote">
    <w:name w:val="Table Footnote"/>
    <w:basedOn w:val="Normal"/>
    <w:rsid w:val="00C76596"/>
    <w:pPr>
      <w:suppressAutoHyphens/>
      <w:spacing w:before="60"/>
      <w:ind w:left="187" w:hanging="187"/>
    </w:pPr>
    <w:rPr>
      <w:rFonts w:ascii="Arial" w:hAnsi="Arial"/>
      <w:color w:val="000000" w:themeColor="text1"/>
      <w:sz w:val="16"/>
    </w:rPr>
  </w:style>
  <w:style w:type="paragraph" w:customStyle="1" w:styleId="TableTitle">
    <w:name w:val="Table Title"/>
    <w:rsid w:val="00C76596"/>
    <w:pPr>
      <w:keepNext/>
      <w:widowControl w:val="0"/>
      <w:overflowPunct w:val="0"/>
      <w:autoSpaceDE w:val="0"/>
      <w:autoSpaceDN w:val="0"/>
      <w:adjustRightInd w:val="0"/>
      <w:spacing w:before="120" w:after="40" w:line="240" w:lineRule="auto"/>
      <w:jc w:val="center"/>
      <w:textAlignment w:val="baseline"/>
    </w:pPr>
    <w:rPr>
      <w:rFonts w:ascii="Arial" w:eastAsia="Times New Roman" w:hAnsi="Arial" w:cs="Times New Roman"/>
      <w:b/>
      <w:color w:val="000000" w:themeColor="text1"/>
      <w:szCs w:val="20"/>
    </w:rPr>
  </w:style>
  <w:style w:type="paragraph" w:customStyle="1" w:styleId="TableSubheading">
    <w:name w:val="Table Subheading"/>
    <w:basedOn w:val="TableTitle"/>
    <w:rsid w:val="00C76596"/>
    <w:pPr>
      <w:spacing w:before="0"/>
    </w:pPr>
    <w:rPr>
      <w:rFonts w:ascii="Arial Narrow" w:hAnsi="Arial Narrow"/>
      <w:bCs/>
      <w:sz w:val="20"/>
    </w:rPr>
  </w:style>
  <w:style w:type="table" w:customStyle="1" w:styleId="TableGrid1">
    <w:name w:val="Table Grid1"/>
    <w:basedOn w:val="TableNormal"/>
    <w:next w:val="TableGrid"/>
    <w:rsid w:val="009457A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risReportListStyle1">
    <w:name w:val="Harris Report List Style1"/>
    <w:uiPriority w:val="99"/>
    <w:rsid w:val="009457A0"/>
  </w:style>
  <w:style w:type="paragraph" w:styleId="Header">
    <w:name w:val="header"/>
    <w:basedOn w:val="Normal"/>
    <w:link w:val="HeaderChar"/>
    <w:rsid w:val="00C76596"/>
    <w:pPr>
      <w:tabs>
        <w:tab w:val="center" w:pos="4320"/>
        <w:tab w:val="right" w:pos="8640"/>
      </w:tabs>
    </w:pPr>
    <w:rPr>
      <w:rFonts w:ascii="Arial" w:hAnsi="Arial"/>
      <w:bCs w:val="0"/>
      <w:sz w:val="20"/>
    </w:rPr>
  </w:style>
  <w:style w:type="character" w:customStyle="1" w:styleId="HeaderChar">
    <w:name w:val="Header Char"/>
    <w:basedOn w:val="DefaultParagraphFont"/>
    <w:link w:val="Header"/>
    <w:rsid w:val="00C76596"/>
    <w:rPr>
      <w:rFonts w:ascii="Arial" w:eastAsia="Times New Roman" w:hAnsi="Arial" w:cs="Times New Roman"/>
      <w:sz w:val="20"/>
      <w:szCs w:val="20"/>
    </w:rPr>
  </w:style>
  <w:style w:type="paragraph" w:styleId="Footer">
    <w:name w:val="footer"/>
    <w:basedOn w:val="Normal"/>
    <w:link w:val="FooterChar"/>
    <w:rsid w:val="00C76596"/>
    <w:pPr>
      <w:pBdr>
        <w:top w:val="single" w:sz="12" w:space="1" w:color="auto"/>
      </w:pBdr>
      <w:tabs>
        <w:tab w:val="center" w:pos="4680"/>
        <w:tab w:val="right" w:pos="9360"/>
      </w:tabs>
    </w:pPr>
    <w:rPr>
      <w:rFonts w:ascii="Arial Narrow" w:hAnsi="Arial Narrow"/>
      <w:color w:val="000000" w:themeColor="text1"/>
      <w:sz w:val="22"/>
    </w:rPr>
  </w:style>
  <w:style w:type="character" w:customStyle="1" w:styleId="FooterChar">
    <w:name w:val="Footer Char"/>
    <w:basedOn w:val="DefaultParagraphFont"/>
    <w:link w:val="Footer"/>
    <w:rsid w:val="00C76596"/>
    <w:rPr>
      <w:rFonts w:ascii="Arial Narrow" w:eastAsia="Times New Roman" w:hAnsi="Arial Narrow" w:cs="Times New Roman"/>
      <w:bCs/>
      <w:color w:val="000000" w:themeColor="text1"/>
      <w:szCs w:val="20"/>
    </w:rPr>
  </w:style>
  <w:style w:type="table" w:customStyle="1" w:styleId="TableGrid2">
    <w:name w:val="Table Grid2"/>
    <w:basedOn w:val="TableNormal"/>
    <w:next w:val="TableGrid"/>
    <w:rsid w:val="009457A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risReportListStyle2">
    <w:name w:val="Harris Report List Style2"/>
    <w:uiPriority w:val="99"/>
    <w:rsid w:val="009457A0"/>
  </w:style>
  <w:style w:type="paragraph" w:styleId="ListParagraph">
    <w:name w:val="List Paragraph"/>
    <w:basedOn w:val="Normal"/>
    <w:uiPriority w:val="19"/>
    <w:qFormat/>
    <w:rsid w:val="00C76596"/>
    <w:pPr>
      <w:ind w:left="720"/>
      <w:contextualSpacing/>
    </w:pPr>
  </w:style>
  <w:style w:type="table" w:customStyle="1" w:styleId="TableGrid3">
    <w:name w:val="Table Grid3"/>
    <w:basedOn w:val="TableNormal"/>
    <w:next w:val="TableGrid"/>
    <w:rsid w:val="00B830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C76596"/>
    <w:rPr>
      <w:b/>
    </w:rPr>
  </w:style>
  <w:style w:type="character" w:customStyle="1" w:styleId="CommentSubjectChar">
    <w:name w:val="Comment Subject Char"/>
    <w:basedOn w:val="CommentTextChar"/>
    <w:link w:val="CommentSubject"/>
    <w:semiHidden/>
    <w:rsid w:val="00C76596"/>
    <w:rPr>
      <w:rFonts w:ascii="Times New Roman" w:eastAsia="Times New Roman" w:hAnsi="Times New Roman" w:cs="Times New Roman"/>
      <w:b/>
      <w:bCs/>
      <w:sz w:val="20"/>
      <w:szCs w:val="20"/>
    </w:rPr>
  </w:style>
  <w:style w:type="table" w:customStyle="1" w:styleId="TableGrid4">
    <w:name w:val="Table Grid4"/>
    <w:basedOn w:val="TableNormal"/>
    <w:next w:val="TableGrid"/>
    <w:rsid w:val="00B830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C62D1"/>
    <w:rPr>
      <w:szCs w:val="24"/>
    </w:rPr>
  </w:style>
  <w:style w:type="table" w:customStyle="1" w:styleId="TableGrid5">
    <w:name w:val="Table Grid5"/>
    <w:basedOn w:val="TableNormal"/>
    <w:next w:val="TableGrid"/>
    <w:rsid w:val="00CC62D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CC62D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risReportListStyle3">
    <w:name w:val="Harris Report List Style3"/>
    <w:uiPriority w:val="99"/>
    <w:rsid w:val="00CC62D1"/>
  </w:style>
  <w:style w:type="table" w:customStyle="1" w:styleId="TableGrid7">
    <w:name w:val="Table Grid7"/>
    <w:basedOn w:val="TableNormal"/>
    <w:next w:val="TableGrid"/>
    <w:rsid w:val="00CC62D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risReportListStyle4">
    <w:name w:val="Harris Report List Style4"/>
    <w:uiPriority w:val="99"/>
    <w:rsid w:val="00CC62D1"/>
  </w:style>
  <w:style w:type="paragraph" w:customStyle="1" w:styleId="References">
    <w:name w:val="References"/>
    <w:basedOn w:val="Normal"/>
    <w:link w:val="ReferencesChar"/>
    <w:rsid w:val="00C76596"/>
    <w:pPr>
      <w:spacing w:before="160"/>
      <w:ind w:left="720" w:hanging="720"/>
    </w:pPr>
    <w:rPr>
      <w:color w:val="000000" w:themeColor="text1"/>
    </w:rPr>
  </w:style>
  <w:style w:type="character" w:customStyle="1" w:styleId="ReferencesChar">
    <w:name w:val="References Char"/>
    <w:link w:val="References"/>
    <w:rsid w:val="00C76596"/>
    <w:rPr>
      <w:rFonts w:ascii="Times New Roman" w:eastAsia="Times New Roman" w:hAnsi="Times New Roman" w:cs="Times New Roman"/>
      <w:bCs/>
      <w:color w:val="000000" w:themeColor="text1"/>
      <w:sz w:val="24"/>
      <w:szCs w:val="20"/>
    </w:rPr>
  </w:style>
  <w:style w:type="paragraph" w:styleId="TOCHeading">
    <w:name w:val="TOC Heading"/>
    <w:basedOn w:val="Heading1"/>
    <w:next w:val="Normal"/>
    <w:uiPriority w:val="39"/>
    <w:unhideWhenUsed/>
    <w:qFormat/>
    <w:rsid w:val="00032A0C"/>
    <w:pPr>
      <w:keepLines/>
      <w:numPr>
        <w:numId w:val="0"/>
      </w:numPr>
      <w:pBdr>
        <w:bottom w:val="none" w:sz="0" w:space="0" w:color="auto"/>
      </w:pBdr>
      <w:spacing w:before="240" w:after="0" w:line="259" w:lineRule="auto"/>
      <w:outlineLvl w:val="9"/>
    </w:pPr>
    <w:rPr>
      <w:rFonts w:asciiTheme="majorHAnsi" w:eastAsiaTheme="majorEastAsia" w:hAnsiTheme="majorHAnsi" w:cstheme="majorBidi"/>
      <w:b w:val="0"/>
      <w:bCs w:val="0"/>
      <w:color w:val="094C60" w:themeColor="accent1" w:themeShade="BF"/>
      <w:kern w:val="0"/>
    </w:rPr>
  </w:style>
  <w:style w:type="paragraph" w:styleId="TOC1">
    <w:name w:val="toc 1"/>
    <w:basedOn w:val="Normal"/>
    <w:next w:val="Normal"/>
    <w:uiPriority w:val="39"/>
    <w:rsid w:val="00C76596"/>
    <w:pPr>
      <w:tabs>
        <w:tab w:val="left" w:pos="1260"/>
        <w:tab w:val="right" w:leader="dot" w:pos="9360"/>
      </w:tabs>
      <w:spacing w:before="160" w:after="120"/>
      <w:ind w:left="1267" w:right="360" w:hanging="1267"/>
    </w:pPr>
    <w:rPr>
      <w:rFonts w:ascii="Arial" w:hAnsi="Arial"/>
      <w:b/>
      <w:color w:val="000000" w:themeColor="text1"/>
      <w:sz w:val="22"/>
    </w:rPr>
  </w:style>
  <w:style w:type="paragraph" w:styleId="TOC2">
    <w:name w:val="toc 2"/>
    <w:basedOn w:val="Normal"/>
    <w:next w:val="Normal"/>
    <w:uiPriority w:val="39"/>
    <w:rsid w:val="00C76596"/>
    <w:pPr>
      <w:tabs>
        <w:tab w:val="left" w:pos="1800"/>
        <w:tab w:val="right" w:leader="dot" w:pos="9360"/>
      </w:tabs>
      <w:spacing w:after="80"/>
      <w:ind w:left="1814" w:right="360" w:hanging="547"/>
    </w:pPr>
    <w:rPr>
      <w:rFonts w:ascii="Arial" w:hAnsi="Arial"/>
      <w:color w:val="000000" w:themeColor="text1"/>
      <w:sz w:val="22"/>
    </w:rPr>
  </w:style>
  <w:style w:type="character" w:customStyle="1" w:styleId="Heading6Char">
    <w:name w:val="Heading 6 Char"/>
    <w:basedOn w:val="DefaultParagraphFont"/>
    <w:link w:val="Heading6"/>
    <w:rsid w:val="00C76596"/>
    <w:rPr>
      <w:rFonts w:ascii="Arial" w:eastAsia="Times New Roman" w:hAnsi="Arial" w:cs="Times New Roman"/>
      <w:sz w:val="24"/>
      <w:szCs w:val="20"/>
      <w:u w:val="single"/>
    </w:rPr>
  </w:style>
  <w:style w:type="paragraph" w:styleId="NoSpacing">
    <w:name w:val="No Spacing"/>
    <w:uiPriority w:val="1"/>
    <w:qFormat/>
    <w:rsid w:val="00590891"/>
    <w:pPr>
      <w:overflowPunct w:val="0"/>
      <w:autoSpaceDE w:val="0"/>
      <w:autoSpaceDN w:val="0"/>
      <w:adjustRightInd w:val="0"/>
      <w:spacing w:after="0" w:line="240" w:lineRule="auto"/>
      <w:textAlignment w:val="baseline"/>
    </w:pPr>
    <w:rPr>
      <w:rFonts w:ascii="Times New Roman" w:eastAsia="Times New Roman" w:hAnsi="Times New Roman" w:cs="Times New Roman"/>
      <w:bCs/>
      <w:sz w:val="24"/>
      <w:szCs w:val="20"/>
    </w:rPr>
  </w:style>
  <w:style w:type="character" w:styleId="FollowedHyperlink">
    <w:name w:val="FollowedHyperlink"/>
    <w:basedOn w:val="DefaultParagraphFont"/>
    <w:uiPriority w:val="99"/>
    <w:semiHidden/>
    <w:rsid w:val="00C76596"/>
    <w:rPr>
      <w:color w:val="954F72" w:themeColor="followedHyperlink"/>
      <w:u w:val="single"/>
    </w:rPr>
  </w:style>
  <w:style w:type="paragraph" w:styleId="Revision">
    <w:name w:val="Revision"/>
    <w:hidden/>
    <w:uiPriority w:val="99"/>
    <w:semiHidden/>
    <w:rsid w:val="00A61B9E"/>
    <w:pPr>
      <w:spacing w:after="0" w:line="240" w:lineRule="auto"/>
    </w:pPr>
    <w:rPr>
      <w:rFonts w:ascii="Times New Roman" w:eastAsia="Times New Roman" w:hAnsi="Times New Roman" w:cs="Times New Roman"/>
      <w:bCs/>
      <w:sz w:val="24"/>
      <w:szCs w:val="20"/>
    </w:rPr>
  </w:style>
  <w:style w:type="character" w:customStyle="1" w:styleId="UnresolvedMention1">
    <w:name w:val="Unresolved Mention1"/>
    <w:basedOn w:val="DefaultParagraphFont"/>
    <w:uiPriority w:val="99"/>
    <w:semiHidden/>
    <w:unhideWhenUsed/>
    <w:rsid w:val="0064666B"/>
    <w:rPr>
      <w:color w:val="605E5C"/>
      <w:shd w:val="clear" w:color="auto" w:fill="E1DFDD"/>
    </w:rPr>
  </w:style>
  <w:style w:type="paragraph" w:styleId="BlockText">
    <w:name w:val="Block Text"/>
    <w:basedOn w:val="Normal"/>
    <w:uiPriority w:val="99"/>
    <w:unhideWhenUsed/>
    <w:rsid w:val="00392D3A"/>
    <w:pPr>
      <w:pBdr>
        <w:top w:val="single" w:sz="2" w:space="10" w:color="0D6781" w:themeColor="accent1"/>
        <w:left w:val="single" w:sz="2" w:space="10" w:color="0D6781" w:themeColor="accent1"/>
        <w:bottom w:val="single" w:sz="2" w:space="10" w:color="0D6781" w:themeColor="accent1"/>
        <w:right w:val="single" w:sz="2" w:space="10" w:color="0D6781" w:themeColor="accent1"/>
      </w:pBdr>
      <w:ind w:left="1152" w:right="1152"/>
    </w:pPr>
    <w:rPr>
      <w:rFonts w:asciiTheme="minorHAnsi" w:eastAsiaTheme="minorEastAsia" w:hAnsiTheme="minorHAnsi" w:cstheme="minorBidi"/>
      <w:i/>
      <w:iCs/>
      <w:color w:val="0D6781" w:themeColor="accent1"/>
    </w:rPr>
  </w:style>
  <w:style w:type="paragraph" w:styleId="ListNumber">
    <w:name w:val="List Number"/>
    <w:basedOn w:val="Normal"/>
    <w:uiPriority w:val="99"/>
    <w:unhideWhenUsed/>
    <w:rsid w:val="00181EF7"/>
    <w:pPr>
      <w:numPr>
        <w:numId w:val="26"/>
      </w:numPr>
      <w:spacing w:before="200" w:line="288" w:lineRule="auto"/>
      <w:contextualSpacing/>
      <w:jc w:val="both"/>
    </w:pPr>
  </w:style>
  <w:style w:type="paragraph" w:styleId="ListBullet">
    <w:name w:val="List Bullet"/>
    <w:basedOn w:val="Normal"/>
    <w:uiPriority w:val="99"/>
    <w:unhideWhenUsed/>
    <w:rsid w:val="00181EF7"/>
    <w:pPr>
      <w:numPr>
        <w:numId w:val="21"/>
      </w:numPr>
      <w:contextualSpacing/>
    </w:pPr>
  </w:style>
  <w:style w:type="paragraph" w:styleId="ListNumber2">
    <w:name w:val="List Number 2"/>
    <w:basedOn w:val="Normal"/>
    <w:uiPriority w:val="99"/>
    <w:unhideWhenUsed/>
    <w:rsid w:val="00181EF7"/>
    <w:pPr>
      <w:numPr>
        <w:numId w:val="29"/>
      </w:numPr>
      <w:spacing w:before="200" w:line="288" w:lineRule="auto"/>
      <w:contextualSpacing/>
    </w:pPr>
  </w:style>
  <w:style w:type="paragraph" w:customStyle="1" w:styleId="CoverProjectName">
    <w:name w:val="Cover Project Name"/>
    <w:basedOn w:val="Normal"/>
    <w:rsid w:val="00C76596"/>
    <w:pPr>
      <w:overflowPunct/>
      <w:autoSpaceDE/>
      <w:autoSpaceDN/>
      <w:adjustRightInd/>
      <w:spacing w:before="240"/>
      <w:textAlignment w:val="auto"/>
    </w:pPr>
    <w:rPr>
      <w:rFonts w:ascii="Arial Bold" w:eastAsiaTheme="minorHAnsi" w:hAnsi="Arial Bold" w:cstheme="minorBidi"/>
      <w:b/>
      <w:bCs w:val="0"/>
      <w:color w:val="5F6665" w:themeColor="text2"/>
      <w:sz w:val="44"/>
      <w:szCs w:val="22"/>
    </w:rPr>
  </w:style>
  <w:style w:type="paragraph" w:customStyle="1" w:styleId="TemplateInstructions">
    <w:name w:val="_Template Instructions"/>
    <w:basedOn w:val="Normal"/>
    <w:unhideWhenUsed/>
    <w:qFormat/>
    <w:rsid w:val="00C76596"/>
    <w:pPr>
      <w:spacing w:before="160"/>
    </w:pPr>
    <w:rPr>
      <w:rFonts w:ascii="Arial Narrow" w:hAnsi="Arial Narrow"/>
      <w:b/>
      <w:bCs w:val="0"/>
      <w:color w:val="00863D"/>
    </w:rPr>
  </w:style>
  <w:style w:type="paragraph" w:customStyle="1" w:styleId="Acronym">
    <w:name w:val="Acronym"/>
    <w:basedOn w:val="Normal"/>
    <w:rsid w:val="00C76596"/>
    <w:pPr>
      <w:tabs>
        <w:tab w:val="left" w:pos="1800"/>
      </w:tabs>
      <w:suppressAutoHyphens/>
      <w:ind w:left="1800" w:hanging="1800"/>
    </w:pPr>
    <w:rPr>
      <w:bCs w:val="0"/>
      <w:color w:val="000000" w:themeColor="text1"/>
    </w:rPr>
  </w:style>
  <w:style w:type="paragraph" w:customStyle="1" w:styleId="Appendix">
    <w:name w:val="Appendix"/>
    <w:basedOn w:val="Normal"/>
    <w:next w:val="Normal"/>
    <w:rsid w:val="00C76596"/>
    <w:pPr>
      <w:pBdr>
        <w:bottom w:val="single" w:sz="12" w:space="1" w:color="auto"/>
      </w:pBdr>
      <w:spacing w:before="3000"/>
      <w:jc w:val="right"/>
    </w:pPr>
    <w:rPr>
      <w:rFonts w:ascii="Arial" w:hAnsi="Arial"/>
      <w:b/>
      <w:bCs w:val="0"/>
      <w:color w:val="000000" w:themeColor="text1"/>
      <w:sz w:val="28"/>
    </w:rPr>
  </w:style>
  <w:style w:type="paragraph" w:customStyle="1" w:styleId="AppendixSubheading">
    <w:name w:val="Appendix Subheading"/>
    <w:basedOn w:val="Appendix"/>
    <w:next w:val="BodyText"/>
    <w:qFormat/>
    <w:rsid w:val="00C76596"/>
    <w:pPr>
      <w:pBdr>
        <w:bottom w:val="none" w:sz="0" w:space="0" w:color="auto"/>
      </w:pBdr>
      <w:spacing w:before="160"/>
      <w:jc w:val="left"/>
    </w:pPr>
    <w:rPr>
      <w:sz w:val="24"/>
    </w:rPr>
  </w:style>
  <w:style w:type="paragraph" w:customStyle="1" w:styleId="buffer">
    <w:name w:val="buffer"/>
    <w:basedOn w:val="Normal"/>
    <w:qFormat/>
    <w:rsid w:val="00C76596"/>
    <w:rPr>
      <w:bCs w:val="0"/>
      <w:sz w:val="12"/>
    </w:rPr>
  </w:style>
  <w:style w:type="paragraph" w:customStyle="1" w:styleId="BulletList2">
    <w:name w:val="Bullet List 2"/>
    <w:basedOn w:val="Normal"/>
    <w:rsid w:val="00C76596"/>
    <w:pPr>
      <w:numPr>
        <w:numId w:val="32"/>
      </w:numPr>
      <w:spacing w:before="80" w:line="288" w:lineRule="auto"/>
      <w:contextualSpacing/>
      <w:jc w:val="both"/>
    </w:pPr>
    <w:rPr>
      <w:color w:val="000000" w:themeColor="text1"/>
      <w:szCs w:val="24"/>
    </w:rPr>
  </w:style>
  <w:style w:type="paragraph" w:styleId="Caption">
    <w:name w:val="caption"/>
    <w:basedOn w:val="Normal"/>
    <w:next w:val="Normal"/>
    <w:unhideWhenUsed/>
    <w:qFormat/>
    <w:rsid w:val="00C76596"/>
    <w:pPr>
      <w:widowControl w:val="0"/>
      <w:spacing w:before="80"/>
      <w:jc w:val="center"/>
    </w:pPr>
    <w:rPr>
      <w:rFonts w:ascii="Arial Narrow" w:hAnsi="Arial Narrow"/>
      <w:b/>
      <w:bCs w:val="0"/>
      <w:sz w:val="22"/>
      <w:szCs w:val="22"/>
    </w:rPr>
  </w:style>
  <w:style w:type="paragraph" w:customStyle="1" w:styleId="Comment">
    <w:name w:val="Comment"/>
    <w:basedOn w:val="Normal"/>
    <w:semiHidden/>
    <w:rsid w:val="00C76596"/>
    <w:pPr>
      <w:tabs>
        <w:tab w:val="left" w:pos="720"/>
        <w:tab w:val="left" w:pos="2160"/>
      </w:tabs>
      <w:spacing w:after="360"/>
      <w:ind w:left="2160" w:hanging="2160"/>
      <w:jc w:val="both"/>
    </w:pPr>
    <w:rPr>
      <w:b/>
      <w:bCs w:val="0"/>
    </w:rPr>
  </w:style>
  <w:style w:type="paragraph" w:customStyle="1" w:styleId="CoverPageSignatureBlock">
    <w:name w:val="Cover Page Signature Block"/>
    <w:basedOn w:val="Normal"/>
    <w:rsid w:val="00C76596"/>
    <w:rPr>
      <w:rFonts w:ascii="Arial" w:hAnsi="Arial"/>
      <w:bCs w:val="0"/>
      <w:color w:val="000000" w:themeColor="text1"/>
      <w:sz w:val="20"/>
    </w:rPr>
  </w:style>
  <w:style w:type="paragraph" w:customStyle="1" w:styleId="FigureTableCoversheet">
    <w:name w:val="Figure/Table Cover sheet"/>
    <w:basedOn w:val="Appendix"/>
    <w:qFormat/>
    <w:rsid w:val="00C76596"/>
  </w:style>
  <w:style w:type="paragraph" w:customStyle="1" w:styleId="FooterLandscape">
    <w:name w:val="Footer Landscape"/>
    <w:basedOn w:val="Footer"/>
    <w:qFormat/>
    <w:rsid w:val="00C76596"/>
    <w:pPr>
      <w:tabs>
        <w:tab w:val="clear" w:pos="4680"/>
        <w:tab w:val="clear" w:pos="9360"/>
        <w:tab w:val="center" w:pos="6120"/>
        <w:tab w:val="right" w:pos="12960"/>
      </w:tabs>
    </w:pPr>
  </w:style>
  <w:style w:type="paragraph" w:customStyle="1" w:styleId="GraphicFormat">
    <w:name w:val="Graphic Format"/>
    <w:basedOn w:val="Normal"/>
    <w:next w:val="FigureTitle"/>
    <w:qFormat/>
    <w:rsid w:val="00C76596"/>
    <w:pPr>
      <w:keepNext/>
      <w:widowControl w:val="0"/>
      <w:spacing w:before="160"/>
      <w:jc w:val="center"/>
    </w:pPr>
    <w:rPr>
      <w:rFonts w:cs="Arial"/>
      <w:bCs w:val="0"/>
    </w:rPr>
  </w:style>
  <w:style w:type="table" w:styleId="GridTable1Light">
    <w:name w:val="Grid Table 1 Light"/>
    <w:basedOn w:val="TableNormal"/>
    <w:uiPriority w:val="46"/>
    <w:rsid w:val="00C7659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76596"/>
    <w:pPr>
      <w:spacing w:after="0" w:line="240" w:lineRule="auto"/>
    </w:pPr>
    <w:tblPr>
      <w:tblStyleRowBandSize w:val="1"/>
      <w:tblStyleColBandSize w:val="1"/>
      <w:tblBorders>
        <w:top w:val="single" w:sz="4" w:space="0" w:color="D8C8E1" w:themeColor="accent2" w:themeTint="66"/>
        <w:left w:val="single" w:sz="4" w:space="0" w:color="D8C8E1" w:themeColor="accent2" w:themeTint="66"/>
        <w:bottom w:val="single" w:sz="4" w:space="0" w:color="D8C8E1" w:themeColor="accent2" w:themeTint="66"/>
        <w:right w:val="single" w:sz="4" w:space="0" w:color="D8C8E1" w:themeColor="accent2" w:themeTint="66"/>
        <w:insideH w:val="single" w:sz="4" w:space="0" w:color="D8C8E1" w:themeColor="accent2" w:themeTint="66"/>
        <w:insideV w:val="single" w:sz="4" w:space="0" w:color="D8C8E1" w:themeColor="accent2" w:themeTint="66"/>
      </w:tblBorders>
    </w:tblPr>
    <w:tblStylePr w:type="firstRow">
      <w:rPr>
        <w:b/>
        <w:bCs/>
      </w:rPr>
      <w:tblPr/>
      <w:tcPr>
        <w:tcBorders>
          <w:bottom w:val="single" w:sz="12" w:space="0" w:color="C4ACD2" w:themeColor="accent2" w:themeTint="99"/>
        </w:tcBorders>
      </w:tcPr>
    </w:tblStylePr>
    <w:tblStylePr w:type="lastRow">
      <w:rPr>
        <w:b/>
        <w:bCs/>
      </w:rPr>
      <w:tblPr/>
      <w:tcPr>
        <w:tcBorders>
          <w:top w:val="double" w:sz="2" w:space="0" w:color="C4ACD2"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76596"/>
    <w:pPr>
      <w:spacing w:after="0" w:line="240" w:lineRule="auto"/>
    </w:pPr>
    <w:tblPr>
      <w:tblStyleRowBandSize w:val="1"/>
      <w:tblStyleColBandSize w:val="1"/>
      <w:tblBorders>
        <w:top w:val="single" w:sz="4" w:space="0" w:color="ECD9B2" w:themeColor="accent4" w:themeTint="66"/>
        <w:left w:val="single" w:sz="4" w:space="0" w:color="ECD9B2" w:themeColor="accent4" w:themeTint="66"/>
        <w:bottom w:val="single" w:sz="4" w:space="0" w:color="ECD9B2" w:themeColor="accent4" w:themeTint="66"/>
        <w:right w:val="single" w:sz="4" w:space="0" w:color="ECD9B2" w:themeColor="accent4" w:themeTint="66"/>
        <w:insideH w:val="single" w:sz="4" w:space="0" w:color="ECD9B2" w:themeColor="accent4" w:themeTint="66"/>
        <w:insideV w:val="single" w:sz="4" w:space="0" w:color="ECD9B2" w:themeColor="accent4" w:themeTint="66"/>
      </w:tblBorders>
    </w:tblPr>
    <w:tblStylePr w:type="firstRow">
      <w:rPr>
        <w:b/>
        <w:bCs/>
      </w:rPr>
      <w:tblPr/>
      <w:tcPr>
        <w:tcBorders>
          <w:bottom w:val="single" w:sz="12" w:space="0" w:color="E3C68C" w:themeColor="accent4" w:themeTint="99"/>
        </w:tcBorders>
      </w:tcPr>
    </w:tblStylePr>
    <w:tblStylePr w:type="lastRow">
      <w:rPr>
        <w:b/>
        <w:bCs/>
      </w:rPr>
      <w:tblPr/>
      <w:tcPr>
        <w:tcBorders>
          <w:top w:val="double" w:sz="2" w:space="0" w:color="E3C68C" w:themeColor="accent4" w:themeTint="99"/>
        </w:tcBorders>
      </w:tcPr>
    </w:tblStylePr>
    <w:tblStylePr w:type="firstCol">
      <w:rPr>
        <w:b/>
        <w:bCs/>
      </w:rPr>
    </w:tblStylePr>
    <w:tblStylePr w:type="lastCol">
      <w:rPr>
        <w:b/>
        <w:bCs/>
      </w:rPr>
    </w:tblStylePr>
  </w:style>
  <w:style w:type="table" w:customStyle="1" w:styleId="HarrisTableGrid">
    <w:name w:val="Harris Table Grid"/>
    <w:basedOn w:val="TableNormal"/>
    <w:uiPriority w:val="99"/>
    <w:rsid w:val="00C76596"/>
    <w:pPr>
      <w:spacing w:after="0" w:line="240" w:lineRule="auto"/>
    </w:pPr>
    <w:rPr>
      <w:rFonts w:ascii="Arial" w:eastAsia="Times New Roman" w:hAnsi="Arial" w:cs="Times New Roman"/>
      <w:sz w:val="20"/>
      <w:szCs w:val="20"/>
    </w:rPr>
    <w:tblPr>
      <w:tblBorders>
        <w:bottom w:val="double" w:sz="4" w:space="0" w:color="auto"/>
        <w:insideH w:val="single" w:sz="6" w:space="0" w:color="auto"/>
        <w:insideV w:val="single" w:sz="6" w:space="0" w:color="auto"/>
      </w:tblBorders>
    </w:tblPr>
    <w:tblStylePr w:type="firstRow">
      <w:rPr>
        <w:rFonts w:ascii="Arial" w:hAnsi="Arial"/>
        <w:b w:val="0"/>
        <w:i w:val="0"/>
        <w:sz w:val="22"/>
      </w:rPr>
      <w:tblPr/>
      <w:tcPr>
        <w:tcBorders>
          <w:top w:val="nil"/>
          <w:left w:val="nil"/>
          <w:bottom w:val="double" w:sz="4" w:space="0" w:color="auto"/>
          <w:right w:val="nil"/>
          <w:insideH w:val="nil"/>
          <w:insideV w:val="nil"/>
          <w:tl2br w:val="nil"/>
          <w:tr2bl w:val="nil"/>
        </w:tcBorders>
      </w:tcPr>
    </w:tblStylePr>
  </w:style>
  <w:style w:type="character" w:customStyle="1" w:styleId="Heading7Char">
    <w:name w:val="Heading 7 Char"/>
    <w:basedOn w:val="DefaultParagraphFont"/>
    <w:link w:val="Heading7"/>
    <w:semiHidden/>
    <w:rsid w:val="00C76596"/>
    <w:rPr>
      <w:rFonts w:ascii="Arial" w:eastAsia="Times New Roman" w:hAnsi="Arial" w:cs="Times New Roman"/>
      <w:sz w:val="24"/>
      <w:szCs w:val="20"/>
    </w:rPr>
  </w:style>
  <w:style w:type="character" w:customStyle="1" w:styleId="Heading8Char">
    <w:name w:val="Heading 8 Char"/>
    <w:basedOn w:val="DefaultParagraphFont"/>
    <w:link w:val="Heading8"/>
    <w:semiHidden/>
    <w:rsid w:val="00C76596"/>
    <w:rPr>
      <w:rFonts w:ascii="Arial" w:eastAsia="Times New Roman" w:hAnsi="Arial" w:cs="Times New Roman"/>
      <w:i/>
      <w:sz w:val="24"/>
      <w:szCs w:val="20"/>
    </w:rPr>
  </w:style>
  <w:style w:type="character" w:customStyle="1" w:styleId="Heading9Char">
    <w:name w:val="Heading 9 Char"/>
    <w:basedOn w:val="DefaultParagraphFont"/>
    <w:link w:val="Heading9"/>
    <w:semiHidden/>
    <w:rsid w:val="00C76596"/>
    <w:rPr>
      <w:rFonts w:ascii="Arial" w:eastAsia="Times New Roman" w:hAnsi="Arial" w:cs="Times New Roman"/>
      <w:b/>
      <w:i/>
      <w:sz w:val="18"/>
      <w:szCs w:val="20"/>
    </w:rPr>
  </w:style>
  <w:style w:type="paragraph" w:customStyle="1" w:styleId="HeadingLarge">
    <w:name w:val="Heading Large"/>
    <w:next w:val="BodyText"/>
    <w:qFormat/>
    <w:rsid w:val="00C76596"/>
    <w:pPr>
      <w:keepNext/>
      <w:spacing w:before="200" w:after="0" w:line="240" w:lineRule="auto"/>
    </w:pPr>
    <w:rPr>
      <w:rFonts w:ascii="Arial" w:eastAsia="Times New Roman" w:hAnsi="Arial" w:cs="Times New Roman"/>
      <w:b/>
      <w:bCs/>
      <w:color w:val="000000" w:themeColor="text1"/>
      <w:sz w:val="28"/>
      <w:szCs w:val="20"/>
    </w:rPr>
  </w:style>
  <w:style w:type="paragraph" w:customStyle="1" w:styleId="HeadingMedium">
    <w:name w:val="Heading Medium"/>
    <w:next w:val="BodyText"/>
    <w:qFormat/>
    <w:rsid w:val="00C76596"/>
    <w:pPr>
      <w:keepNext/>
      <w:spacing w:before="200" w:after="0" w:line="240" w:lineRule="auto"/>
    </w:pPr>
    <w:rPr>
      <w:rFonts w:ascii="Arial" w:eastAsia="Times New Roman" w:hAnsi="Arial" w:cs="Times New Roman"/>
      <w:b/>
      <w:bCs/>
      <w:color w:val="000000" w:themeColor="text1"/>
      <w:sz w:val="24"/>
      <w:szCs w:val="20"/>
    </w:rPr>
  </w:style>
  <w:style w:type="character" w:customStyle="1" w:styleId="HeadingRun-In">
    <w:name w:val="Heading Run-In"/>
    <w:rsid w:val="00C76596"/>
    <w:rPr>
      <w:rFonts w:ascii="Arial" w:hAnsi="Arial" w:cs="Arial"/>
      <w:b/>
      <w:bCs/>
      <w:color w:val="000000" w:themeColor="text1"/>
      <w:sz w:val="20"/>
      <w:szCs w:val="19"/>
    </w:rPr>
  </w:style>
  <w:style w:type="paragraph" w:customStyle="1" w:styleId="HeadingSmall">
    <w:name w:val="Heading Small"/>
    <w:basedOn w:val="Normal"/>
    <w:next w:val="BodyText"/>
    <w:qFormat/>
    <w:rsid w:val="00C76596"/>
    <w:pPr>
      <w:keepNext/>
      <w:spacing w:before="200"/>
    </w:pPr>
    <w:rPr>
      <w:rFonts w:ascii="Arial" w:hAnsi="Arial"/>
      <w:b/>
      <w:bCs w:val="0"/>
      <w:i/>
      <w:color w:val="000000" w:themeColor="text1"/>
      <w:sz w:val="22"/>
    </w:rPr>
  </w:style>
  <w:style w:type="paragraph" w:customStyle="1" w:styleId="NumberList1">
    <w:name w:val="Number List 1"/>
    <w:basedOn w:val="Normal"/>
    <w:rsid w:val="00C76596"/>
    <w:pPr>
      <w:numPr>
        <w:numId w:val="43"/>
      </w:numPr>
      <w:spacing w:before="80" w:line="288" w:lineRule="auto"/>
      <w:contextualSpacing/>
      <w:jc w:val="both"/>
    </w:pPr>
    <w:rPr>
      <w:color w:val="000000" w:themeColor="text1"/>
    </w:rPr>
  </w:style>
  <w:style w:type="paragraph" w:customStyle="1" w:styleId="NumberList2">
    <w:name w:val="Number List 2"/>
    <w:basedOn w:val="NumberList1"/>
    <w:rsid w:val="00C76596"/>
    <w:pPr>
      <w:numPr>
        <w:numId w:val="44"/>
      </w:numPr>
    </w:pPr>
  </w:style>
  <w:style w:type="paragraph" w:customStyle="1" w:styleId="ResumeBullet">
    <w:name w:val="Resume Bullet"/>
    <w:basedOn w:val="ListParagraph"/>
    <w:uiPriority w:val="1"/>
    <w:semiHidden/>
    <w:qFormat/>
    <w:rsid w:val="00C76596"/>
    <w:pPr>
      <w:widowControl w:val="0"/>
      <w:numPr>
        <w:ilvl w:val="2"/>
        <w:numId w:val="45"/>
      </w:numPr>
      <w:tabs>
        <w:tab w:val="left" w:pos="4080"/>
      </w:tabs>
      <w:spacing w:before="91" w:line="249" w:lineRule="auto"/>
      <w:ind w:right="458"/>
      <w:contextualSpacing w:val="0"/>
      <w:jc w:val="both"/>
    </w:pPr>
    <w:rPr>
      <w:color w:val="4C4D4F"/>
      <w:lang w:bidi="en-US"/>
    </w:rPr>
  </w:style>
  <w:style w:type="paragraph" w:customStyle="1" w:styleId="TableBullet">
    <w:name w:val="Table Bullet"/>
    <w:basedOn w:val="TableBodyText"/>
    <w:rsid w:val="00C76596"/>
    <w:pPr>
      <w:numPr>
        <w:numId w:val="46"/>
      </w:numPr>
      <w:overflowPunct/>
      <w:autoSpaceDE/>
      <w:autoSpaceDN/>
      <w:adjustRightInd/>
      <w:spacing w:line="200" w:lineRule="atLeast"/>
      <w:ind w:right="43"/>
      <w:jc w:val="left"/>
      <w:textAlignment w:val="auto"/>
    </w:pPr>
    <w:rPr>
      <w:bCs w:val="0"/>
    </w:rPr>
  </w:style>
  <w:style w:type="table" w:styleId="TableGridLight">
    <w:name w:val="Grid Table Light"/>
    <w:basedOn w:val="TableNormal"/>
    <w:uiPriority w:val="40"/>
    <w:rsid w:val="00C765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NumberList">
    <w:name w:val="Table Number List"/>
    <w:rsid w:val="00C76596"/>
    <w:pPr>
      <w:numPr>
        <w:numId w:val="47"/>
      </w:numPr>
      <w:spacing w:before="40" w:after="40" w:line="240" w:lineRule="auto"/>
    </w:pPr>
    <w:rPr>
      <w:rFonts w:ascii="Arial Narrow" w:eastAsia="Calibri" w:hAnsi="Arial Narrow" w:cs="Times New Roman"/>
      <w:color w:val="000000" w:themeColor="text1"/>
      <w:sz w:val="20"/>
      <w:szCs w:val="20"/>
    </w:rPr>
  </w:style>
  <w:style w:type="paragraph" w:styleId="TableofAuthorities">
    <w:name w:val="table of authorities"/>
    <w:basedOn w:val="Normal"/>
    <w:next w:val="Normal"/>
    <w:semiHidden/>
    <w:rsid w:val="00C76596"/>
    <w:pPr>
      <w:ind w:left="240" w:hanging="240"/>
    </w:pPr>
  </w:style>
  <w:style w:type="paragraph" w:styleId="TableofFigures">
    <w:name w:val="table of figures"/>
    <w:basedOn w:val="Normal"/>
    <w:next w:val="Normal"/>
    <w:uiPriority w:val="99"/>
    <w:rsid w:val="00C76596"/>
    <w:pPr>
      <w:tabs>
        <w:tab w:val="left" w:pos="1980"/>
        <w:tab w:val="right" w:leader="dot" w:pos="9360"/>
      </w:tabs>
      <w:spacing w:before="80"/>
      <w:ind w:left="720" w:hanging="720"/>
    </w:pPr>
    <w:rPr>
      <w:rFonts w:ascii="Arial" w:hAnsi="Arial"/>
      <w:color w:val="000000" w:themeColor="text1"/>
      <w:sz w:val="22"/>
    </w:rPr>
  </w:style>
  <w:style w:type="paragraph" w:styleId="TOC3">
    <w:name w:val="toc 3"/>
    <w:basedOn w:val="Normal"/>
    <w:next w:val="Normal"/>
    <w:uiPriority w:val="39"/>
    <w:rsid w:val="00C76596"/>
    <w:pPr>
      <w:tabs>
        <w:tab w:val="left" w:pos="2520"/>
        <w:tab w:val="right" w:leader="dot" w:pos="9360"/>
      </w:tabs>
      <w:spacing w:after="60"/>
      <w:ind w:left="2520" w:hanging="720"/>
    </w:pPr>
    <w:rPr>
      <w:rFonts w:ascii="Arial" w:hAnsi="Arial"/>
      <w:color w:val="000000" w:themeColor="text1"/>
      <w:sz w:val="22"/>
    </w:rPr>
  </w:style>
  <w:style w:type="paragraph" w:styleId="TOC4">
    <w:name w:val="toc 4"/>
    <w:basedOn w:val="Normal"/>
    <w:next w:val="Normal"/>
    <w:semiHidden/>
    <w:rsid w:val="00C76596"/>
    <w:pPr>
      <w:tabs>
        <w:tab w:val="left" w:pos="3240"/>
        <w:tab w:val="right" w:leader="dot" w:pos="9360"/>
      </w:tabs>
      <w:spacing w:after="60"/>
      <w:ind w:left="3240" w:hanging="1080"/>
    </w:pPr>
    <w:rPr>
      <w:color w:val="0000FF"/>
    </w:rPr>
  </w:style>
  <w:style w:type="paragraph" w:styleId="TOC5">
    <w:name w:val="toc 5"/>
    <w:basedOn w:val="Normal"/>
    <w:next w:val="Normal"/>
    <w:semiHidden/>
    <w:rsid w:val="00C76596"/>
    <w:pPr>
      <w:tabs>
        <w:tab w:val="left" w:pos="3960"/>
        <w:tab w:val="right" w:leader="dot" w:pos="9360"/>
      </w:tabs>
      <w:spacing w:after="60"/>
      <w:ind w:left="3960" w:right="360" w:hanging="1080"/>
    </w:pPr>
  </w:style>
  <w:style w:type="paragraph" w:customStyle="1" w:styleId="TOCHeadingINTOC">
    <w:name w:val="TOC Heading (IN TOC)"/>
    <w:basedOn w:val="Normal"/>
    <w:next w:val="Normal"/>
    <w:rsid w:val="00C76596"/>
    <w:pPr>
      <w:keepNext/>
      <w:pBdr>
        <w:bottom w:val="single" w:sz="12" w:space="1" w:color="auto"/>
      </w:pBdr>
      <w:tabs>
        <w:tab w:val="center" w:pos="4680"/>
      </w:tabs>
      <w:spacing w:after="360"/>
    </w:pPr>
    <w:rPr>
      <w:rFonts w:ascii="Arial" w:hAnsi="Arial"/>
      <w:b/>
      <w:i/>
      <w:color w:val="000000" w:themeColor="text1"/>
    </w:rPr>
  </w:style>
  <w:style w:type="paragraph" w:customStyle="1" w:styleId="TOCHeadingNOTinTOC">
    <w:name w:val="TOC Heading (NOT in TOC)"/>
    <w:basedOn w:val="Normal"/>
    <w:next w:val="Normal"/>
    <w:rsid w:val="00C76596"/>
    <w:pPr>
      <w:keepLines/>
      <w:pBdr>
        <w:bottom w:val="single" w:sz="12" w:space="1" w:color="auto"/>
      </w:pBdr>
      <w:tabs>
        <w:tab w:val="left" w:pos="360"/>
        <w:tab w:val="left" w:pos="720"/>
      </w:tabs>
      <w:suppressAutoHyphens/>
      <w:spacing w:after="360"/>
    </w:pPr>
    <w:rPr>
      <w:rFonts w:ascii="Arial" w:hAnsi="Arial" w:cs="Arial"/>
      <w:b/>
      <w:i/>
      <w:color w:val="000000" w:themeColor="text1"/>
    </w:rPr>
  </w:style>
  <w:style w:type="paragraph" w:customStyle="1" w:styleId="TOCListTitles">
    <w:name w:val="TOC List Titles"/>
    <w:basedOn w:val="TOCHeadingINTOC"/>
    <w:rsid w:val="00C76596"/>
    <w:pPr>
      <w:pBdr>
        <w:bottom w:val="none" w:sz="0" w:space="0" w:color="auto"/>
      </w:pBdr>
      <w:spacing w:before="240" w:after="160"/>
    </w:pPr>
    <w:rPr>
      <w:i w:val="0"/>
      <w:iCs/>
    </w:rPr>
  </w:style>
  <w:style w:type="paragraph" w:styleId="Index8">
    <w:name w:val="index 8"/>
    <w:basedOn w:val="Normal"/>
    <w:next w:val="Normal"/>
    <w:autoRedefine/>
    <w:uiPriority w:val="99"/>
    <w:unhideWhenUsed/>
    <w:rsid w:val="00CA37B6"/>
    <w:pPr>
      <w:ind w:left="1920" w:hanging="240"/>
    </w:pPr>
  </w:style>
  <w:style w:type="paragraph" w:customStyle="1" w:styleId="TableText">
    <w:name w:val="Table Text"/>
    <w:basedOn w:val="BodyText"/>
    <w:link w:val="TableTextChar"/>
    <w:qFormat/>
    <w:rsid w:val="00024D37"/>
    <w:pPr>
      <w:numPr>
        <w:ilvl w:val="0"/>
      </w:numPr>
      <w:suppressAutoHyphens w:val="0"/>
      <w:overflowPunct/>
      <w:autoSpaceDE/>
      <w:autoSpaceDN/>
      <w:adjustRightInd/>
      <w:spacing w:before="30" w:after="30" w:line="240" w:lineRule="auto"/>
      <w:jc w:val="left"/>
      <w:textAlignment w:val="auto"/>
    </w:pPr>
    <w:rPr>
      <w:rFonts w:ascii="Cambria" w:eastAsiaTheme="minorHAnsi" w:hAnsi="Cambria"/>
      <w:bCs w:val="0"/>
      <w:color w:val="000000"/>
      <w:sz w:val="20"/>
      <w:lang w:bidi="en-US"/>
    </w:rPr>
  </w:style>
  <w:style w:type="character" w:customStyle="1" w:styleId="TableTextChar">
    <w:name w:val="Table Text Char"/>
    <w:link w:val="TableText"/>
    <w:locked/>
    <w:rsid w:val="00024D37"/>
    <w:rPr>
      <w:rFonts w:ascii="Cambria" w:hAnsi="Cambria" w:cs="Times New Roman"/>
      <w:color w:val="000000"/>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5003">
      <w:bodyDiv w:val="1"/>
      <w:marLeft w:val="0"/>
      <w:marRight w:val="0"/>
      <w:marTop w:val="0"/>
      <w:marBottom w:val="0"/>
      <w:divBdr>
        <w:top w:val="none" w:sz="0" w:space="0" w:color="auto"/>
        <w:left w:val="none" w:sz="0" w:space="0" w:color="auto"/>
        <w:bottom w:val="none" w:sz="0" w:space="0" w:color="auto"/>
        <w:right w:val="none" w:sz="0" w:space="0" w:color="auto"/>
      </w:divBdr>
    </w:div>
    <w:div w:id="519590984">
      <w:bodyDiv w:val="1"/>
      <w:marLeft w:val="0"/>
      <w:marRight w:val="0"/>
      <w:marTop w:val="0"/>
      <w:marBottom w:val="0"/>
      <w:divBdr>
        <w:top w:val="none" w:sz="0" w:space="0" w:color="auto"/>
        <w:left w:val="none" w:sz="0" w:space="0" w:color="auto"/>
        <w:bottom w:val="none" w:sz="0" w:space="0" w:color="auto"/>
        <w:right w:val="none" w:sz="0" w:space="0" w:color="auto"/>
      </w:divBdr>
    </w:div>
    <w:div w:id="817843219">
      <w:bodyDiv w:val="1"/>
      <w:marLeft w:val="0"/>
      <w:marRight w:val="0"/>
      <w:marTop w:val="0"/>
      <w:marBottom w:val="0"/>
      <w:divBdr>
        <w:top w:val="none" w:sz="0" w:space="0" w:color="auto"/>
        <w:left w:val="none" w:sz="0" w:space="0" w:color="auto"/>
        <w:bottom w:val="none" w:sz="0" w:space="0" w:color="auto"/>
        <w:right w:val="none" w:sz="0" w:space="0" w:color="auto"/>
      </w:divBdr>
    </w:div>
    <w:div w:id="1119908866">
      <w:bodyDiv w:val="1"/>
      <w:marLeft w:val="0"/>
      <w:marRight w:val="0"/>
      <w:marTop w:val="0"/>
      <w:marBottom w:val="0"/>
      <w:divBdr>
        <w:top w:val="none" w:sz="0" w:space="0" w:color="auto"/>
        <w:left w:val="none" w:sz="0" w:space="0" w:color="auto"/>
        <w:bottom w:val="none" w:sz="0" w:space="0" w:color="auto"/>
        <w:right w:val="none" w:sz="0" w:space="0" w:color="auto"/>
      </w:divBdr>
    </w:div>
    <w:div w:id="1208176595">
      <w:bodyDiv w:val="1"/>
      <w:marLeft w:val="0"/>
      <w:marRight w:val="0"/>
      <w:marTop w:val="0"/>
      <w:marBottom w:val="0"/>
      <w:divBdr>
        <w:top w:val="none" w:sz="0" w:space="0" w:color="auto"/>
        <w:left w:val="none" w:sz="0" w:space="0" w:color="auto"/>
        <w:bottom w:val="none" w:sz="0" w:space="0" w:color="auto"/>
        <w:right w:val="none" w:sz="0" w:space="0" w:color="auto"/>
      </w:divBdr>
    </w:div>
    <w:div w:id="1790516149">
      <w:bodyDiv w:val="1"/>
      <w:marLeft w:val="0"/>
      <w:marRight w:val="0"/>
      <w:marTop w:val="0"/>
      <w:marBottom w:val="0"/>
      <w:divBdr>
        <w:top w:val="none" w:sz="0" w:space="0" w:color="auto"/>
        <w:left w:val="none" w:sz="0" w:space="0" w:color="auto"/>
        <w:bottom w:val="none" w:sz="0" w:space="0" w:color="auto"/>
        <w:right w:val="none" w:sz="0" w:space="0" w:color="auto"/>
      </w:divBdr>
    </w:div>
    <w:div w:id="1945308105">
      <w:bodyDiv w:val="1"/>
      <w:marLeft w:val="0"/>
      <w:marRight w:val="0"/>
      <w:marTop w:val="0"/>
      <w:marBottom w:val="0"/>
      <w:divBdr>
        <w:top w:val="none" w:sz="0" w:space="0" w:color="auto"/>
        <w:left w:val="none" w:sz="0" w:space="0" w:color="auto"/>
        <w:bottom w:val="none" w:sz="0" w:space="0" w:color="auto"/>
        <w:right w:val="none" w:sz="0" w:space="0" w:color="auto"/>
      </w:divBdr>
    </w:div>
    <w:div w:id="211035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Harris Theme">
  <a:themeElements>
    <a:clrScheme name="2018 Harris Office Color Palette">
      <a:dk1>
        <a:sysClr val="windowText" lastClr="000000"/>
      </a:dk1>
      <a:lt1>
        <a:sysClr val="window" lastClr="FFFFFF"/>
      </a:lt1>
      <a:dk2>
        <a:srgbClr val="5F6665"/>
      </a:dk2>
      <a:lt2>
        <a:srgbClr val="E6E7E8"/>
      </a:lt2>
      <a:accent1>
        <a:srgbClr val="0D6781"/>
      </a:accent1>
      <a:accent2>
        <a:srgbClr val="9E76B4"/>
      </a:accent2>
      <a:accent3>
        <a:srgbClr val="459786"/>
      </a:accent3>
      <a:accent4>
        <a:srgbClr val="D1A140"/>
      </a:accent4>
      <a:accent5>
        <a:srgbClr val="7F8182"/>
      </a:accent5>
      <a:accent6>
        <a:srgbClr val="EE3025"/>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D865A-A5ED-4E0C-A1BD-CF081FD8C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30</Pages>
  <Words>4014</Words>
  <Characters>22886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Harris &amp; Associates</Company>
  <LinksUpToDate>false</LinksUpToDate>
  <CharactersWithSpaces>26847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Yvellez</dc:creator>
  <cp:keywords/>
  <dc:description/>
  <cp:lastModifiedBy>Kemp, Mazonika@BOF</cp:lastModifiedBy>
  <cp:revision>4</cp:revision>
  <cp:lastPrinted>2023-08-16T16:33:00Z</cp:lastPrinted>
  <dcterms:created xsi:type="dcterms:W3CDTF">2023-08-15T17:09:00Z</dcterms:created>
  <dcterms:modified xsi:type="dcterms:W3CDTF">2023-08-16T18:00:00Z</dcterms:modified>
</cp:coreProperties>
</file>