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99" w:rsidRPr="00B33C0B" w:rsidRDefault="00A85599" w:rsidP="00A85599">
      <w:pPr>
        <w:pStyle w:val="Heading2"/>
        <w:rPr>
          <w:strike/>
          <w:szCs w:val="24"/>
        </w:rPr>
      </w:pPr>
      <w:bookmarkStart w:id="0" w:name="_GoBack"/>
      <w:bookmarkEnd w:id="0"/>
      <w:r>
        <w:rPr>
          <w:szCs w:val="24"/>
        </w:rPr>
        <w:t xml:space="preserve">§ 1276.00. </w:t>
      </w:r>
      <w:r w:rsidRPr="00B33C0B">
        <w:rPr>
          <w:szCs w:val="24"/>
          <w:u w:val="single"/>
        </w:rPr>
        <w:t xml:space="preserve"> </w:t>
      </w:r>
      <w:r w:rsidRPr="00492E2C">
        <w:rPr>
          <w:szCs w:val="24"/>
          <w:u w:val="single"/>
        </w:rPr>
        <w:t>Applicability</w:t>
      </w:r>
      <w:r w:rsidRPr="00492E2C">
        <w:rPr>
          <w:szCs w:val="24"/>
        </w:rPr>
        <w:t xml:space="preserve"> </w:t>
      </w:r>
      <w:r>
        <w:rPr>
          <w:rStyle w:val="CommentReference"/>
          <w:iCs w:val="0"/>
          <w:strike/>
          <w:szCs w:val="24"/>
        </w:rPr>
        <w:t>Intent</w:t>
      </w:r>
    </w:p>
    <w:p w:rsidR="00A85599" w:rsidRPr="00FF3EF4" w:rsidRDefault="00A85599" w:rsidP="00A85599">
      <w:pPr>
        <w:rPr>
          <w:sz w:val="24"/>
          <w:szCs w:val="24"/>
          <w:u w:val="single"/>
        </w:rPr>
      </w:pPr>
      <w:r w:rsidRPr="00492E2C">
        <w:rPr>
          <w:sz w:val="24"/>
          <w:szCs w:val="24"/>
          <w:u w:val="single"/>
        </w:rPr>
        <w:t>(</w:t>
      </w:r>
      <w:r>
        <w:rPr>
          <w:sz w:val="24"/>
          <w:szCs w:val="24"/>
          <w:u w:val="single"/>
        </w:rPr>
        <w:t>a</w:t>
      </w:r>
      <w:r w:rsidRPr="00492E2C">
        <w:rPr>
          <w:sz w:val="24"/>
          <w:szCs w:val="24"/>
          <w:u w:val="single"/>
        </w:rPr>
        <w:t xml:space="preserve">) All Building Construction subject to these standards shall comply with the following provisions of this Article: </w:t>
      </w:r>
      <w:hyperlink w:anchor="_§_1276.02._Building" w:history="1">
        <w:r>
          <w:rPr>
            <w:rStyle w:val="Hyperlink"/>
            <w:sz w:val="24"/>
            <w:szCs w:val="24"/>
          </w:rPr>
          <w:t>§ 1276.02 (Building and Parcel Siting and Setbacks)</w:t>
        </w:r>
      </w:hyperlink>
      <w:r>
        <w:rPr>
          <w:sz w:val="24"/>
          <w:szCs w:val="24"/>
          <w:u w:val="single"/>
        </w:rPr>
        <w:t xml:space="preserve">; </w:t>
      </w:r>
      <w:hyperlink w:anchor="_§_1276.03._Ridgelines." w:history="1">
        <w:r w:rsidR="00FF3EF4" w:rsidRPr="00FF3EF4">
          <w:rPr>
            <w:rStyle w:val="Hyperlink"/>
            <w:sz w:val="24"/>
            <w:szCs w:val="24"/>
          </w:rPr>
          <w:t>§ 1276.03</w:t>
        </w:r>
        <w:r w:rsidR="00FF3EF4" w:rsidRPr="00FF3EF4">
          <w:rPr>
            <w:rStyle w:val="Hyperlink"/>
            <w:sz w:val="24"/>
            <w:szCs w:val="24"/>
            <w:highlight w:val="yellow"/>
          </w:rPr>
          <w:t>(c)</w:t>
        </w:r>
        <w:r w:rsidR="00FF3EF4">
          <w:rPr>
            <w:rStyle w:val="Hyperlink"/>
            <w:sz w:val="24"/>
            <w:szCs w:val="24"/>
          </w:rPr>
          <w:t xml:space="preserve"> (Ridgelines)</w:t>
        </w:r>
      </w:hyperlink>
      <w:r>
        <w:rPr>
          <w:sz w:val="24"/>
          <w:szCs w:val="24"/>
          <w:u w:val="single"/>
        </w:rPr>
        <w:t>;</w:t>
      </w:r>
      <w:r w:rsidRPr="00492E2C">
        <w:rPr>
          <w:sz w:val="24"/>
          <w:szCs w:val="24"/>
          <w:u w:val="single"/>
        </w:rPr>
        <w:t xml:space="preserve"> and </w:t>
      </w:r>
      <w:hyperlink w:anchor="_§_1276.07_Disposal" w:history="1">
        <w:r w:rsidRPr="00EB4D04">
          <w:rPr>
            <w:rStyle w:val="Hyperlink"/>
            <w:sz w:val="24"/>
            <w:szCs w:val="24"/>
          </w:rPr>
          <w:t>§ 1276.07 (Disposal of Flammable Vegetation and Fuels)</w:t>
        </w:r>
      </w:hyperlink>
      <w:r w:rsidR="00FF3EF4">
        <w:rPr>
          <w:sz w:val="24"/>
          <w:szCs w:val="24"/>
          <w:u w:val="single"/>
        </w:rPr>
        <w:t>.</w:t>
      </w:r>
    </w:p>
    <w:p w:rsidR="00A85599" w:rsidRPr="00492E2C" w:rsidRDefault="00A85599" w:rsidP="00A85599">
      <w:pPr>
        <w:rPr>
          <w:sz w:val="24"/>
          <w:szCs w:val="24"/>
          <w:u w:val="single"/>
        </w:rPr>
      </w:pPr>
      <w:r w:rsidRPr="00492E2C">
        <w:rPr>
          <w:sz w:val="24"/>
          <w:szCs w:val="24"/>
          <w:u w:val="single"/>
        </w:rPr>
        <w:t>(</w:t>
      </w:r>
      <w:r>
        <w:rPr>
          <w:sz w:val="24"/>
          <w:szCs w:val="24"/>
          <w:u w:val="single"/>
        </w:rPr>
        <w:t>b</w:t>
      </w:r>
      <w:r w:rsidRPr="00492E2C">
        <w:rPr>
          <w:sz w:val="24"/>
          <w:szCs w:val="24"/>
          <w:u w:val="single"/>
        </w:rPr>
        <w:t>) When Building Construction</w:t>
      </w:r>
      <w:r w:rsidR="00FF3EF4">
        <w:rPr>
          <w:sz w:val="24"/>
          <w:szCs w:val="24"/>
          <w:u w:val="single"/>
        </w:rPr>
        <w:t xml:space="preserve"> </w:t>
      </w:r>
      <w:r w:rsidR="00FF3EF4" w:rsidRPr="00FF3EF4">
        <w:rPr>
          <w:sz w:val="24"/>
          <w:szCs w:val="24"/>
          <w:highlight w:val="yellow"/>
          <w:u w:val="single"/>
        </w:rPr>
        <w:t>requires a tentative and final map,</w:t>
      </w:r>
      <w:r w:rsidRPr="00492E2C">
        <w:rPr>
          <w:sz w:val="24"/>
          <w:szCs w:val="24"/>
          <w:u w:val="single"/>
        </w:rPr>
        <w:t xml:space="preserve"> </w:t>
      </w:r>
      <w:r w:rsidRPr="00FF3EF4">
        <w:rPr>
          <w:strike/>
          <w:sz w:val="24"/>
          <w:szCs w:val="24"/>
          <w:u w:val="single"/>
        </w:rPr>
        <w:t xml:space="preserve">meets the criteria in </w:t>
      </w:r>
      <w:hyperlink w:anchor="_§_1270.03._Scope" w:history="1">
        <w:r w:rsidRPr="00FF3EF4">
          <w:rPr>
            <w:rStyle w:val="Hyperlink"/>
            <w:strike/>
            <w:sz w:val="24"/>
            <w:szCs w:val="24"/>
          </w:rPr>
          <w:t>§ 1270.03(c) (Scope),</w:t>
        </w:r>
      </w:hyperlink>
      <w:r w:rsidRPr="00492E2C">
        <w:rPr>
          <w:sz w:val="24"/>
          <w:szCs w:val="24"/>
          <w:u w:val="single"/>
        </w:rPr>
        <w:t xml:space="preserve"> the following provisions of this article shall apply: </w:t>
      </w:r>
      <w:hyperlink w:anchor="_§_1276.01._Design" w:history="1">
        <w:r w:rsidRPr="00EB4D04">
          <w:rPr>
            <w:rStyle w:val="Hyperlink"/>
            <w:sz w:val="24"/>
            <w:szCs w:val="24"/>
          </w:rPr>
          <w:t>§ 1276.01 (Design Plan)</w:t>
        </w:r>
      </w:hyperlink>
      <w:r>
        <w:rPr>
          <w:sz w:val="24"/>
          <w:szCs w:val="24"/>
          <w:u w:val="single"/>
        </w:rPr>
        <w:t xml:space="preserve">; </w:t>
      </w:r>
      <w:hyperlink w:anchor="_§_1276.02._Building" w:history="1">
        <w:r>
          <w:rPr>
            <w:rStyle w:val="Hyperlink"/>
            <w:sz w:val="24"/>
            <w:szCs w:val="24"/>
          </w:rPr>
          <w:t>§ 1276.02 (Building and Parcel Siting and Setbacks)</w:t>
        </w:r>
      </w:hyperlink>
      <w:r>
        <w:rPr>
          <w:sz w:val="24"/>
          <w:szCs w:val="24"/>
          <w:u w:val="single"/>
        </w:rPr>
        <w:t xml:space="preserve">; </w:t>
      </w:r>
      <w:hyperlink w:anchor="_§_1276.03._Ridgelines." w:history="1">
        <w:r w:rsidR="00FF3EF4">
          <w:rPr>
            <w:rStyle w:val="Hyperlink"/>
            <w:sz w:val="24"/>
            <w:szCs w:val="24"/>
          </w:rPr>
          <w:t>§ 1276.03</w:t>
        </w:r>
        <w:r w:rsidR="00FF3EF4" w:rsidRPr="00FF3EF4">
          <w:rPr>
            <w:rStyle w:val="Hyperlink"/>
            <w:sz w:val="24"/>
            <w:szCs w:val="24"/>
            <w:highlight w:val="yellow"/>
          </w:rPr>
          <w:t>(c)</w:t>
        </w:r>
        <w:r w:rsidR="00FF3EF4">
          <w:rPr>
            <w:rStyle w:val="Hyperlink"/>
            <w:sz w:val="24"/>
            <w:szCs w:val="24"/>
          </w:rPr>
          <w:t xml:space="preserve"> (Ridgelines)</w:t>
        </w:r>
      </w:hyperlink>
      <w:r w:rsidRPr="00492E2C">
        <w:rPr>
          <w:sz w:val="24"/>
          <w:szCs w:val="24"/>
          <w:u w:val="single"/>
        </w:rPr>
        <w:t xml:space="preserve">; </w:t>
      </w:r>
      <w:hyperlink w:anchor="_§_1276.04._Fuel" w:history="1">
        <w:r w:rsidRPr="00EB4D04">
          <w:rPr>
            <w:rStyle w:val="Hyperlink"/>
            <w:sz w:val="24"/>
            <w:szCs w:val="24"/>
          </w:rPr>
          <w:t>§ 1276.04 (Fuel Breaks)</w:t>
        </w:r>
      </w:hyperlink>
      <w:r w:rsidRPr="00492E2C">
        <w:rPr>
          <w:sz w:val="24"/>
          <w:szCs w:val="24"/>
          <w:u w:val="single"/>
        </w:rPr>
        <w:t xml:space="preserve">; </w:t>
      </w:r>
      <w:hyperlink w:anchor="_§_1276.05._Greenbelts," w:history="1">
        <w:r>
          <w:rPr>
            <w:rStyle w:val="Hyperlink"/>
            <w:sz w:val="24"/>
            <w:szCs w:val="24"/>
          </w:rPr>
          <w:t>§ 1276.05 (Greenbelts, Greenways, Open Spaces and Parks)</w:t>
        </w:r>
      </w:hyperlink>
      <w:r w:rsidRPr="00492E2C">
        <w:rPr>
          <w:sz w:val="24"/>
          <w:szCs w:val="24"/>
          <w:u w:val="single"/>
        </w:rPr>
        <w:t xml:space="preserve">; </w:t>
      </w:r>
      <w:hyperlink w:anchor="_§_1276.06._Maintenance" w:history="1">
        <w:r w:rsidRPr="00EB4D04">
          <w:rPr>
            <w:rStyle w:val="Hyperlink"/>
            <w:sz w:val="24"/>
            <w:szCs w:val="24"/>
          </w:rPr>
          <w:t>§ 1276.06 (Maintenance of Fuel Breaks)</w:t>
        </w:r>
      </w:hyperlink>
      <w:r>
        <w:rPr>
          <w:sz w:val="24"/>
          <w:szCs w:val="24"/>
          <w:u w:val="single"/>
        </w:rPr>
        <w:t>;</w:t>
      </w:r>
      <w:r w:rsidRPr="00EB4D04">
        <w:rPr>
          <w:sz w:val="24"/>
          <w:szCs w:val="24"/>
          <w:u w:val="single"/>
        </w:rPr>
        <w:t xml:space="preserve"> </w:t>
      </w:r>
      <w:r w:rsidRPr="00492E2C">
        <w:rPr>
          <w:sz w:val="24"/>
          <w:szCs w:val="24"/>
          <w:u w:val="single"/>
        </w:rPr>
        <w:t xml:space="preserve">and </w:t>
      </w:r>
      <w:hyperlink w:anchor="_§_1276.07_Disposal" w:history="1">
        <w:r w:rsidRPr="00EB4D04">
          <w:rPr>
            <w:rStyle w:val="Hyperlink"/>
            <w:sz w:val="24"/>
            <w:szCs w:val="24"/>
          </w:rPr>
          <w:t>§ 1276.07 (Disposal of Flammable Vegetation and Fuels)</w:t>
        </w:r>
      </w:hyperlink>
      <w:r w:rsidRPr="00492E2C">
        <w:rPr>
          <w:sz w:val="24"/>
          <w:szCs w:val="24"/>
          <w:u w:val="single"/>
        </w:rPr>
        <w:t>.</w:t>
      </w:r>
    </w:p>
    <w:p w:rsidR="00A85599" w:rsidRPr="00492E2C" w:rsidRDefault="00A85599" w:rsidP="00A85599">
      <w:pPr>
        <w:rPr>
          <w:strike/>
          <w:sz w:val="24"/>
          <w:szCs w:val="24"/>
        </w:rPr>
      </w:pPr>
      <w:r w:rsidRPr="00492E2C">
        <w:rPr>
          <w:strike/>
          <w:sz w:val="24"/>
          <w:szCs w:val="24"/>
        </w:rPr>
        <w:t>To reduce the intensity of a wildfire by reducing the volume and density of flammable vegetation, the strategic siting of fuel modification and greenbelts shall provide for increased safety for emergency fire equipment and evacuating civilians by its utilization around structures and roads, including driveways, and a point of attack or defense from a wildfire.</w:t>
      </w:r>
    </w:p>
    <w:p w:rsidR="00A85599" w:rsidRPr="00492E2C" w:rsidRDefault="00A85599" w:rsidP="00A85599">
      <w:pPr>
        <w:rPr>
          <w:sz w:val="24"/>
          <w:szCs w:val="24"/>
        </w:rPr>
      </w:pPr>
      <w:r w:rsidRPr="00492E2C">
        <w:rPr>
          <w:sz w:val="24"/>
          <w:szCs w:val="24"/>
        </w:rPr>
        <w:t>Note: Authority cited: Section 4290, Public Resources Code. Reference: Sections 4290 and 4291, Public Resources Code.</w:t>
      </w:r>
    </w:p>
    <w:p w:rsidR="00A85599" w:rsidRPr="00492E2C" w:rsidRDefault="00A85599" w:rsidP="00A85599">
      <w:pPr>
        <w:rPr>
          <w:sz w:val="24"/>
          <w:szCs w:val="24"/>
        </w:rPr>
      </w:pPr>
    </w:p>
    <w:p w:rsidR="007836AD" w:rsidRDefault="007E0E4A"/>
    <w:sectPr w:rsidR="00783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YK2EMxjD1KT8m70EzSDDVmTTOPkgDkhJcVZufW6nYQ5Kn0DVhgJNNXBjEA4xCI7XaGpuNq+/IVJHOaZn3sG+VA==" w:salt="m+tXi4dIzq+esOyjK1gw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99"/>
    <w:rsid w:val="00365DBE"/>
    <w:rsid w:val="007E0E4A"/>
    <w:rsid w:val="00A85599"/>
    <w:rsid w:val="00EE7F9E"/>
    <w:rsid w:val="00FF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C3475-5913-4E3B-B658-564548BA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5599"/>
    <w:pPr>
      <w:widowControl w:val="0"/>
      <w:adjustRightInd w:val="0"/>
      <w:spacing w:after="0" w:line="508" w:lineRule="exact"/>
      <w:jc w:val="both"/>
      <w:textAlignment w:val="baseline"/>
    </w:pPr>
    <w:rPr>
      <w:rFonts w:ascii="Courier New" w:eastAsia="Times New Roman" w:hAnsi="Courier New" w:cs="Times New Roman"/>
      <w:sz w:val="20"/>
      <w:szCs w:val="20"/>
    </w:rPr>
  </w:style>
  <w:style w:type="paragraph" w:styleId="Heading2">
    <w:name w:val="heading 2"/>
    <w:basedOn w:val="Normal"/>
    <w:next w:val="Heading3"/>
    <w:link w:val="Heading2Char"/>
    <w:unhideWhenUsed/>
    <w:qFormat/>
    <w:rsid w:val="00A85599"/>
    <w:pPr>
      <w:keepNext/>
      <w:outlineLvl w:val="1"/>
    </w:pPr>
    <w:rPr>
      <w:bCs/>
      <w:iCs/>
      <w:sz w:val="24"/>
      <w:szCs w:val="28"/>
    </w:rPr>
  </w:style>
  <w:style w:type="paragraph" w:styleId="Heading3">
    <w:name w:val="heading 3"/>
    <w:basedOn w:val="Normal"/>
    <w:next w:val="Normal"/>
    <w:link w:val="Heading3Char"/>
    <w:uiPriority w:val="9"/>
    <w:semiHidden/>
    <w:unhideWhenUsed/>
    <w:qFormat/>
    <w:rsid w:val="00A8559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5599"/>
    <w:rPr>
      <w:rFonts w:ascii="Courier New" w:eastAsia="Times New Roman" w:hAnsi="Courier New" w:cs="Times New Roman"/>
      <w:bCs/>
      <w:iCs/>
      <w:sz w:val="24"/>
      <w:szCs w:val="28"/>
      <w:lang w:val="en-US"/>
    </w:rPr>
  </w:style>
  <w:style w:type="character" w:styleId="CommentReference">
    <w:name w:val="annotation reference"/>
    <w:uiPriority w:val="99"/>
    <w:rsid w:val="00A85599"/>
    <w:rPr>
      <w:sz w:val="16"/>
      <w:szCs w:val="16"/>
    </w:rPr>
  </w:style>
  <w:style w:type="character" w:styleId="Hyperlink">
    <w:name w:val="Hyperlink"/>
    <w:uiPriority w:val="99"/>
    <w:unhideWhenUsed/>
    <w:rsid w:val="00A85599"/>
    <w:rPr>
      <w:color w:val="0000FF"/>
      <w:u w:val="single"/>
    </w:rPr>
  </w:style>
  <w:style w:type="character" w:customStyle="1" w:styleId="Heading3Char">
    <w:name w:val="Heading 3 Char"/>
    <w:basedOn w:val="DefaultParagraphFont"/>
    <w:link w:val="Heading3"/>
    <w:uiPriority w:val="9"/>
    <w:semiHidden/>
    <w:rsid w:val="00A85599"/>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1419</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Hannigan, Edith@BOF</dc:creator>
  <cp:keywords/>
  <dc:description/>
  <cp:lastModifiedBy>Hannigan, Edith@BOF</cp:lastModifiedBy>
  <cp:revision>3</cp:revision>
  <dcterms:created xsi:type="dcterms:W3CDTF">2021-03-03T04:28:00Z</dcterms:created>
  <dcterms:modified xsi:type="dcterms:W3CDTF">2021-03-03T04:46:00Z</dcterms:modified>
</cp:coreProperties>
</file>