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609A3055" w:rsidR="00953474" w:rsidRPr="00E77266" w:rsidRDefault="00953474" w:rsidP="009621F0">
      <w:pPr>
        <w:pStyle w:val="Subtitle"/>
      </w:pPr>
      <w:r w:rsidRPr="00E77266">
        <w:t xml:space="preserve">As of </w:t>
      </w:r>
      <w:r w:rsidR="00A6419C">
        <w:t>04/0</w:t>
      </w:r>
      <w:r w:rsidR="008D70A0">
        <w:t>8</w:t>
      </w:r>
      <w:r w:rsidR="001E2A33">
        <w:t>/2024</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62D49268" w14:textId="18EB6C67" w:rsidR="006E1FAC" w:rsidRPr="00F22FF8" w:rsidRDefault="005F7D66" w:rsidP="003056FF">
      <w:pPr>
        <w:pStyle w:val="Heading1"/>
      </w:pPr>
      <w:r w:rsidRPr="00F22FF8">
        <w:t>Fire Protection</w:t>
      </w:r>
      <w:r w:rsidR="00891417" w:rsidRPr="00F22FF8">
        <w:t>/Fuel Management</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60FFC84E" w:rsidR="005D72D7" w:rsidRDefault="005D72D7" w:rsidP="005D72D7">
      <w:pPr>
        <w:rPr>
          <w:b/>
          <w:i/>
        </w:rPr>
      </w:pPr>
      <w:r>
        <w:rPr>
          <w:b/>
          <w:bCs/>
          <w:i/>
          <w:iCs/>
          <w:szCs w:val="28"/>
        </w:rPr>
        <w:fldChar w:fldCharType="end"/>
      </w:r>
      <w:r w:rsidRPr="007C3FC8">
        <w:rPr>
          <w:b/>
          <w:i/>
        </w:rPr>
        <w:t>Status:</w:t>
      </w:r>
      <w:r w:rsidRPr="00F22FF8">
        <w:rPr>
          <w:b/>
          <w:i/>
        </w:rPr>
        <w:t xml:space="preserve"> </w:t>
      </w:r>
      <w:r w:rsidR="00A6419C">
        <w:rPr>
          <w:b/>
          <w:i/>
        </w:rPr>
        <w:t>Dead</w:t>
      </w:r>
      <w:r w:rsidR="007E1FA9">
        <w:rPr>
          <w:b/>
          <w:i/>
        </w:rPr>
        <w:t xml:space="preserve"> </w:t>
      </w:r>
    </w:p>
    <w:p w14:paraId="707EF0B2" w14:textId="3C8CA9D8" w:rsidR="005D72D7" w:rsidRDefault="007E1FA9" w:rsidP="00761A3E">
      <w:pPr>
        <w:rPr>
          <w:rFonts w:ascii="Verdana" w:hAnsi="Verdana"/>
          <w:color w:val="333333"/>
          <w:sz w:val="22"/>
          <w:szCs w:val="22"/>
          <w:shd w:val="clear" w:color="auto" w:fill="FFFFFF"/>
        </w:rPr>
      </w:pPr>
      <w:r>
        <w:rPr>
          <w:rFonts w:ascii="Verdana" w:hAnsi="Verdana"/>
          <w:color w:val="333333"/>
          <w:sz w:val="22"/>
          <w:szCs w:val="22"/>
          <w:shd w:val="clear" w:color="auto" w:fill="FFFFFF"/>
        </w:rPr>
        <w:t>This bill would, until January 1, 2030,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w:t>
      </w:r>
    </w:p>
    <w:p w14:paraId="7B5C8B19" w14:textId="285130CD" w:rsidR="00D67279" w:rsidRDefault="00D67279" w:rsidP="00761A3E">
      <w:pPr>
        <w:rPr>
          <w:rFonts w:ascii="Verdana" w:hAnsi="Verdana"/>
          <w:color w:val="333333"/>
          <w:sz w:val="22"/>
          <w:szCs w:val="22"/>
          <w:shd w:val="clear" w:color="auto" w:fill="FFFFFF"/>
        </w:rPr>
      </w:pPr>
    </w:p>
    <w:p w14:paraId="4DC9DF8B" w14:textId="2AF22AC8" w:rsidR="00D67279" w:rsidRDefault="00964E18" w:rsidP="00761A3E">
      <w:pPr>
        <w:rPr>
          <w:rFonts w:ascii="Verdana" w:hAnsi="Verdana"/>
          <w:color w:val="333333"/>
          <w:sz w:val="22"/>
          <w:szCs w:val="22"/>
          <w:shd w:val="clear" w:color="auto" w:fill="FFFFFF"/>
        </w:rPr>
      </w:pPr>
      <w:hyperlink r:id="rId8" w:history="1">
        <w:r w:rsidR="00D67279" w:rsidRPr="00D67279">
          <w:rPr>
            <w:rStyle w:val="Hyperlink"/>
            <w:rFonts w:ascii="Verdana" w:hAnsi="Verdana"/>
            <w:sz w:val="22"/>
            <w:szCs w:val="22"/>
            <w:shd w:val="clear" w:color="auto" w:fill="FFFFFF"/>
          </w:rPr>
          <w:t>SB 504, Dodd, As Amended</w:t>
        </w:r>
      </w:hyperlink>
    </w:p>
    <w:p w14:paraId="1C934EA1" w14:textId="18D63CF7" w:rsidR="00D67279" w:rsidRDefault="00D67279" w:rsidP="00761A3E">
      <w:pPr>
        <w:rPr>
          <w:rFonts w:ascii="Verdana" w:hAnsi="Verdana"/>
          <w:color w:val="333333"/>
          <w:sz w:val="22"/>
          <w:szCs w:val="22"/>
          <w:shd w:val="clear" w:color="auto" w:fill="FFFFFF"/>
        </w:rPr>
      </w:pPr>
      <w:r w:rsidRPr="00D67279">
        <w:rPr>
          <w:b/>
          <w:i/>
        </w:rPr>
        <w:t xml:space="preserve">Status: </w:t>
      </w:r>
      <w:r w:rsidR="000D135D">
        <w:rPr>
          <w:b/>
          <w:i/>
        </w:rPr>
        <w:t>Assembly Committee on Natural Resources</w:t>
      </w:r>
      <w:r w:rsidR="00A6419C">
        <w:rPr>
          <w:b/>
          <w:i/>
        </w:rPr>
        <w:t xml:space="preserve"> (no change since May 2023)</w:t>
      </w:r>
    </w:p>
    <w:p w14:paraId="48F8028F"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Existing law requires fuels to be maintained and spaced in a condition so that a wildfire burning under average weather conditions would be unlikely to ignite the structure. A violation of these requirements is a crime.</w:t>
      </w:r>
    </w:p>
    <w:p w14:paraId="6D87066E"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This bill would instead require fuels to be maintained and spaced in a condition so that a wildfire would be unlikely to ignite the structure.</w:t>
      </w:r>
    </w:p>
    <w:p w14:paraId="36B8258B" w14:textId="77777777" w:rsidR="00D67279" w:rsidRDefault="00D67279" w:rsidP="00761A3E">
      <w:pPr>
        <w:rPr>
          <w:i/>
          <w:iCs/>
          <w:szCs w:val="24"/>
        </w:rPr>
      </w:pPr>
    </w:p>
    <w:p w14:paraId="03B590CD" w14:textId="3CC2AED0" w:rsidR="001E2A33" w:rsidRDefault="00964E18" w:rsidP="00761A3E">
      <w:pPr>
        <w:rPr>
          <w:i/>
          <w:iCs/>
          <w:szCs w:val="24"/>
        </w:rPr>
      </w:pPr>
      <w:hyperlink r:id="rId9" w:history="1">
        <w:r w:rsidR="001E2A33" w:rsidRPr="001E2A33">
          <w:rPr>
            <w:rStyle w:val="Hyperlink"/>
            <w:i/>
            <w:iCs/>
            <w:szCs w:val="24"/>
          </w:rPr>
          <w:t>AB 3150, Quirk-Silva</w:t>
        </w:r>
      </w:hyperlink>
    </w:p>
    <w:p w14:paraId="11FDA9BA" w14:textId="6AD5814B" w:rsidR="001E2A33" w:rsidRPr="001E2A33" w:rsidRDefault="001E2A33" w:rsidP="00761A3E">
      <w:pPr>
        <w:rPr>
          <w:b/>
          <w:bCs/>
          <w:i/>
          <w:iCs/>
          <w:szCs w:val="24"/>
        </w:rPr>
      </w:pPr>
      <w:r w:rsidRPr="001E2A33">
        <w:rPr>
          <w:b/>
          <w:bCs/>
          <w:i/>
          <w:iCs/>
          <w:szCs w:val="24"/>
        </w:rPr>
        <w:t xml:space="preserve">Status: </w:t>
      </w:r>
      <w:r w:rsidR="00A6419C">
        <w:rPr>
          <w:b/>
          <w:bCs/>
          <w:i/>
          <w:iCs/>
          <w:szCs w:val="24"/>
        </w:rPr>
        <w:t>Amended, in Committee on Natural Resources</w:t>
      </w:r>
    </w:p>
    <w:p w14:paraId="3D8B17C6" w14:textId="7E950D6B" w:rsidR="001E2A33" w:rsidRDefault="001E2A33" w:rsidP="00761A3E">
      <w:pPr>
        <w:rPr>
          <w:rFonts w:ascii="Verdana" w:hAnsi="Verdana"/>
          <w:sz w:val="22"/>
          <w:szCs w:val="22"/>
        </w:rPr>
      </w:pPr>
      <w:r w:rsidRPr="001E2A33">
        <w:rPr>
          <w:rFonts w:ascii="Verdana" w:hAnsi="Verdana"/>
          <w:sz w:val="22"/>
          <w:szCs w:val="22"/>
        </w:rPr>
        <w:t xml:space="preserve">This bill would change the authorities in PRC 4290, 4290.1, and 4291 (Fire Safe Regulations, Fire Risk Reduction Communities List, and Defensible Space, respectively) from the Board to the Office of the State Fire Marshal. </w:t>
      </w:r>
    </w:p>
    <w:p w14:paraId="08D7B2BC" w14:textId="77777777" w:rsidR="001E2A33" w:rsidRDefault="001E2A33" w:rsidP="00761A3E">
      <w:pPr>
        <w:rPr>
          <w:rFonts w:ascii="Verdana" w:hAnsi="Verdana"/>
          <w:sz w:val="22"/>
          <w:szCs w:val="22"/>
        </w:rPr>
      </w:pPr>
    </w:p>
    <w:p w14:paraId="0691F1BD" w14:textId="6C2CCE9F" w:rsidR="001E2A33" w:rsidRDefault="00964E18" w:rsidP="00761A3E">
      <w:pPr>
        <w:rPr>
          <w:rFonts w:ascii="Verdana" w:hAnsi="Verdana"/>
          <w:sz w:val="22"/>
          <w:szCs w:val="22"/>
        </w:rPr>
      </w:pPr>
      <w:hyperlink r:id="rId10" w:history="1">
        <w:r w:rsidR="001E2A33" w:rsidRPr="001E2A33">
          <w:rPr>
            <w:rStyle w:val="Hyperlink"/>
            <w:rFonts w:ascii="Verdana" w:hAnsi="Verdana"/>
            <w:sz w:val="22"/>
            <w:szCs w:val="22"/>
          </w:rPr>
          <w:t>SB 571, Allen</w:t>
        </w:r>
      </w:hyperlink>
    </w:p>
    <w:p w14:paraId="4C5BF2BE" w14:textId="459AA08D" w:rsidR="001E2A33" w:rsidRPr="001E2A33" w:rsidRDefault="001E2A33" w:rsidP="00761A3E">
      <w:pPr>
        <w:rPr>
          <w:rFonts w:ascii="Verdana" w:hAnsi="Verdana"/>
          <w:b/>
          <w:bCs/>
          <w:i/>
          <w:iCs/>
          <w:sz w:val="22"/>
          <w:szCs w:val="22"/>
        </w:rPr>
      </w:pPr>
      <w:r w:rsidRPr="001E2A33">
        <w:rPr>
          <w:rFonts w:ascii="Verdana" w:hAnsi="Verdana"/>
          <w:b/>
          <w:bCs/>
          <w:i/>
          <w:iCs/>
          <w:sz w:val="22"/>
          <w:szCs w:val="22"/>
        </w:rPr>
        <w:t>Status: In Assembly</w:t>
      </w:r>
    </w:p>
    <w:p w14:paraId="31227B9F" w14:textId="02BF9EFA" w:rsidR="001E2A33" w:rsidRDefault="001E2A33" w:rsidP="00761A3E">
      <w:pPr>
        <w:rPr>
          <w:rFonts w:ascii="Verdana" w:hAnsi="Verdana"/>
          <w:sz w:val="22"/>
          <w:szCs w:val="18"/>
        </w:rPr>
      </w:pPr>
      <w:r w:rsidRPr="001E2A33">
        <w:rPr>
          <w:rFonts w:ascii="Verdana" w:hAnsi="Verdana"/>
          <w:sz w:val="22"/>
          <w:szCs w:val="18"/>
        </w:rPr>
        <w:t>This bill would require the board, on or before January 1, 2027, to</w:t>
      </w:r>
      <w:r w:rsidR="008D70A0">
        <w:rPr>
          <w:rFonts w:ascii="Verdana" w:hAnsi="Verdana"/>
          <w:strike/>
          <w:sz w:val="22"/>
          <w:szCs w:val="18"/>
        </w:rPr>
        <w:t xml:space="preserve"> </w:t>
      </w:r>
      <w:r w:rsidRPr="001E2A33">
        <w:rPr>
          <w:rFonts w:ascii="Verdana" w:hAnsi="Verdana"/>
          <w:sz w:val="22"/>
          <w:szCs w:val="18"/>
        </w:rPr>
        <w:t>create, and provide to the Legislature, a report relating to standards for ingress and egress routes in new</w:t>
      </w:r>
      <w:r w:rsidRPr="001E2A33">
        <w:rPr>
          <w:rFonts w:ascii="Verdana" w:hAnsi="Verdana"/>
          <w:strike/>
          <w:sz w:val="22"/>
          <w:szCs w:val="18"/>
        </w:rPr>
        <w:t xml:space="preserve"> </w:t>
      </w:r>
      <w:r w:rsidRPr="001E2A33">
        <w:rPr>
          <w:rFonts w:ascii="Verdana" w:hAnsi="Verdana"/>
          <w:sz w:val="22"/>
          <w:szCs w:val="18"/>
        </w:rPr>
        <w:t>development, as provided. The bill would require the state board to do certain things when creating the report, including provide opportunities for input from the public, as specified. The bill would prohibit the state board from adopting any regulations incorporating the standards described in the report until at least 6 months after completing that report.</w:t>
      </w:r>
    </w:p>
    <w:p w14:paraId="0F508B16" w14:textId="77777777" w:rsidR="008D70A0" w:rsidRDefault="008D70A0" w:rsidP="00761A3E">
      <w:pPr>
        <w:rPr>
          <w:rFonts w:ascii="Verdana" w:hAnsi="Verdana"/>
          <w:sz w:val="22"/>
          <w:szCs w:val="18"/>
        </w:rPr>
      </w:pPr>
    </w:p>
    <w:p w14:paraId="01D29133" w14:textId="616E93B1" w:rsidR="008D70A0" w:rsidRDefault="008D70A0" w:rsidP="00761A3E">
      <w:pPr>
        <w:rPr>
          <w:rFonts w:ascii="Verdana" w:hAnsi="Verdana"/>
          <w:sz w:val="22"/>
          <w:szCs w:val="18"/>
        </w:rPr>
      </w:pPr>
      <w:hyperlink r:id="rId11" w:history="1">
        <w:r w:rsidRPr="008D70A0">
          <w:rPr>
            <w:rStyle w:val="Hyperlink"/>
            <w:rFonts w:ascii="Verdana" w:hAnsi="Verdana"/>
            <w:sz w:val="22"/>
            <w:szCs w:val="18"/>
          </w:rPr>
          <w:t>SB 504, Dodd</w:t>
        </w:r>
      </w:hyperlink>
    </w:p>
    <w:p w14:paraId="26FCB3C4" w14:textId="512D64A3" w:rsidR="008D70A0" w:rsidRDefault="008D70A0" w:rsidP="00761A3E">
      <w:pPr>
        <w:rPr>
          <w:rFonts w:ascii="Verdana" w:hAnsi="Verdana"/>
          <w:sz w:val="22"/>
          <w:szCs w:val="18"/>
        </w:rPr>
      </w:pPr>
      <w:r w:rsidRPr="008D70A0">
        <w:rPr>
          <w:rFonts w:ascii="Verdana" w:hAnsi="Verdana"/>
          <w:b/>
          <w:bCs/>
          <w:i/>
          <w:iCs/>
          <w:sz w:val="22"/>
          <w:szCs w:val="22"/>
        </w:rPr>
        <w:t>Status: In Assembly Natural Resources</w:t>
      </w:r>
    </w:p>
    <w:p w14:paraId="1EE8902E" w14:textId="6FBBB1F2" w:rsidR="008D70A0" w:rsidRPr="008D70A0" w:rsidRDefault="008D70A0" w:rsidP="008D70A0">
      <w:pPr>
        <w:rPr>
          <w:rFonts w:ascii="Verdana" w:hAnsi="Verdana"/>
          <w:sz w:val="22"/>
          <w:szCs w:val="18"/>
        </w:rPr>
      </w:pPr>
      <w:r w:rsidRPr="008D70A0">
        <w:rPr>
          <w:rFonts w:ascii="Verdana" w:hAnsi="Verdana"/>
          <w:sz w:val="22"/>
          <w:szCs w:val="18"/>
        </w:rPr>
        <w:t xml:space="preserve">Existing law </w:t>
      </w:r>
      <w:r w:rsidRPr="008D70A0">
        <w:rPr>
          <w:rFonts w:ascii="Verdana" w:hAnsi="Verdana"/>
          <w:sz w:val="22"/>
          <w:szCs w:val="18"/>
        </w:rPr>
        <w:t xml:space="preserve">[PRC 4291] </w:t>
      </w:r>
      <w:r w:rsidRPr="008D70A0">
        <w:rPr>
          <w:rFonts w:ascii="Verdana" w:hAnsi="Verdana"/>
          <w:sz w:val="22"/>
          <w:szCs w:val="18"/>
        </w:rPr>
        <w:t>requires a person who owns, leases, controls, operates, or maintains a building or structure in, upon, or adjoining a mountainous area, forest-</w:t>
      </w:r>
      <w:r w:rsidRPr="008D70A0">
        <w:rPr>
          <w:rFonts w:ascii="Verdana" w:hAnsi="Verdana"/>
          <w:sz w:val="22"/>
          <w:szCs w:val="18"/>
        </w:rPr>
        <w:lastRenderedPageBreak/>
        <w:t>covered lands, shrub-covered lands, grass-covered lands, or land that is covered with flammable material to maintain defensible space of 100 feet from each side. Existing law requires fuels to be maintained and spaced in a condition so that a wildfire burning under average weather conditions would be unlikely to ignite the structure. A violation of these requirements is a crime.</w:t>
      </w:r>
    </w:p>
    <w:p w14:paraId="5AF001E3" w14:textId="77777777" w:rsidR="008D70A0" w:rsidRPr="008D70A0" w:rsidRDefault="008D70A0" w:rsidP="008D70A0">
      <w:pPr>
        <w:rPr>
          <w:rFonts w:ascii="Verdana" w:hAnsi="Verdana"/>
          <w:sz w:val="22"/>
          <w:szCs w:val="18"/>
        </w:rPr>
      </w:pPr>
      <w:r w:rsidRPr="008D70A0">
        <w:rPr>
          <w:rFonts w:ascii="Verdana" w:hAnsi="Verdana"/>
          <w:sz w:val="22"/>
          <w:szCs w:val="18"/>
        </w:rPr>
        <w:t>This bill would instead require fuels to be maintained and spaced in a condition so that a wildfire would be unlikely to ignite the structure. By expanding the scope of a crime, this bill would impose a state-mandated local program.</w:t>
      </w:r>
    </w:p>
    <w:p w14:paraId="5BFCF55C" w14:textId="77777777" w:rsidR="008D70A0" w:rsidRPr="001E2A33" w:rsidRDefault="008D70A0" w:rsidP="00761A3E">
      <w:pPr>
        <w:rPr>
          <w:rFonts w:ascii="Verdana" w:hAnsi="Verdana"/>
          <w:sz w:val="20"/>
        </w:rPr>
      </w:pPr>
    </w:p>
    <w:p w14:paraId="745269AD" w14:textId="74D235AF" w:rsidR="004F7A29" w:rsidRPr="00F22FF8" w:rsidRDefault="007E1FA9" w:rsidP="007B36BC">
      <w:pPr>
        <w:pStyle w:val="Heading1"/>
      </w:pPr>
      <w:r>
        <w:t>Forestry</w:t>
      </w:r>
    </w:p>
    <w:p w14:paraId="795413A5" w14:textId="77A6D011" w:rsidR="0096156C" w:rsidRDefault="00964E18" w:rsidP="00761A3E">
      <w:pPr>
        <w:pStyle w:val="Heading2"/>
      </w:pPr>
      <w:hyperlink r:id="rId12" w:history="1">
        <w:r w:rsidR="0096156C" w:rsidRPr="0096156C">
          <w:rPr>
            <w:rStyle w:val="Hyperlink"/>
          </w:rPr>
          <w:t>AB 2639, Patterson, As Amended</w:t>
        </w:r>
      </w:hyperlink>
    </w:p>
    <w:p w14:paraId="1315690E" w14:textId="6C3FDDB5" w:rsidR="0096156C" w:rsidRPr="0096156C" w:rsidRDefault="0096156C" w:rsidP="0096156C">
      <w:pPr>
        <w:rPr>
          <w:b/>
          <w:bCs/>
          <w:i/>
          <w:iCs/>
        </w:rPr>
      </w:pPr>
      <w:r w:rsidRPr="0096156C">
        <w:rPr>
          <w:b/>
          <w:bCs/>
          <w:i/>
          <w:iCs/>
        </w:rPr>
        <w:t>Status: Committee on Natural Resources</w:t>
      </w:r>
    </w:p>
    <w:p w14:paraId="5314D5A6" w14:textId="40180121" w:rsidR="008D70A0" w:rsidRDefault="008D70A0" w:rsidP="0096156C">
      <w:r w:rsidRPr="008D70A0">
        <w:t xml:space="preserve">The </w:t>
      </w:r>
      <w:proofErr w:type="spellStart"/>
      <w:r w:rsidRPr="008D70A0">
        <w:t>Z’berg</w:t>
      </w:r>
      <w:proofErr w:type="spellEnd"/>
      <w:r w:rsidRPr="008D70A0">
        <w:t>-Nejedly Forest Practice Act of 1973 prohibits a person from conducting timber operations unless a timber harvesting plan prepared by a registered professional forester has been submitted to, and approved by, the Department of Forestry and Fire Protection. Existing law defines “timber operations” for purposes of the act. The act provides that any person who willfully violates any provision of the act or rule or regulation of the State Board of Forestry and Fire Protection is guilty of a misdemeanor.</w:t>
      </w:r>
    </w:p>
    <w:p w14:paraId="6F8CD1F4" w14:textId="085F8242" w:rsidR="008D70A0" w:rsidRDefault="0096156C" w:rsidP="0096156C">
      <w:r w:rsidRPr="0096156C">
        <w:t xml:space="preserve">This bill would expand the definition of “timber operations” to include the maintenance of timberlands for fuels reduction, paid in part or in whole with public funds. By expanding the scope of a crime, the bill would create a state-mandated local program. </w:t>
      </w:r>
    </w:p>
    <w:p w14:paraId="723F6CAF" w14:textId="0C4288F5" w:rsidR="0096156C" w:rsidRPr="0096156C" w:rsidRDefault="0096156C" w:rsidP="0096156C">
      <w:r w:rsidRPr="0096156C">
        <w:t>The bill would provide that timber operations for the maintenance of timberland, paid in part or in whole with public funds, may comply with the requirements of CEQA in lieu of preparing a timber harvesting plan.</w:t>
      </w:r>
    </w:p>
    <w:p w14:paraId="0F3AE7A0" w14:textId="29828BDE" w:rsidR="00761A3E" w:rsidRPr="00945DC2" w:rsidRDefault="00964E18" w:rsidP="00761A3E">
      <w:pPr>
        <w:pStyle w:val="Heading2"/>
      </w:pPr>
      <w:hyperlink r:id="rId13"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111E6CCA" w:rsidR="00761A3E" w:rsidRPr="00661865" w:rsidRDefault="00761A3E" w:rsidP="00761A3E">
      <w:pPr>
        <w:rPr>
          <w:b/>
          <w:i/>
        </w:rPr>
      </w:pPr>
      <w:r w:rsidRPr="00945DC2">
        <w:rPr>
          <w:b/>
          <w:bCs/>
          <w:i/>
          <w:iCs/>
        </w:rPr>
        <w:t xml:space="preserve">Status: </w:t>
      </w:r>
      <w:r w:rsidR="00A6419C">
        <w:rPr>
          <w:b/>
          <w:i/>
        </w:rPr>
        <w:t>Died</w:t>
      </w:r>
      <w:r w:rsidR="00661865">
        <w:rPr>
          <w:b/>
          <w:i/>
        </w:rPr>
        <w:t xml:space="preserve"> </w:t>
      </w:r>
    </w:p>
    <w:p w14:paraId="778E2D38" w14:textId="236AF658" w:rsidR="007E3133" w:rsidRDefault="007E3133"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with regard to water resources in the state. </w:t>
      </w:r>
      <w:r w:rsidR="003056FF" w:rsidRPr="003056FF">
        <w:rPr>
          <w:rFonts w:ascii="Verdana" w:hAnsi="Verdana"/>
          <w:color w:val="333333"/>
          <w:sz w:val="22"/>
          <w:szCs w:val="22"/>
          <w:shd w:val="clear" w:color="auto" w:fill="FFFFFF"/>
        </w:rPr>
        <w:t>This bill would require the agency, and each department, board, conservancy, and commission within the agency, to take all reasonable steps to approve the necessary permits for specified projects that meet certain employment conditions within 180 days from receiving a complete permit application. The bill would require the department, board, conservancy, or commission responsible for issuing a permit to post updates on its internet website for each permit application explaining how the permit approval process is progressing and the estimated time until the permit is approved.</w:t>
      </w:r>
    </w:p>
    <w:p w14:paraId="2D5344E8" w14:textId="77777777" w:rsidR="00AB44CE" w:rsidRDefault="00AB44CE" w:rsidP="007E1FA9">
      <w:pPr>
        <w:rPr>
          <w:rFonts w:ascii="Verdana" w:hAnsi="Verdana"/>
          <w:color w:val="333333"/>
          <w:sz w:val="22"/>
          <w:szCs w:val="22"/>
          <w:shd w:val="clear" w:color="auto" w:fill="FFFFFF"/>
        </w:rPr>
      </w:pPr>
    </w:p>
    <w:p w14:paraId="54CB8A72" w14:textId="4AEE6E17" w:rsidR="00AB44CE" w:rsidRDefault="00964E18" w:rsidP="007E1FA9">
      <w:pPr>
        <w:rPr>
          <w:rFonts w:ascii="Verdana" w:hAnsi="Verdana"/>
          <w:color w:val="333333"/>
          <w:sz w:val="22"/>
          <w:szCs w:val="22"/>
          <w:shd w:val="clear" w:color="auto" w:fill="FFFFFF"/>
        </w:rPr>
      </w:pPr>
      <w:hyperlink r:id="rId14" w:history="1">
        <w:r w:rsidR="00AB44CE" w:rsidRPr="00AB44CE">
          <w:rPr>
            <w:rStyle w:val="Hyperlink"/>
            <w:rFonts w:ascii="Verdana" w:hAnsi="Verdana"/>
            <w:sz w:val="22"/>
            <w:szCs w:val="22"/>
            <w:shd w:val="clear" w:color="auto" w:fill="FFFFFF"/>
          </w:rPr>
          <w:t>AB 2276, Wood</w:t>
        </w:r>
      </w:hyperlink>
    </w:p>
    <w:p w14:paraId="6B538608" w14:textId="6B5CC82A" w:rsidR="00AB44CE" w:rsidRPr="00AB44CE" w:rsidRDefault="00AB44CE" w:rsidP="007E1FA9">
      <w:pPr>
        <w:rPr>
          <w:rFonts w:ascii="Verdana" w:hAnsi="Verdana"/>
          <w:b/>
          <w:bCs/>
          <w:i/>
          <w:iCs/>
          <w:color w:val="333333"/>
          <w:szCs w:val="24"/>
          <w:shd w:val="clear" w:color="auto" w:fill="FFFFFF"/>
        </w:rPr>
      </w:pPr>
      <w:r w:rsidRPr="00AB44CE">
        <w:rPr>
          <w:rFonts w:ascii="Verdana" w:hAnsi="Verdana"/>
          <w:b/>
          <w:bCs/>
          <w:i/>
          <w:iCs/>
          <w:color w:val="333333"/>
          <w:szCs w:val="24"/>
          <w:shd w:val="clear" w:color="auto" w:fill="FFFFFF"/>
        </w:rPr>
        <w:t>Status: Committee on Natural Resources</w:t>
      </w:r>
    </w:p>
    <w:p w14:paraId="65CD29F4" w14:textId="77777777" w:rsidR="00AB44CE" w:rsidRPr="00AB44CE" w:rsidRDefault="00AB44CE" w:rsidP="00AB44CE">
      <w:pPr>
        <w:rPr>
          <w:rFonts w:ascii="Verdana" w:hAnsi="Verdana"/>
          <w:color w:val="333333"/>
          <w:sz w:val="22"/>
          <w:szCs w:val="22"/>
          <w:shd w:val="clear" w:color="auto" w:fill="FFFFFF"/>
        </w:rPr>
      </w:pPr>
      <w:r w:rsidRPr="00AB44CE">
        <w:rPr>
          <w:rFonts w:ascii="Verdana" w:hAnsi="Verdana"/>
          <w:color w:val="333333"/>
          <w:sz w:val="22"/>
          <w:szCs w:val="22"/>
          <w:shd w:val="clear" w:color="auto" w:fill="FFFFFF"/>
        </w:rPr>
        <w:t xml:space="preserve">The Z’berg-Nejedly Forest Practice Act of 1973 prohibits a person from conducting timber operations, as defined, unless a timber harvesting plan prepared by a registered professional forester has been submitted to, and approved by, the </w:t>
      </w:r>
      <w:r w:rsidRPr="00AB44CE">
        <w:rPr>
          <w:rFonts w:ascii="Verdana" w:hAnsi="Verdana"/>
          <w:color w:val="333333"/>
          <w:sz w:val="22"/>
          <w:szCs w:val="22"/>
          <w:shd w:val="clear" w:color="auto" w:fill="FFFFFF"/>
        </w:rPr>
        <w:lastRenderedPageBreak/>
        <w:t>Department of Forestry and Fire Protection. The act authorizes the State Board of Forestry and Fire Protection to exempt from some or all of those provisions of the act a person engaging in specified forest management activities, as prescribed, including: (1), for a period of 5 years following the adoption of emergency regulations, the cutting or removal of trees on the person’s property that eliminates the vertical continuity of vegetative fuels and the horizontal continuity of tree crowns for the purpose of reducing flammable materials and maintaining a fuel break, known as the Small Timberland Owner Exemption, (2), until January 1, 2026, the harvesting of those trees that eliminates the vertical continuity of vegetative fuels and the horizontal continuity of tree crowns for specified purposes, known as the Forest Fire Prevention Exemption, and (3), until January 1, 2026, the cutting or removal of trees on the person’s property in compliance with specified defensible space requirements, as provided.</w:t>
      </w:r>
    </w:p>
    <w:p w14:paraId="4E1AB1C6" w14:textId="0ACF7180" w:rsidR="00AB44CE" w:rsidRDefault="00AB44CE" w:rsidP="00AB44CE">
      <w:pPr>
        <w:rPr>
          <w:rFonts w:ascii="Verdana" w:hAnsi="Verdana"/>
          <w:color w:val="333333"/>
          <w:sz w:val="22"/>
          <w:szCs w:val="22"/>
          <w:shd w:val="clear" w:color="auto" w:fill="FFFFFF"/>
        </w:rPr>
      </w:pPr>
      <w:r w:rsidRPr="00AB44CE">
        <w:rPr>
          <w:rFonts w:ascii="Verdana" w:hAnsi="Verdana"/>
          <w:color w:val="333333"/>
          <w:sz w:val="22"/>
          <w:szCs w:val="22"/>
          <w:shd w:val="clear" w:color="auto" w:fill="FFFFFF"/>
        </w:rPr>
        <w:t>This bill would extend those exemptions until January 1, 2031.</w:t>
      </w:r>
    </w:p>
    <w:p w14:paraId="59DBB560" w14:textId="5CC9FC5D" w:rsidR="007B7506" w:rsidRDefault="007B7506" w:rsidP="007E1FA9">
      <w:pPr>
        <w:rPr>
          <w:rFonts w:ascii="Verdana" w:hAnsi="Verdana"/>
          <w:color w:val="333333"/>
          <w:sz w:val="22"/>
          <w:szCs w:val="22"/>
          <w:shd w:val="clear" w:color="auto" w:fill="FFFFFF"/>
        </w:rPr>
      </w:pPr>
    </w:p>
    <w:p w14:paraId="0A1C2280" w14:textId="78D8C900" w:rsidR="005D72D7" w:rsidRDefault="007E3133" w:rsidP="005D72D7">
      <w:pPr>
        <w:pStyle w:val="Heading1"/>
        <w:rPr>
          <w:rStyle w:val="Emphasis"/>
        </w:rPr>
      </w:pPr>
      <w:r>
        <w:rPr>
          <w:rStyle w:val="Emphasis"/>
          <w:i w:val="0"/>
          <w:iCs w:val="0"/>
        </w:rPr>
        <w:t>Range Management Advisory Committee</w:t>
      </w:r>
      <w:r w:rsidR="00A45D8C" w:rsidRPr="00F22FF8">
        <w:rPr>
          <w:rStyle w:val="Emphasis"/>
          <w:i w:val="0"/>
          <w:iCs w:val="0"/>
        </w:rPr>
        <w:t xml:space="preserve"> </w:t>
      </w:r>
    </w:p>
    <w:p w14:paraId="29C220D0" w14:textId="074CA064" w:rsidR="007C7420" w:rsidRDefault="007C7420" w:rsidP="00F77F70">
      <w:pPr>
        <w:shd w:val="clear" w:color="auto" w:fill="FFFFFF"/>
        <w:jc w:val="both"/>
        <w:textAlignment w:val="baseline"/>
        <w:rPr>
          <w:rStyle w:val="Emphasis"/>
        </w:rPr>
      </w:pPr>
    </w:p>
    <w:p w14:paraId="5E822E67" w14:textId="075ED211" w:rsidR="007E3133" w:rsidRPr="007E3133" w:rsidRDefault="007E3133" w:rsidP="007E3133">
      <w:pPr>
        <w:pStyle w:val="Heading2"/>
        <w:rPr>
          <w:rStyle w:val="Hyperlink"/>
        </w:rPr>
      </w:pPr>
      <w:r>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15" w:tgtFrame="_blank" w:history="1">
        <w:r w:rsidRPr="007E3133">
          <w:rPr>
            <w:rStyle w:val="Hyperlink"/>
          </w:rPr>
          <w:t>Limón</w:t>
        </w:r>
      </w:hyperlink>
      <w:r w:rsidRPr="007E3133">
        <w:rPr>
          <w:rStyle w:val="Hyperlink"/>
        </w:rPr>
        <w:t xml:space="preserve">, As </w:t>
      </w:r>
      <w:r w:rsidR="007F2087">
        <w:rPr>
          <w:rStyle w:val="Hyperlink"/>
        </w:rPr>
        <w:t>Amended</w:t>
      </w:r>
    </w:p>
    <w:p w14:paraId="433B1A02" w14:textId="2E346789" w:rsidR="007E3133" w:rsidRDefault="007E3133" w:rsidP="007E3133">
      <w:pPr>
        <w:rPr>
          <w:b/>
          <w:i/>
        </w:rPr>
      </w:pPr>
      <w:r>
        <w:rPr>
          <w:b/>
          <w:bCs/>
          <w:i/>
          <w:iCs/>
          <w:szCs w:val="28"/>
        </w:rPr>
        <w:fldChar w:fldCharType="end"/>
      </w:r>
      <w:r w:rsidRPr="007C3FC8">
        <w:rPr>
          <w:b/>
          <w:i/>
        </w:rPr>
        <w:t>Status:</w:t>
      </w:r>
      <w:r w:rsidRPr="00F22FF8">
        <w:rPr>
          <w:b/>
          <w:i/>
        </w:rPr>
        <w:t xml:space="preserve"> </w:t>
      </w:r>
      <w:r w:rsidR="00876C9D">
        <w:rPr>
          <w:b/>
          <w:i/>
        </w:rPr>
        <w:t>Inactive File</w:t>
      </w:r>
    </w:p>
    <w:p w14:paraId="2CE088AE"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State Board of Forestry and Fire Protection to appoint a Range Management Advisory Committee and to consult with the advisory committee on rangeland resource issues under consideration by the board.</w:t>
      </w:r>
    </w:p>
    <w:p w14:paraId="2FA3F146" w14:textId="0C955420" w:rsidR="007E3133"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The bill would require, on or before July 1, 2024, the advisory committee, in consultation with specified entities, to develop guidance for local or regional prescribed grazing plans, as provided. The bill would require the Department of Forestry and Fire Protection (department) and the Department of Conservation to consider and incorporate, where appropriate, this guidance in specified grant programs, as provided.</w:t>
      </w:r>
    </w:p>
    <w:p w14:paraId="6B2C5C60"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Wildfire and Forest Resilience Task Force, established by former Governor Edmund G. Brown Jr., to develop a comprehensive implementation strategy to track and ensure the achievement of the goals and key actions identified in the state’s “Wildfire and Forest Resilience Action Plan,” as provided. Existing law requires, on or before January 1, 2026, and every 5 years thereafter, the task force to update the action plan.</w:t>
      </w:r>
    </w:p>
    <w:p w14:paraId="57C8FFCE" w14:textId="32D49368" w:rsid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This bill would require the task force, on or before June 30, 2025, in consultation with the advisory committee, to develop a strategic action plan to expand the use of prescribed grazing, as provided. The bill would require the task force to consider incorporating prescribed grazing in the January 1, 2026, update to the “Wildfire and Forest Resilience Action Plan.”</w:t>
      </w:r>
    </w:p>
    <w:p w14:paraId="2027D9EB" w14:textId="33DFDDBF" w:rsidR="007E1FA9" w:rsidRDefault="007E1FA9" w:rsidP="007E1FA9">
      <w:pPr>
        <w:rPr>
          <w:rFonts w:ascii="Verdana" w:hAnsi="Verdana"/>
          <w:color w:val="333333"/>
          <w:sz w:val="22"/>
          <w:szCs w:val="22"/>
          <w:shd w:val="clear" w:color="auto" w:fill="FFFFFF"/>
        </w:rPr>
      </w:pPr>
    </w:p>
    <w:p w14:paraId="2E4AA5E7" w14:textId="18D7930B" w:rsidR="007E1FA9" w:rsidRDefault="007E1FA9" w:rsidP="007E1FA9">
      <w:pPr>
        <w:pStyle w:val="Heading1"/>
      </w:pPr>
      <w:r w:rsidRPr="007E1FA9">
        <w:t>Forest Biomass</w:t>
      </w:r>
      <w:r w:rsidR="00D67279">
        <w:br/>
      </w:r>
      <w:hyperlink r:id="rId16" w:history="1">
        <w:r w:rsidR="00D67279" w:rsidRPr="00D67279">
          <w:rPr>
            <w:rStyle w:val="Hyperlink"/>
            <w:i/>
            <w:iCs/>
          </w:rPr>
          <w:t>AB 625, Aguiar-Curry, As Amended</w:t>
        </w:r>
      </w:hyperlink>
    </w:p>
    <w:p w14:paraId="1E84F0F1" w14:textId="114DE2DF" w:rsidR="00D67279" w:rsidRDefault="00D67279" w:rsidP="00D67279">
      <w:pPr>
        <w:rPr>
          <w:b/>
          <w:i/>
        </w:rPr>
      </w:pPr>
      <w:r w:rsidRPr="007C3FC8">
        <w:rPr>
          <w:b/>
          <w:i/>
        </w:rPr>
        <w:t>Status:</w:t>
      </w:r>
      <w:r w:rsidRPr="00F22FF8">
        <w:rPr>
          <w:b/>
          <w:i/>
        </w:rPr>
        <w:t xml:space="preserve"> </w:t>
      </w:r>
      <w:r w:rsidR="00A6419C">
        <w:rPr>
          <w:b/>
          <w:i/>
        </w:rPr>
        <w:t>Died</w:t>
      </w:r>
    </w:p>
    <w:p w14:paraId="7A8A1643" w14:textId="77777777" w:rsidR="00D67279" w:rsidRPr="00D67279" w:rsidRDefault="00D67279" w:rsidP="00D67279"/>
    <w:p w14:paraId="29CAE764" w14:textId="6F7D7009" w:rsidR="007E1FA9" w:rsidRPr="007E1FA9" w:rsidRDefault="00D67279" w:rsidP="007E1FA9">
      <w:r>
        <w:rPr>
          <w:rFonts w:ascii="Verdana" w:hAnsi="Verdana"/>
          <w:color w:val="333333"/>
          <w:sz w:val="22"/>
          <w:szCs w:val="22"/>
          <w:shd w:val="clear" w:color="auto" w:fill="FFFFFF"/>
        </w:rPr>
        <w:t>This bill would establish the Forest Biomass Waste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the workforce needs associated with the implementation plan. </w:t>
      </w:r>
    </w:p>
    <w:sectPr w:rsidR="007E1FA9" w:rsidRPr="007E1FA9" w:rsidSect="001410CE">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6A086FCE"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01145A">
      <w:rPr>
        <w:noProof/>
      </w:rPr>
      <w:t>10</w:t>
    </w:r>
    <w:r w:rsidR="00AB44CE">
      <w:rPr>
        <w:noProof/>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IbKJCvtH9PEx7H1p/JQFkiLvuL7wpfxzJ9JwcYDLo1WThboXTCOMGsaiO2zW1Wx4LkNY/ZhdHKFZ2TxyM4as6A==" w:salt="2bbgJ5v/pcBWRe4COqXGeQ=="/>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145A"/>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D135D"/>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1B2C"/>
    <w:rsid w:val="0019322E"/>
    <w:rsid w:val="001A0D16"/>
    <w:rsid w:val="001A2E2C"/>
    <w:rsid w:val="001A3B91"/>
    <w:rsid w:val="001A3DF6"/>
    <w:rsid w:val="001A547C"/>
    <w:rsid w:val="001B163A"/>
    <w:rsid w:val="001C2EAC"/>
    <w:rsid w:val="001C54E1"/>
    <w:rsid w:val="001D0EE5"/>
    <w:rsid w:val="001E2A33"/>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1511"/>
    <w:rsid w:val="002B5EA3"/>
    <w:rsid w:val="002C223E"/>
    <w:rsid w:val="002C2D8E"/>
    <w:rsid w:val="002E1143"/>
    <w:rsid w:val="002E5C83"/>
    <w:rsid w:val="00302D47"/>
    <w:rsid w:val="003056FF"/>
    <w:rsid w:val="00314379"/>
    <w:rsid w:val="00322BC8"/>
    <w:rsid w:val="00325348"/>
    <w:rsid w:val="003264C6"/>
    <w:rsid w:val="003315BA"/>
    <w:rsid w:val="00340780"/>
    <w:rsid w:val="00361E13"/>
    <w:rsid w:val="003717A7"/>
    <w:rsid w:val="00375F49"/>
    <w:rsid w:val="00391DCB"/>
    <w:rsid w:val="003B48C3"/>
    <w:rsid w:val="003B5F94"/>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61865"/>
    <w:rsid w:val="00671660"/>
    <w:rsid w:val="00681173"/>
    <w:rsid w:val="0069567B"/>
    <w:rsid w:val="006A0102"/>
    <w:rsid w:val="006A0E81"/>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B7506"/>
    <w:rsid w:val="007C3FC8"/>
    <w:rsid w:val="007C7420"/>
    <w:rsid w:val="007D257E"/>
    <w:rsid w:val="007D26F2"/>
    <w:rsid w:val="007D5ABA"/>
    <w:rsid w:val="007E1FA9"/>
    <w:rsid w:val="007E3133"/>
    <w:rsid w:val="007E680A"/>
    <w:rsid w:val="007F2087"/>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76C9D"/>
    <w:rsid w:val="00891417"/>
    <w:rsid w:val="008A7229"/>
    <w:rsid w:val="008B5417"/>
    <w:rsid w:val="008B7F45"/>
    <w:rsid w:val="008C568D"/>
    <w:rsid w:val="008D70A0"/>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156C"/>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4ECE"/>
    <w:rsid w:val="00A45D8C"/>
    <w:rsid w:val="00A461C9"/>
    <w:rsid w:val="00A516BA"/>
    <w:rsid w:val="00A5189D"/>
    <w:rsid w:val="00A61837"/>
    <w:rsid w:val="00A62922"/>
    <w:rsid w:val="00A63273"/>
    <w:rsid w:val="00A6419C"/>
    <w:rsid w:val="00A6545F"/>
    <w:rsid w:val="00A70C53"/>
    <w:rsid w:val="00A850F4"/>
    <w:rsid w:val="00A8589B"/>
    <w:rsid w:val="00A86E0C"/>
    <w:rsid w:val="00A942D0"/>
    <w:rsid w:val="00A94392"/>
    <w:rsid w:val="00AA013E"/>
    <w:rsid w:val="00AA6A65"/>
    <w:rsid w:val="00AA7794"/>
    <w:rsid w:val="00AB2731"/>
    <w:rsid w:val="00AB44CE"/>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8389F"/>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21E0"/>
    <w:rsid w:val="00C6613A"/>
    <w:rsid w:val="00C67197"/>
    <w:rsid w:val="00C702B0"/>
    <w:rsid w:val="00C81554"/>
    <w:rsid w:val="00C835AD"/>
    <w:rsid w:val="00C86FC6"/>
    <w:rsid w:val="00C930BE"/>
    <w:rsid w:val="00CA1061"/>
    <w:rsid w:val="00CC0111"/>
    <w:rsid w:val="00CC0F3A"/>
    <w:rsid w:val="00CD0B7F"/>
    <w:rsid w:val="00CD7DDF"/>
    <w:rsid w:val="00CE1C88"/>
    <w:rsid w:val="00CE7E8F"/>
    <w:rsid w:val="00CF53A5"/>
    <w:rsid w:val="00CF7004"/>
    <w:rsid w:val="00D000EC"/>
    <w:rsid w:val="00D045B7"/>
    <w:rsid w:val="00D1301C"/>
    <w:rsid w:val="00D150FA"/>
    <w:rsid w:val="00D17527"/>
    <w:rsid w:val="00D50F1A"/>
    <w:rsid w:val="00D60BAB"/>
    <w:rsid w:val="00D616DF"/>
    <w:rsid w:val="00D67279"/>
    <w:rsid w:val="00D71455"/>
    <w:rsid w:val="00D918F7"/>
    <w:rsid w:val="00D91F08"/>
    <w:rsid w:val="00DA0054"/>
    <w:rsid w:val="00DA4321"/>
    <w:rsid w:val="00DA5128"/>
    <w:rsid w:val="00DC2273"/>
    <w:rsid w:val="00DD45FC"/>
    <w:rsid w:val="00DD73F7"/>
    <w:rsid w:val="00DE1D2A"/>
    <w:rsid w:val="00E024B6"/>
    <w:rsid w:val="00E02DC8"/>
    <w:rsid w:val="00E05FD0"/>
    <w:rsid w:val="00E26F06"/>
    <w:rsid w:val="00E341AD"/>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21536403">
      <w:bodyDiv w:val="1"/>
      <w:marLeft w:val="0"/>
      <w:marRight w:val="0"/>
      <w:marTop w:val="0"/>
      <w:marBottom w:val="0"/>
      <w:divBdr>
        <w:top w:val="none" w:sz="0" w:space="0" w:color="auto"/>
        <w:left w:val="none" w:sz="0" w:space="0" w:color="auto"/>
        <w:bottom w:val="none" w:sz="0" w:space="0" w:color="auto"/>
        <w:right w:val="none" w:sz="0" w:space="0" w:color="auto"/>
      </w:divBdr>
      <w:divsChild>
        <w:div w:id="1790247389">
          <w:marLeft w:val="0"/>
          <w:marRight w:val="0"/>
          <w:marTop w:val="0"/>
          <w:marBottom w:val="240"/>
          <w:divBdr>
            <w:top w:val="none" w:sz="0" w:space="0" w:color="auto"/>
            <w:left w:val="none" w:sz="0" w:space="0" w:color="auto"/>
            <w:bottom w:val="none" w:sz="0" w:space="0" w:color="auto"/>
            <w:right w:val="none" w:sz="0" w:space="0" w:color="auto"/>
          </w:divBdr>
        </w:div>
        <w:div w:id="2113358206">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339702135">
      <w:bodyDiv w:val="1"/>
      <w:marLeft w:val="0"/>
      <w:marRight w:val="0"/>
      <w:marTop w:val="0"/>
      <w:marBottom w:val="0"/>
      <w:divBdr>
        <w:top w:val="none" w:sz="0" w:space="0" w:color="auto"/>
        <w:left w:val="none" w:sz="0" w:space="0" w:color="auto"/>
        <w:bottom w:val="none" w:sz="0" w:space="0" w:color="auto"/>
        <w:right w:val="none" w:sz="0" w:space="0" w:color="auto"/>
      </w:divBdr>
      <w:divsChild>
        <w:div w:id="835612653">
          <w:marLeft w:val="0"/>
          <w:marRight w:val="0"/>
          <w:marTop w:val="0"/>
          <w:marBottom w:val="240"/>
          <w:divBdr>
            <w:top w:val="none" w:sz="0" w:space="0" w:color="auto"/>
            <w:left w:val="none" w:sz="0" w:space="0" w:color="auto"/>
            <w:bottom w:val="none" w:sz="0" w:space="0" w:color="auto"/>
            <w:right w:val="none" w:sz="0" w:space="0" w:color="auto"/>
          </w:divBdr>
        </w:div>
        <w:div w:id="2032995416">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693270515">
      <w:bodyDiv w:val="1"/>
      <w:marLeft w:val="0"/>
      <w:marRight w:val="0"/>
      <w:marTop w:val="0"/>
      <w:marBottom w:val="0"/>
      <w:divBdr>
        <w:top w:val="none" w:sz="0" w:space="0" w:color="auto"/>
        <w:left w:val="none" w:sz="0" w:space="0" w:color="auto"/>
        <w:bottom w:val="none" w:sz="0" w:space="0" w:color="auto"/>
        <w:right w:val="none" w:sz="0" w:space="0" w:color="auto"/>
      </w:divBdr>
      <w:divsChild>
        <w:div w:id="1114666193">
          <w:marLeft w:val="0"/>
          <w:marRight w:val="0"/>
          <w:marTop w:val="0"/>
          <w:marBottom w:val="240"/>
          <w:divBdr>
            <w:top w:val="none" w:sz="0" w:space="0" w:color="auto"/>
            <w:left w:val="none" w:sz="0" w:space="0" w:color="auto"/>
            <w:bottom w:val="none" w:sz="0" w:space="0" w:color="auto"/>
            <w:right w:val="none" w:sz="0" w:space="0" w:color="auto"/>
          </w:divBdr>
        </w:div>
        <w:div w:id="619144787">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24833785">
      <w:bodyDiv w:val="1"/>
      <w:marLeft w:val="0"/>
      <w:marRight w:val="0"/>
      <w:marTop w:val="0"/>
      <w:marBottom w:val="0"/>
      <w:divBdr>
        <w:top w:val="none" w:sz="0" w:space="0" w:color="auto"/>
        <w:left w:val="none" w:sz="0" w:space="0" w:color="auto"/>
        <w:bottom w:val="none" w:sz="0" w:space="0" w:color="auto"/>
        <w:right w:val="none" w:sz="0" w:space="0" w:color="auto"/>
      </w:divBdr>
      <w:divsChild>
        <w:div w:id="1755517580">
          <w:marLeft w:val="0"/>
          <w:marRight w:val="0"/>
          <w:marTop w:val="0"/>
          <w:marBottom w:val="240"/>
          <w:divBdr>
            <w:top w:val="none" w:sz="0" w:space="0" w:color="auto"/>
            <w:left w:val="none" w:sz="0" w:space="0" w:color="auto"/>
            <w:bottom w:val="none" w:sz="0" w:space="0" w:color="auto"/>
            <w:right w:val="none" w:sz="0" w:space="0" w:color="auto"/>
          </w:divBdr>
        </w:div>
        <w:div w:id="250508778">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897202928">
      <w:bodyDiv w:val="1"/>
      <w:marLeft w:val="0"/>
      <w:marRight w:val="0"/>
      <w:marTop w:val="0"/>
      <w:marBottom w:val="0"/>
      <w:divBdr>
        <w:top w:val="none" w:sz="0" w:space="0" w:color="auto"/>
        <w:left w:val="none" w:sz="0" w:space="0" w:color="auto"/>
        <w:bottom w:val="none" w:sz="0" w:space="0" w:color="auto"/>
        <w:right w:val="none" w:sz="0" w:space="0" w:color="auto"/>
      </w:divBdr>
      <w:divsChild>
        <w:div w:id="217590828">
          <w:marLeft w:val="0"/>
          <w:marRight w:val="0"/>
          <w:marTop w:val="0"/>
          <w:marBottom w:val="0"/>
          <w:divBdr>
            <w:top w:val="none" w:sz="0" w:space="0" w:color="auto"/>
            <w:left w:val="none" w:sz="0" w:space="0" w:color="auto"/>
            <w:bottom w:val="none" w:sz="0" w:space="0" w:color="auto"/>
            <w:right w:val="none" w:sz="0" w:space="0" w:color="auto"/>
          </w:divBdr>
          <w:divsChild>
            <w:div w:id="1196890754">
              <w:marLeft w:val="0"/>
              <w:marRight w:val="0"/>
              <w:marTop w:val="0"/>
              <w:marBottom w:val="240"/>
              <w:divBdr>
                <w:top w:val="none" w:sz="0" w:space="0" w:color="auto"/>
                <w:left w:val="none" w:sz="0" w:space="0" w:color="auto"/>
                <w:bottom w:val="none" w:sz="0" w:space="0" w:color="auto"/>
                <w:right w:val="none" w:sz="0" w:space="0" w:color="auto"/>
              </w:divBdr>
            </w:div>
            <w:div w:id="52195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865931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201">
          <w:marLeft w:val="0"/>
          <w:marRight w:val="0"/>
          <w:marTop w:val="0"/>
          <w:marBottom w:val="240"/>
          <w:divBdr>
            <w:top w:val="none" w:sz="0" w:space="0" w:color="auto"/>
            <w:left w:val="none" w:sz="0" w:space="0" w:color="auto"/>
            <w:bottom w:val="none" w:sz="0" w:space="0" w:color="auto"/>
            <w:right w:val="none" w:sz="0" w:space="0" w:color="auto"/>
          </w:divBdr>
        </w:div>
        <w:div w:id="748112249">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3068315">
      <w:bodyDiv w:val="1"/>
      <w:marLeft w:val="0"/>
      <w:marRight w:val="0"/>
      <w:marTop w:val="0"/>
      <w:marBottom w:val="0"/>
      <w:divBdr>
        <w:top w:val="none" w:sz="0" w:space="0" w:color="auto"/>
        <w:left w:val="none" w:sz="0" w:space="0" w:color="auto"/>
        <w:bottom w:val="none" w:sz="0" w:space="0" w:color="auto"/>
        <w:right w:val="none" w:sz="0" w:space="0" w:color="auto"/>
      </w:divBdr>
      <w:divsChild>
        <w:div w:id="1439253367">
          <w:marLeft w:val="0"/>
          <w:marRight w:val="0"/>
          <w:marTop w:val="0"/>
          <w:marBottom w:val="240"/>
          <w:divBdr>
            <w:top w:val="none" w:sz="0" w:space="0" w:color="auto"/>
            <w:left w:val="none" w:sz="0" w:space="0" w:color="auto"/>
            <w:bottom w:val="none" w:sz="0" w:space="0" w:color="auto"/>
            <w:right w:val="none" w:sz="0" w:space="0" w:color="auto"/>
          </w:divBdr>
        </w:div>
        <w:div w:id="993097107">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05986086">
      <w:bodyDiv w:val="1"/>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240"/>
          <w:divBdr>
            <w:top w:val="none" w:sz="0" w:space="0" w:color="auto"/>
            <w:left w:val="none" w:sz="0" w:space="0" w:color="auto"/>
            <w:bottom w:val="none" w:sz="0" w:space="0" w:color="auto"/>
            <w:right w:val="none" w:sz="0" w:space="0" w:color="auto"/>
          </w:divBdr>
        </w:div>
        <w:div w:id="80952810">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SB504" TargetMode="External"/><Relationship Id="rId13" Type="http://schemas.openxmlformats.org/officeDocument/2006/relationships/hyperlink" Target="https://ctweb.capitoltrack.com/public/publishbillinfo.aspx?bi=doXdRpJk50l%2Fq%2BUZPFGZxBfuDu1VbFrgr4doUQlHVEkmziFqaA4ZvNWHM8jh1Qd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nfo.legislature.ca.gov/faces/billNavClient.xhtml?bill_id=202320240AB26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info.legislature.ca.gov/faces/billNavClient.xhtml?bill_id=202320240AB6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TextClient.xhtml?bill_id=202320240SB504" TargetMode="External"/><Relationship Id="rId5" Type="http://schemas.openxmlformats.org/officeDocument/2006/relationships/webSettings" Target="webSettings.xml"/><Relationship Id="rId15" Type="http://schemas.openxmlformats.org/officeDocument/2006/relationships/hyperlink" Target="http://sd19.senate.ca.gov/" TargetMode="External"/><Relationship Id="rId10" Type="http://schemas.openxmlformats.org/officeDocument/2006/relationships/hyperlink" Target="https://leginfo.legislature.ca.gov/faces/billTextClient.xhtml?bill_id=202320240SB57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info.legislature.ca.gov/faces/billTextClient.xhtml?bill_id=202320240AB3150" TargetMode="External"/><Relationship Id="rId14" Type="http://schemas.openxmlformats.org/officeDocument/2006/relationships/hyperlink" Target="https://leginfo.legislature.ca.gov/faces/billTextClient.xhtml?bill_id=202320240AB22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22</TotalTime>
  <Pages>4</Pages>
  <Words>1287</Words>
  <Characters>8286</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9554</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Hannigan, Edith@BOF</cp:lastModifiedBy>
  <cp:revision>7</cp:revision>
  <cp:lastPrinted>2022-03-30T20:19:00Z</cp:lastPrinted>
  <dcterms:created xsi:type="dcterms:W3CDTF">2024-04-03T20:15:00Z</dcterms:created>
  <dcterms:modified xsi:type="dcterms:W3CDTF">2024-04-08T18:13:00Z</dcterms:modified>
</cp:coreProperties>
</file>