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64CE" w14:textId="77777777" w:rsidR="00F20E26" w:rsidRDefault="00F20E26" w:rsidP="00F20E26">
      <w:pPr>
        <w:rPr>
          <w:color w:val="FFFFFF" w:themeColor="background1"/>
        </w:rPr>
      </w:pPr>
      <w:bookmarkStart w:id="0" w:name="_Toc11743275"/>
      <w:bookmarkStart w:id="1" w:name="_GoBack"/>
      <w:bookmarkEnd w:id="1"/>
      <w:r>
        <w:rPr>
          <w:color w:val="FFFFFF" w:themeColor="background1"/>
        </w:rPr>
        <w:t>Please adjust your screen reader settings to recognize underline and strikethrough text.</w:t>
      </w:r>
    </w:p>
    <w:p w14:paraId="46062226" w14:textId="1BF4C77F" w:rsidR="00BE2039" w:rsidRDefault="00C57B8B" w:rsidP="00C57B8B">
      <w:pPr>
        <w:pStyle w:val="Heading2"/>
      </w:pPr>
      <w:r w:rsidRPr="00C57B8B">
        <w:t>Agriculture and Forestry Resources</w:t>
      </w:r>
      <w:bookmarkEnd w:id="0"/>
    </w:p>
    <w:p w14:paraId="552DDA47" w14:textId="214A1AD7" w:rsidR="00E57767" w:rsidRDefault="002F3DEE" w:rsidP="00F95AD2">
      <w:pPr>
        <w:pStyle w:val="BodyText"/>
        <w:rPr>
          <w:spacing w:val="-2"/>
        </w:rPr>
      </w:pPr>
      <w:r>
        <w:t>This section describes existing agricultur</w:t>
      </w:r>
      <w:r w:rsidR="00D47490">
        <w:t>e</w:t>
      </w:r>
      <w:r>
        <w:t xml:space="preserve"> </w:t>
      </w:r>
      <w:r w:rsidR="00C504AF">
        <w:t xml:space="preserve">and forestry </w:t>
      </w:r>
      <w:r>
        <w:t xml:space="preserve">resources within the </w:t>
      </w:r>
      <w:r w:rsidR="00C504AF">
        <w:t xml:space="preserve">treatable landscape, including identification of any Prime Farmland, Unique Farmland, Farmland of Statewide Importance, </w:t>
      </w:r>
      <w:r w:rsidR="00FF0F82">
        <w:t xml:space="preserve">timberland, and forest land. </w:t>
      </w:r>
      <w:r w:rsidR="00CA7FA1" w:rsidRPr="00C33898">
        <w:rPr>
          <w:spacing w:val="-2"/>
        </w:rPr>
        <w:t>The analysis includes a description of the existing environmental conditions</w:t>
      </w:r>
      <w:r w:rsidR="00D47490">
        <w:rPr>
          <w:spacing w:val="-2"/>
        </w:rPr>
        <w:t xml:space="preserve"> including applicable regulatory requirements</w:t>
      </w:r>
      <w:r w:rsidR="00CA7FA1" w:rsidRPr="00C33898">
        <w:rPr>
          <w:spacing w:val="-2"/>
        </w:rPr>
        <w:t>, the methods used for assessment,</w:t>
      </w:r>
      <w:r w:rsidR="000C7CB0">
        <w:rPr>
          <w:spacing w:val="-2"/>
        </w:rPr>
        <w:t xml:space="preserve"> and</w:t>
      </w:r>
      <w:r w:rsidR="00CA7FA1" w:rsidRPr="00C33898">
        <w:rPr>
          <w:spacing w:val="-2"/>
        </w:rPr>
        <w:t xml:space="preserve"> the potential direct and indirect impacts of </w:t>
      </w:r>
      <w:r w:rsidR="00D47490">
        <w:rPr>
          <w:spacing w:val="-2"/>
        </w:rPr>
        <w:t>program</w:t>
      </w:r>
      <w:r w:rsidR="00D47490" w:rsidRPr="00C33898">
        <w:rPr>
          <w:spacing w:val="-2"/>
        </w:rPr>
        <w:t xml:space="preserve"> </w:t>
      </w:r>
      <w:r w:rsidR="00CA7FA1" w:rsidRPr="00C33898">
        <w:rPr>
          <w:spacing w:val="-2"/>
        </w:rPr>
        <w:t>implementation</w:t>
      </w:r>
      <w:r w:rsidR="00CA7FA1">
        <w:rPr>
          <w:spacing w:val="-2"/>
        </w:rPr>
        <w:t xml:space="preserve"> on agricultur</w:t>
      </w:r>
      <w:r w:rsidR="00D47490">
        <w:rPr>
          <w:spacing w:val="-2"/>
        </w:rPr>
        <w:t>e</w:t>
      </w:r>
      <w:r w:rsidR="00CA7FA1">
        <w:rPr>
          <w:spacing w:val="-2"/>
        </w:rPr>
        <w:t xml:space="preserve"> and forestry resources. </w:t>
      </w:r>
    </w:p>
    <w:p w14:paraId="7D720C05" w14:textId="76B99AE1" w:rsidR="00D5726A" w:rsidRPr="00732A05" w:rsidRDefault="00D5726A" w:rsidP="009A76B2">
      <w:pPr>
        <w:pStyle w:val="BodyText"/>
        <w:rPr>
          <w:spacing w:val="-3"/>
        </w:rPr>
      </w:pPr>
      <w:bookmarkStart w:id="2" w:name="_Hlk3031701"/>
      <w:r w:rsidRPr="00732A05">
        <w:rPr>
          <w:spacing w:val="-3"/>
        </w:rPr>
        <w:t xml:space="preserve">No comments received on the Notice of Preparation were related to agriculture and forestry resources (see Appendix A). </w:t>
      </w:r>
    </w:p>
    <w:bookmarkEnd w:id="2"/>
    <w:p w14:paraId="5F289792" w14:textId="00C5C5BC" w:rsidR="00DF2BED" w:rsidRDefault="00DF2BED" w:rsidP="00DF2BED">
      <w:pPr>
        <w:pStyle w:val="Heading3"/>
      </w:pPr>
      <w:r>
        <w:t>Environmental Setting</w:t>
      </w:r>
    </w:p>
    <w:p w14:paraId="4FDBD53C" w14:textId="65BE370D" w:rsidR="00B4677C" w:rsidRDefault="00C55CF8" w:rsidP="00C55CF8">
      <w:pPr>
        <w:pStyle w:val="Heading4"/>
      </w:pPr>
      <w:r>
        <w:t>Farmland Classifications</w:t>
      </w:r>
    </w:p>
    <w:p w14:paraId="5C56B4FC" w14:textId="57E249FE" w:rsidR="00803E31" w:rsidRDefault="00803E31" w:rsidP="00803E31">
      <w:pPr>
        <w:pStyle w:val="Heading5"/>
      </w:pPr>
      <w:r>
        <w:t>California Wildlife Habitat Relation</w:t>
      </w:r>
      <w:r w:rsidR="00D5287A">
        <w:t xml:space="preserve"> System Agricultural Designations</w:t>
      </w:r>
    </w:p>
    <w:p w14:paraId="24DAB44E" w14:textId="61917CA4" w:rsidR="004507C8" w:rsidRPr="00803E31" w:rsidRDefault="00803E31" w:rsidP="00803E31">
      <w:pPr>
        <w:pStyle w:val="BodyText"/>
      </w:pPr>
      <w:r>
        <w:t xml:space="preserve">The </w:t>
      </w:r>
      <w:r w:rsidRPr="009E37A5">
        <w:t>California Wildlife Habitat Relation (WHR)</w:t>
      </w:r>
      <w:r w:rsidRPr="00803E31">
        <w:t xml:space="preserve"> </w:t>
      </w:r>
      <w:r w:rsidRPr="005E376E">
        <w:t xml:space="preserve">system, managed by </w:t>
      </w:r>
      <w:r>
        <w:t>California Department of Fish and Wildlife</w:t>
      </w:r>
      <w:r w:rsidRPr="005E376E">
        <w:t xml:space="preserve">, is a system </w:t>
      </w:r>
      <w:r>
        <w:t xml:space="preserve">that </w:t>
      </w:r>
      <w:r w:rsidRPr="005E376E">
        <w:t>classifies vegetation types</w:t>
      </w:r>
      <w:r>
        <w:t xml:space="preserve">. WHR was </w:t>
      </w:r>
      <w:r w:rsidRPr="005E376E">
        <w:t>developed to recognize and logically categorize major vegetative complexes at a scale sufficient to predict wildlife-habitat relationships.</w:t>
      </w:r>
      <w:r>
        <w:t xml:space="preserve"> There </w:t>
      </w:r>
      <w:proofErr w:type="gramStart"/>
      <w:r>
        <w:t>are</w:t>
      </w:r>
      <w:proofErr w:type="gramEnd"/>
      <w:r>
        <w:t xml:space="preserve"> a total of 59 habitat types identified by the WHR system</w:t>
      </w:r>
      <w:r w:rsidR="00165CA4">
        <w:t>,</w:t>
      </w:r>
      <w:r>
        <w:t xml:space="preserve"> including </w:t>
      </w:r>
      <w:r w:rsidR="00D47490">
        <w:t xml:space="preserve">10 </w:t>
      </w:r>
      <w:r>
        <w:t>agricultural land</w:t>
      </w:r>
      <w:r w:rsidR="004E25B5">
        <w:t xml:space="preserve"> habitats</w:t>
      </w:r>
      <w:r w:rsidR="00AB6D00">
        <w:t xml:space="preserve"> (CDFW 2018)</w:t>
      </w:r>
      <w:r>
        <w:t xml:space="preserve">. As discussed in Chapter 2, “Program Description,” of this </w:t>
      </w:r>
      <w:r w:rsidR="004E25B5">
        <w:t>PEIR</w:t>
      </w:r>
      <w:r w:rsidR="00165CA4">
        <w:t>,</w:t>
      </w:r>
      <w:r w:rsidR="000D2CE9">
        <w:t xml:space="preserve"> the treatable vegetation</w:t>
      </w:r>
      <w:r w:rsidR="00486255">
        <w:t xml:space="preserve"> types were selected based on similar fire characteristics and</w:t>
      </w:r>
      <w:r w:rsidR="0012059C">
        <w:t xml:space="preserve"> </w:t>
      </w:r>
      <w:r w:rsidR="00077D79">
        <w:t>include tree-dominated, shrub-dominated, and herb-</w:t>
      </w:r>
      <w:r w:rsidR="00077D79" w:rsidRPr="00582445">
        <w:t>dominated</w:t>
      </w:r>
      <w:r w:rsidR="00486255">
        <w:t xml:space="preserve"> habitat types. </w:t>
      </w:r>
      <w:r w:rsidR="004507C8">
        <w:t xml:space="preserve">The </w:t>
      </w:r>
      <w:r w:rsidR="00E3662E">
        <w:t xml:space="preserve">WHR </w:t>
      </w:r>
      <w:r w:rsidR="00077D79">
        <w:t xml:space="preserve">agricultural </w:t>
      </w:r>
      <w:r w:rsidR="004507C8">
        <w:t>habitat types were excluded from the treatable landscape</w:t>
      </w:r>
      <w:r w:rsidR="00E3662E">
        <w:t>,</w:t>
      </w:r>
      <w:r w:rsidR="00CC63FA">
        <w:t xml:space="preserve"> </w:t>
      </w:r>
      <w:r w:rsidR="00CC63FA">
        <w:rPr>
          <w:color w:val="000000"/>
        </w:rPr>
        <w:t>because the</w:t>
      </w:r>
      <w:r w:rsidR="00486255">
        <w:rPr>
          <w:color w:val="000000"/>
        </w:rPr>
        <w:t>ir</w:t>
      </w:r>
      <w:r w:rsidR="00CC63FA">
        <w:rPr>
          <w:color w:val="000000"/>
        </w:rPr>
        <w:t xml:space="preserve"> wildfire risks </w:t>
      </w:r>
      <w:r w:rsidR="00E3662E">
        <w:rPr>
          <w:color w:val="000000"/>
        </w:rPr>
        <w:t xml:space="preserve">in agricultural lands </w:t>
      </w:r>
      <w:r w:rsidR="00CC63FA">
        <w:rPr>
          <w:color w:val="000000"/>
        </w:rPr>
        <w:t>are considered negligible</w:t>
      </w:r>
      <w:r w:rsidR="00E3662E">
        <w:rPr>
          <w:color w:val="000000"/>
        </w:rPr>
        <w:t xml:space="preserve"> by CAL FIRE</w:t>
      </w:r>
      <w:r w:rsidR="004507C8">
        <w:t xml:space="preserve">. </w:t>
      </w:r>
    </w:p>
    <w:p w14:paraId="682440F7" w14:textId="50E824C7" w:rsidR="00B063AF" w:rsidRDefault="00803E31" w:rsidP="00803E31">
      <w:pPr>
        <w:pStyle w:val="Heading5"/>
      </w:pPr>
      <w:r>
        <w:t>Farmland Mapping and Monitoring Program</w:t>
      </w:r>
      <w:r w:rsidR="005F52E8">
        <w:t xml:space="preserve"> </w:t>
      </w:r>
      <w:r w:rsidR="00193A58">
        <w:t>Agricultural Classifications</w:t>
      </w:r>
    </w:p>
    <w:p w14:paraId="27D057FE" w14:textId="7F7289FA" w:rsidR="00422DFA" w:rsidRPr="00422DFA" w:rsidRDefault="00423683" w:rsidP="00422DFA">
      <w:pPr>
        <w:pStyle w:val="BodyText"/>
      </w:pPr>
      <w:r>
        <w:t xml:space="preserve">The </w:t>
      </w:r>
      <w:r w:rsidRPr="00423683">
        <w:t>California Department of Conservation (DOC) Farmland Mapping and Monitoring Program (FMMP)</w:t>
      </w:r>
      <w:r w:rsidR="00AE5C14">
        <w:t xml:space="preserve"> </w:t>
      </w:r>
      <w:r w:rsidR="00617A5F">
        <w:t>prepares maps a</w:t>
      </w:r>
      <w:r>
        <w:t xml:space="preserve">nd statistical data for </w:t>
      </w:r>
      <w:r w:rsidRPr="00423683">
        <w:t xml:space="preserve">analyzing </w:t>
      </w:r>
      <w:r w:rsidR="00AE5C14">
        <w:t xml:space="preserve">land use </w:t>
      </w:r>
      <w:r w:rsidRPr="00423683">
        <w:t>impacts on California’s agricultural resources</w:t>
      </w:r>
      <w:r>
        <w:t>. The FMMP</w:t>
      </w:r>
      <w:r w:rsidR="00AE5C14">
        <w:t xml:space="preserve"> categorizes agricultural production potential</w:t>
      </w:r>
      <w:r w:rsidR="00E26AA0">
        <w:t xml:space="preserve"> based on </w:t>
      </w:r>
      <w:r w:rsidR="00E26AA0" w:rsidRPr="00E26AA0">
        <w:t>a combination of physical and chemical characteristics of the soil and climate that determine the degree of suitability of the land for crop production.</w:t>
      </w:r>
      <w:r w:rsidR="00843EAE">
        <w:t xml:space="preserve"> FMMP updates </w:t>
      </w:r>
      <w:r w:rsidR="00321D6A">
        <w:t xml:space="preserve">the agricultural </w:t>
      </w:r>
      <w:r w:rsidR="00843EAE">
        <w:t>data and maps for each county every two years</w:t>
      </w:r>
      <w:r w:rsidR="00321D6A">
        <w:t xml:space="preserve">. The most recent update occurred in 2016. The </w:t>
      </w:r>
      <w:r w:rsidR="00621855">
        <w:t xml:space="preserve">farmland </w:t>
      </w:r>
      <w:r w:rsidR="00AE5C14">
        <w:t>classifications</w:t>
      </w:r>
      <w:r w:rsidR="00321D6A">
        <w:t xml:space="preserve"> under FMMP </w:t>
      </w:r>
      <w:r w:rsidR="00202CB3">
        <w:t xml:space="preserve">are </w:t>
      </w:r>
      <w:r w:rsidR="00321D6A">
        <w:t>as follows</w:t>
      </w:r>
      <w:r w:rsidR="00AE5C14">
        <w:t>:</w:t>
      </w:r>
    </w:p>
    <w:p w14:paraId="7ECC82DC" w14:textId="0F0291D6" w:rsidR="00422DFA" w:rsidRPr="00422DFA" w:rsidRDefault="00422DFA" w:rsidP="00422DFA">
      <w:pPr>
        <w:pStyle w:val="Bullet1"/>
      </w:pPr>
      <w:r>
        <w:t xml:space="preserve">Prime Farmland: </w:t>
      </w:r>
      <w:r w:rsidRPr="00422DFA">
        <w:t>land that has the best combination of features for the production of agricultural crops</w:t>
      </w:r>
      <w:r w:rsidR="00F40F0C">
        <w:t>;</w:t>
      </w:r>
    </w:p>
    <w:p w14:paraId="596488A5" w14:textId="10A84AE5" w:rsidR="00422DFA" w:rsidRPr="00422DFA" w:rsidRDefault="00422DFA" w:rsidP="00422DFA">
      <w:pPr>
        <w:pStyle w:val="Bullet1"/>
      </w:pPr>
      <w:r w:rsidRPr="00422DFA">
        <w:t>F</w:t>
      </w:r>
      <w:r>
        <w:t xml:space="preserve">armland of Statewide Importance: </w:t>
      </w:r>
      <w:r w:rsidRPr="00422DFA">
        <w:t>land other than Prime Farmland that has a good combination of physical and chemical features for the production of agricultural crops but that has more limitations than Prime Farmland, such as greater slopes or less ability to store soil moisture;</w:t>
      </w:r>
    </w:p>
    <w:p w14:paraId="0017CB27" w14:textId="666AE74E" w:rsidR="00422DFA" w:rsidRPr="00422DFA" w:rsidRDefault="00422DFA" w:rsidP="00422DFA">
      <w:pPr>
        <w:pStyle w:val="Bullet1"/>
      </w:pPr>
      <w:r>
        <w:t xml:space="preserve">Unique Farmland: </w:t>
      </w:r>
      <w:r w:rsidRPr="00422DFA">
        <w:t xml:space="preserve">land of lesser quality soils used for the production of the state’s leading agricultural cash crops; </w:t>
      </w:r>
    </w:p>
    <w:p w14:paraId="28A9CE45" w14:textId="59FC6DED" w:rsidR="00732149" w:rsidRPr="00732149" w:rsidRDefault="00422DFA" w:rsidP="00732149">
      <w:pPr>
        <w:pStyle w:val="Bullet1"/>
      </w:pPr>
      <w:r>
        <w:t xml:space="preserve">Farmland of Local Importance: </w:t>
      </w:r>
      <w:r w:rsidRPr="00422DFA">
        <w:t xml:space="preserve">land of importance to the local agricultural economy; </w:t>
      </w:r>
      <w:r w:rsidR="00BE7F3E">
        <w:t>or</w:t>
      </w:r>
    </w:p>
    <w:p w14:paraId="5F715A83" w14:textId="073F5282" w:rsidR="00732149" w:rsidRPr="00732149" w:rsidRDefault="00732149" w:rsidP="00732149">
      <w:pPr>
        <w:pStyle w:val="Bullet1"/>
      </w:pPr>
      <w:r>
        <w:t xml:space="preserve">Grazing Land: </w:t>
      </w:r>
      <w:r w:rsidRPr="00732149">
        <w:t>existing vegetation that is suitable for grazing</w:t>
      </w:r>
      <w:r w:rsidR="00BE7F3E">
        <w:t>.</w:t>
      </w:r>
    </w:p>
    <w:p w14:paraId="2B45CFE0" w14:textId="4DBDC9A0" w:rsidR="00422DFA" w:rsidRDefault="006C32D0" w:rsidP="00BE7F3E">
      <w:pPr>
        <w:keepNext/>
        <w:spacing w:after="120"/>
      </w:pPr>
      <w:r>
        <w:lastRenderedPageBreak/>
        <w:t xml:space="preserve">Table 3.3-1 includes the approximate acreages of </w:t>
      </w:r>
      <w:r w:rsidR="00B760D3">
        <w:t xml:space="preserve">each </w:t>
      </w:r>
      <w:r>
        <w:t xml:space="preserve">farmland </w:t>
      </w:r>
      <w:r w:rsidR="00B760D3">
        <w:t xml:space="preserve">type </w:t>
      </w:r>
      <w:r w:rsidR="006B6F89">
        <w:t xml:space="preserve">located </w:t>
      </w:r>
      <w:r>
        <w:t xml:space="preserve">within the </w:t>
      </w:r>
      <w:r w:rsidR="0088454E">
        <w:t>treatable landscape</w:t>
      </w:r>
      <w:r w:rsidR="00FB0CA6">
        <w:t xml:space="preserve"> organized by County</w:t>
      </w:r>
      <w:r w:rsidR="003231CF">
        <w:t>.</w:t>
      </w:r>
    </w:p>
    <w:p w14:paraId="04ECDDB0" w14:textId="2BBC0582" w:rsidR="00EA5ED8" w:rsidRDefault="00EA5ED8" w:rsidP="00EA5ED8">
      <w:pPr>
        <w:pStyle w:val="TableHeader"/>
      </w:pPr>
      <w:bookmarkStart w:id="3" w:name="_Toc23834182"/>
      <w:r>
        <w:t>Table 3.3-1</w:t>
      </w:r>
      <w:r>
        <w:tab/>
        <w:t>Agricultural Land within the Treatable Landscape by County (acres)</w:t>
      </w:r>
      <w:bookmarkEnd w:id="3"/>
    </w:p>
    <w:tbl>
      <w:tblPr>
        <w:tblStyle w:val="TableGrid"/>
        <w:tblW w:w="10080" w:type="dxa"/>
        <w:jc w:val="center"/>
        <w:tblBorders>
          <w:top w:val="none" w:sz="0" w:space="0" w:color="auto"/>
          <w:left w:val="none" w:sz="0" w:space="0" w:color="auto"/>
          <w:right w:val="none" w:sz="0" w:space="0" w:color="auto"/>
        </w:tblBorders>
        <w:tblLayout w:type="fixed"/>
        <w:tblCellMar>
          <w:top w:w="43" w:type="dxa"/>
          <w:left w:w="115" w:type="dxa"/>
          <w:bottom w:w="29" w:type="dxa"/>
          <w:right w:w="115" w:type="dxa"/>
        </w:tblCellMar>
        <w:tblLook w:val="04A0" w:firstRow="1" w:lastRow="0" w:firstColumn="1" w:lastColumn="0" w:noHBand="0" w:noVBand="1"/>
      </w:tblPr>
      <w:tblGrid>
        <w:gridCol w:w="1597"/>
        <w:gridCol w:w="1602"/>
        <w:gridCol w:w="2073"/>
        <w:gridCol w:w="1603"/>
        <w:gridCol w:w="1697"/>
        <w:gridCol w:w="1508"/>
      </w:tblGrid>
      <w:tr w:rsidR="00415C0B" w14:paraId="6773C49E" w14:textId="77777777" w:rsidTr="00EA5ED8">
        <w:trPr>
          <w:tblHeader/>
          <w:jc w:val="center"/>
        </w:trPr>
        <w:tc>
          <w:tcPr>
            <w:tcW w:w="1597" w:type="dxa"/>
            <w:tcBorders>
              <w:top w:val="single" w:sz="4" w:space="0" w:color="auto"/>
            </w:tcBorders>
            <w:shd w:val="clear" w:color="auto" w:fill="D9D9D9" w:themeFill="background1" w:themeFillShade="D9"/>
            <w:vAlign w:val="center"/>
          </w:tcPr>
          <w:p w14:paraId="25FF64A0" w14:textId="584614E8" w:rsidR="00415C0B" w:rsidRDefault="00415C0B" w:rsidP="00B447F8">
            <w:pPr>
              <w:pStyle w:val="TableColumn"/>
              <w:keepNext/>
            </w:pPr>
            <w:bookmarkStart w:id="4" w:name="OLE_LINK1"/>
            <w:r>
              <w:t>County</w:t>
            </w:r>
          </w:p>
        </w:tc>
        <w:tc>
          <w:tcPr>
            <w:tcW w:w="1602" w:type="dxa"/>
            <w:tcBorders>
              <w:top w:val="single" w:sz="4" w:space="0" w:color="auto"/>
            </w:tcBorders>
            <w:shd w:val="clear" w:color="auto" w:fill="D9D9D9" w:themeFill="background1" w:themeFillShade="D9"/>
            <w:vAlign w:val="center"/>
          </w:tcPr>
          <w:p w14:paraId="51C41F32" w14:textId="46B39E1B" w:rsidR="00415C0B" w:rsidRDefault="00415C0B" w:rsidP="00B447F8">
            <w:pPr>
              <w:pStyle w:val="TableColumn"/>
            </w:pPr>
            <w:r>
              <w:t>Prime Farmland</w:t>
            </w:r>
          </w:p>
        </w:tc>
        <w:tc>
          <w:tcPr>
            <w:tcW w:w="2073" w:type="dxa"/>
            <w:tcBorders>
              <w:top w:val="single" w:sz="4" w:space="0" w:color="auto"/>
            </w:tcBorders>
            <w:shd w:val="clear" w:color="auto" w:fill="D9D9D9" w:themeFill="background1" w:themeFillShade="D9"/>
            <w:vAlign w:val="center"/>
          </w:tcPr>
          <w:p w14:paraId="6BEDAF88" w14:textId="74F5DF9F" w:rsidR="00415C0B" w:rsidRDefault="00415C0B" w:rsidP="00B447F8">
            <w:pPr>
              <w:pStyle w:val="TableColumn"/>
            </w:pPr>
            <w:r>
              <w:t>Farmland of Statewide Importance</w:t>
            </w:r>
          </w:p>
        </w:tc>
        <w:tc>
          <w:tcPr>
            <w:tcW w:w="1603" w:type="dxa"/>
            <w:tcBorders>
              <w:top w:val="single" w:sz="4" w:space="0" w:color="auto"/>
            </w:tcBorders>
            <w:shd w:val="clear" w:color="auto" w:fill="D9D9D9" w:themeFill="background1" w:themeFillShade="D9"/>
            <w:vAlign w:val="center"/>
          </w:tcPr>
          <w:p w14:paraId="1873E39A" w14:textId="638CACA6" w:rsidR="00415C0B" w:rsidRDefault="00415C0B" w:rsidP="00B447F8">
            <w:pPr>
              <w:pStyle w:val="TableColumn"/>
            </w:pPr>
            <w:r>
              <w:t>Unique Farmland</w:t>
            </w:r>
          </w:p>
        </w:tc>
        <w:tc>
          <w:tcPr>
            <w:tcW w:w="1697" w:type="dxa"/>
            <w:tcBorders>
              <w:top w:val="single" w:sz="4" w:space="0" w:color="auto"/>
            </w:tcBorders>
            <w:shd w:val="clear" w:color="auto" w:fill="D9D9D9" w:themeFill="background1" w:themeFillShade="D9"/>
            <w:vAlign w:val="center"/>
          </w:tcPr>
          <w:p w14:paraId="30EF53B4" w14:textId="386E0813" w:rsidR="00415C0B" w:rsidRDefault="00415C0B" w:rsidP="00B447F8">
            <w:pPr>
              <w:pStyle w:val="TableColumn"/>
            </w:pPr>
            <w:r>
              <w:t>Farmland of Local Importance</w:t>
            </w:r>
          </w:p>
        </w:tc>
        <w:tc>
          <w:tcPr>
            <w:tcW w:w="1508" w:type="dxa"/>
            <w:tcBorders>
              <w:top w:val="single" w:sz="4" w:space="0" w:color="auto"/>
            </w:tcBorders>
            <w:shd w:val="clear" w:color="auto" w:fill="D9D9D9" w:themeFill="background1" w:themeFillShade="D9"/>
            <w:vAlign w:val="center"/>
          </w:tcPr>
          <w:p w14:paraId="686AE22D" w14:textId="411E8C0B" w:rsidR="00415C0B" w:rsidRDefault="00415C0B" w:rsidP="00B447F8">
            <w:pPr>
              <w:pStyle w:val="TableColumn"/>
            </w:pPr>
            <w:r>
              <w:t>Grazing Land</w:t>
            </w:r>
          </w:p>
        </w:tc>
      </w:tr>
      <w:tr w:rsidR="00415C0B" w14:paraId="737AC680" w14:textId="77777777" w:rsidTr="00B0342A">
        <w:trPr>
          <w:jc w:val="center"/>
        </w:trPr>
        <w:tc>
          <w:tcPr>
            <w:tcW w:w="1597" w:type="dxa"/>
          </w:tcPr>
          <w:p w14:paraId="5F4ACD4B" w14:textId="463D653B" w:rsidR="00E52EFC" w:rsidRDefault="00E52EFC" w:rsidP="00B447F8">
            <w:pPr>
              <w:pStyle w:val="TableText"/>
              <w:keepNext/>
            </w:pPr>
            <w:r>
              <w:t>Alameda</w:t>
            </w:r>
          </w:p>
        </w:tc>
        <w:tc>
          <w:tcPr>
            <w:tcW w:w="1602" w:type="dxa"/>
          </w:tcPr>
          <w:p w14:paraId="53B2A5AA" w14:textId="7CF310B2" w:rsidR="00415C0B" w:rsidRDefault="00D5661B" w:rsidP="00D5661B">
            <w:pPr>
              <w:pStyle w:val="TableText"/>
            </w:pPr>
            <w:r>
              <w:t>62</w:t>
            </w:r>
          </w:p>
        </w:tc>
        <w:tc>
          <w:tcPr>
            <w:tcW w:w="2073" w:type="dxa"/>
          </w:tcPr>
          <w:p w14:paraId="078A486C" w14:textId="595FB297" w:rsidR="00415C0B" w:rsidRDefault="00D5661B" w:rsidP="00D5661B">
            <w:pPr>
              <w:pStyle w:val="TableText"/>
            </w:pPr>
            <w:r>
              <w:t>58</w:t>
            </w:r>
          </w:p>
        </w:tc>
        <w:tc>
          <w:tcPr>
            <w:tcW w:w="1603" w:type="dxa"/>
          </w:tcPr>
          <w:p w14:paraId="5F090CA8" w14:textId="0142F454" w:rsidR="00415C0B" w:rsidRDefault="00D5661B" w:rsidP="00D5661B">
            <w:pPr>
              <w:pStyle w:val="TableText"/>
            </w:pPr>
            <w:r>
              <w:t>190</w:t>
            </w:r>
          </w:p>
        </w:tc>
        <w:tc>
          <w:tcPr>
            <w:tcW w:w="1697" w:type="dxa"/>
          </w:tcPr>
          <w:p w14:paraId="7937766C" w14:textId="286F6A62" w:rsidR="00415C0B" w:rsidRDefault="00E950B2" w:rsidP="00D5661B">
            <w:pPr>
              <w:pStyle w:val="TableText"/>
            </w:pPr>
            <w:r>
              <w:t>0</w:t>
            </w:r>
          </w:p>
        </w:tc>
        <w:tc>
          <w:tcPr>
            <w:tcW w:w="1508" w:type="dxa"/>
          </w:tcPr>
          <w:p w14:paraId="5FC714EE" w14:textId="16089308" w:rsidR="00415C0B" w:rsidRDefault="00D5661B" w:rsidP="00D5661B">
            <w:pPr>
              <w:pStyle w:val="TableText"/>
            </w:pPr>
            <w:r>
              <w:t>149,636</w:t>
            </w:r>
          </w:p>
        </w:tc>
      </w:tr>
      <w:tr w:rsidR="00415C0B" w14:paraId="39A6AE62" w14:textId="77777777" w:rsidTr="00B0342A">
        <w:trPr>
          <w:jc w:val="center"/>
        </w:trPr>
        <w:tc>
          <w:tcPr>
            <w:tcW w:w="1597" w:type="dxa"/>
          </w:tcPr>
          <w:p w14:paraId="481E06C0" w14:textId="7906A104" w:rsidR="00415C0B" w:rsidRDefault="00A76817" w:rsidP="00B0342A">
            <w:pPr>
              <w:pStyle w:val="TableText"/>
              <w:keepNext/>
            </w:pPr>
            <w:r>
              <w:t>Amador</w:t>
            </w:r>
          </w:p>
        </w:tc>
        <w:tc>
          <w:tcPr>
            <w:tcW w:w="1602" w:type="dxa"/>
          </w:tcPr>
          <w:p w14:paraId="42F5BD1B" w14:textId="1A691562" w:rsidR="00415C0B" w:rsidRDefault="00820EDF" w:rsidP="00D5661B">
            <w:pPr>
              <w:pStyle w:val="TableText"/>
            </w:pPr>
            <w:r>
              <w:t>150</w:t>
            </w:r>
          </w:p>
        </w:tc>
        <w:tc>
          <w:tcPr>
            <w:tcW w:w="2073" w:type="dxa"/>
          </w:tcPr>
          <w:p w14:paraId="686487FA" w14:textId="6BCB4362" w:rsidR="00415C0B" w:rsidRDefault="00820EDF" w:rsidP="00D5661B">
            <w:pPr>
              <w:pStyle w:val="TableText"/>
            </w:pPr>
            <w:r>
              <w:t>136</w:t>
            </w:r>
          </w:p>
        </w:tc>
        <w:tc>
          <w:tcPr>
            <w:tcW w:w="1603" w:type="dxa"/>
          </w:tcPr>
          <w:p w14:paraId="73C1737C" w14:textId="152DD848" w:rsidR="00415C0B" w:rsidRDefault="00820EDF" w:rsidP="00D5661B">
            <w:pPr>
              <w:pStyle w:val="TableText"/>
            </w:pPr>
            <w:r>
              <w:t>537</w:t>
            </w:r>
          </w:p>
        </w:tc>
        <w:tc>
          <w:tcPr>
            <w:tcW w:w="1697" w:type="dxa"/>
          </w:tcPr>
          <w:p w14:paraId="5F784AF0" w14:textId="09C0BD4F" w:rsidR="00415C0B" w:rsidRDefault="00820EDF" w:rsidP="00D5661B">
            <w:pPr>
              <w:pStyle w:val="TableText"/>
            </w:pPr>
            <w:r>
              <w:t>652</w:t>
            </w:r>
          </w:p>
        </w:tc>
        <w:tc>
          <w:tcPr>
            <w:tcW w:w="1508" w:type="dxa"/>
          </w:tcPr>
          <w:p w14:paraId="24DFD2CC" w14:textId="11E38C3C" w:rsidR="00415C0B" w:rsidRDefault="00820EDF" w:rsidP="00D5661B">
            <w:pPr>
              <w:pStyle w:val="TableText"/>
            </w:pPr>
            <w:r>
              <w:t>165,531</w:t>
            </w:r>
          </w:p>
        </w:tc>
      </w:tr>
      <w:tr w:rsidR="00415C0B" w14:paraId="4E13DE1B" w14:textId="77777777" w:rsidTr="00B0342A">
        <w:trPr>
          <w:jc w:val="center"/>
        </w:trPr>
        <w:tc>
          <w:tcPr>
            <w:tcW w:w="1597" w:type="dxa"/>
          </w:tcPr>
          <w:p w14:paraId="4A7CAA03" w14:textId="69C696B2" w:rsidR="00415C0B" w:rsidRDefault="00A76817" w:rsidP="00D5661B">
            <w:pPr>
              <w:pStyle w:val="TableText"/>
            </w:pPr>
            <w:r>
              <w:t>Butte</w:t>
            </w:r>
          </w:p>
        </w:tc>
        <w:tc>
          <w:tcPr>
            <w:tcW w:w="1602" w:type="dxa"/>
          </w:tcPr>
          <w:p w14:paraId="2B9308B6" w14:textId="62211A66" w:rsidR="00415C0B" w:rsidRDefault="00023266" w:rsidP="00D5661B">
            <w:pPr>
              <w:pStyle w:val="TableText"/>
            </w:pPr>
            <w:r>
              <w:t>68</w:t>
            </w:r>
          </w:p>
        </w:tc>
        <w:tc>
          <w:tcPr>
            <w:tcW w:w="2073" w:type="dxa"/>
          </w:tcPr>
          <w:p w14:paraId="42C1FCDE" w14:textId="3F436047" w:rsidR="00415C0B" w:rsidRDefault="00023266" w:rsidP="00D5661B">
            <w:pPr>
              <w:pStyle w:val="TableText"/>
            </w:pPr>
            <w:r>
              <w:t>122</w:t>
            </w:r>
          </w:p>
        </w:tc>
        <w:tc>
          <w:tcPr>
            <w:tcW w:w="1603" w:type="dxa"/>
          </w:tcPr>
          <w:p w14:paraId="270EA6D1" w14:textId="30C8A9B3" w:rsidR="00415C0B" w:rsidRDefault="00023266" w:rsidP="00D5661B">
            <w:pPr>
              <w:pStyle w:val="TableText"/>
            </w:pPr>
            <w:r>
              <w:t>450</w:t>
            </w:r>
          </w:p>
        </w:tc>
        <w:tc>
          <w:tcPr>
            <w:tcW w:w="1697" w:type="dxa"/>
          </w:tcPr>
          <w:p w14:paraId="7822756A" w14:textId="20C94461" w:rsidR="00415C0B" w:rsidRDefault="00E950B2" w:rsidP="00D5661B">
            <w:pPr>
              <w:pStyle w:val="TableText"/>
            </w:pPr>
            <w:r>
              <w:t>0</w:t>
            </w:r>
          </w:p>
        </w:tc>
        <w:tc>
          <w:tcPr>
            <w:tcW w:w="1508" w:type="dxa"/>
          </w:tcPr>
          <w:p w14:paraId="5CFF6D60" w14:textId="56B324C2" w:rsidR="00415C0B" w:rsidRDefault="00023266" w:rsidP="00D5661B">
            <w:pPr>
              <w:pStyle w:val="TableText"/>
            </w:pPr>
            <w:r>
              <w:t>232,635</w:t>
            </w:r>
          </w:p>
        </w:tc>
      </w:tr>
      <w:tr w:rsidR="00415C0B" w14:paraId="68838D0B" w14:textId="77777777" w:rsidTr="00B0342A">
        <w:trPr>
          <w:jc w:val="center"/>
        </w:trPr>
        <w:tc>
          <w:tcPr>
            <w:tcW w:w="1597" w:type="dxa"/>
          </w:tcPr>
          <w:p w14:paraId="6B3C90AA" w14:textId="541FE03C" w:rsidR="00415C0B" w:rsidRDefault="00A76817" w:rsidP="00D5661B">
            <w:pPr>
              <w:pStyle w:val="TableText"/>
            </w:pPr>
            <w:r>
              <w:t>Colusa</w:t>
            </w:r>
          </w:p>
        </w:tc>
        <w:tc>
          <w:tcPr>
            <w:tcW w:w="1602" w:type="dxa"/>
          </w:tcPr>
          <w:p w14:paraId="0D86C851" w14:textId="2FC234AB" w:rsidR="00415C0B" w:rsidRDefault="00ED7F92" w:rsidP="00D5661B">
            <w:pPr>
              <w:pStyle w:val="TableText"/>
            </w:pPr>
            <w:r>
              <w:t>198</w:t>
            </w:r>
          </w:p>
        </w:tc>
        <w:tc>
          <w:tcPr>
            <w:tcW w:w="2073" w:type="dxa"/>
          </w:tcPr>
          <w:p w14:paraId="06BF76F7" w14:textId="5BC88356" w:rsidR="00415C0B" w:rsidRDefault="00ED7F92" w:rsidP="00D5661B">
            <w:pPr>
              <w:pStyle w:val="TableText"/>
            </w:pPr>
            <w:r>
              <w:t>167</w:t>
            </w:r>
          </w:p>
        </w:tc>
        <w:tc>
          <w:tcPr>
            <w:tcW w:w="1603" w:type="dxa"/>
          </w:tcPr>
          <w:p w14:paraId="7A43834C" w14:textId="55ADC9D4" w:rsidR="00415C0B" w:rsidRDefault="00ED7F92" w:rsidP="00D5661B">
            <w:pPr>
              <w:pStyle w:val="TableText"/>
            </w:pPr>
            <w:r>
              <w:t>75</w:t>
            </w:r>
          </w:p>
        </w:tc>
        <w:tc>
          <w:tcPr>
            <w:tcW w:w="1697" w:type="dxa"/>
          </w:tcPr>
          <w:p w14:paraId="0B10E2D7" w14:textId="60853D4E" w:rsidR="00415C0B" w:rsidRDefault="00ED7F92" w:rsidP="00D5661B">
            <w:pPr>
              <w:pStyle w:val="TableText"/>
            </w:pPr>
            <w:r>
              <w:t>110,720</w:t>
            </w:r>
          </w:p>
        </w:tc>
        <w:tc>
          <w:tcPr>
            <w:tcW w:w="1508" w:type="dxa"/>
          </w:tcPr>
          <w:p w14:paraId="21DAF8B2" w14:textId="3C0E2864" w:rsidR="00415C0B" w:rsidRDefault="00ED7F92" w:rsidP="00D5661B">
            <w:pPr>
              <w:pStyle w:val="TableText"/>
            </w:pPr>
            <w:r>
              <w:t>994</w:t>
            </w:r>
          </w:p>
        </w:tc>
      </w:tr>
      <w:tr w:rsidR="00415C0B" w14:paraId="262DEA1C" w14:textId="77777777" w:rsidTr="00B0342A">
        <w:trPr>
          <w:jc w:val="center"/>
        </w:trPr>
        <w:tc>
          <w:tcPr>
            <w:tcW w:w="1597" w:type="dxa"/>
          </w:tcPr>
          <w:p w14:paraId="19C6CAAC" w14:textId="2B891E60" w:rsidR="00415C0B" w:rsidRDefault="00A76817" w:rsidP="00D5661B">
            <w:pPr>
              <w:pStyle w:val="TableText"/>
            </w:pPr>
            <w:r>
              <w:t>Contra Costa</w:t>
            </w:r>
          </w:p>
        </w:tc>
        <w:tc>
          <w:tcPr>
            <w:tcW w:w="1602" w:type="dxa"/>
          </w:tcPr>
          <w:p w14:paraId="7A59DCA2" w14:textId="580B2A97" w:rsidR="00415C0B" w:rsidRDefault="00AD2957" w:rsidP="00D5661B">
            <w:pPr>
              <w:pStyle w:val="TableText"/>
            </w:pPr>
            <w:r>
              <w:t>195</w:t>
            </w:r>
          </w:p>
        </w:tc>
        <w:tc>
          <w:tcPr>
            <w:tcW w:w="2073" w:type="dxa"/>
          </w:tcPr>
          <w:p w14:paraId="64721CE0" w14:textId="23EA087B" w:rsidR="00415C0B" w:rsidRDefault="00AD2957" w:rsidP="00D5661B">
            <w:pPr>
              <w:pStyle w:val="TableText"/>
            </w:pPr>
            <w:r>
              <w:t>4</w:t>
            </w:r>
          </w:p>
        </w:tc>
        <w:tc>
          <w:tcPr>
            <w:tcW w:w="1603" w:type="dxa"/>
          </w:tcPr>
          <w:p w14:paraId="08CA981E" w14:textId="15E7ADEA" w:rsidR="00415C0B" w:rsidRDefault="00AD2957" w:rsidP="00D5661B">
            <w:pPr>
              <w:pStyle w:val="TableText"/>
            </w:pPr>
            <w:r>
              <w:t>479</w:t>
            </w:r>
          </w:p>
        </w:tc>
        <w:tc>
          <w:tcPr>
            <w:tcW w:w="1697" w:type="dxa"/>
          </w:tcPr>
          <w:p w14:paraId="5F3A6919" w14:textId="4E8E1B7B" w:rsidR="00415C0B" w:rsidRDefault="003F6B29" w:rsidP="00D5661B">
            <w:pPr>
              <w:pStyle w:val="TableText"/>
            </w:pPr>
            <w:r>
              <w:t>24,790</w:t>
            </w:r>
          </w:p>
        </w:tc>
        <w:tc>
          <w:tcPr>
            <w:tcW w:w="1508" w:type="dxa"/>
          </w:tcPr>
          <w:p w14:paraId="5EDED8BE" w14:textId="755C5882" w:rsidR="00415C0B" w:rsidRDefault="00AD2957" w:rsidP="00D5661B">
            <w:pPr>
              <w:pStyle w:val="TableText"/>
            </w:pPr>
            <w:r>
              <w:t>106,902</w:t>
            </w:r>
          </w:p>
        </w:tc>
      </w:tr>
      <w:tr w:rsidR="00415C0B" w14:paraId="38A101AC" w14:textId="77777777" w:rsidTr="00B0342A">
        <w:trPr>
          <w:jc w:val="center"/>
        </w:trPr>
        <w:tc>
          <w:tcPr>
            <w:tcW w:w="1597" w:type="dxa"/>
          </w:tcPr>
          <w:p w14:paraId="4A7AFC07" w14:textId="695A5BD6" w:rsidR="00415C0B" w:rsidRDefault="00A76817" w:rsidP="00D5661B">
            <w:pPr>
              <w:pStyle w:val="TableText"/>
            </w:pPr>
            <w:r>
              <w:t>El Dorado</w:t>
            </w:r>
          </w:p>
        </w:tc>
        <w:tc>
          <w:tcPr>
            <w:tcW w:w="1602" w:type="dxa"/>
          </w:tcPr>
          <w:p w14:paraId="6B2379CC" w14:textId="679F2499" w:rsidR="00415C0B" w:rsidRDefault="005E73C1" w:rsidP="00D5661B">
            <w:pPr>
              <w:pStyle w:val="TableText"/>
            </w:pPr>
            <w:r>
              <w:t>133</w:t>
            </w:r>
          </w:p>
        </w:tc>
        <w:tc>
          <w:tcPr>
            <w:tcW w:w="2073" w:type="dxa"/>
          </w:tcPr>
          <w:p w14:paraId="4B047E78" w14:textId="41F2B551" w:rsidR="00415C0B" w:rsidRDefault="005E73C1" w:rsidP="00D5661B">
            <w:pPr>
              <w:pStyle w:val="TableText"/>
            </w:pPr>
            <w:r>
              <w:t>398</w:t>
            </w:r>
          </w:p>
        </w:tc>
        <w:tc>
          <w:tcPr>
            <w:tcW w:w="1603" w:type="dxa"/>
          </w:tcPr>
          <w:p w14:paraId="0674A913" w14:textId="10EAABEE" w:rsidR="00415C0B" w:rsidRDefault="005E73C1" w:rsidP="00D5661B">
            <w:pPr>
              <w:pStyle w:val="TableText"/>
            </w:pPr>
            <w:r>
              <w:t>1,060</w:t>
            </w:r>
          </w:p>
        </w:tc>
        <w:tc>
          <w:tcPr>
            <w:tcW w:w="1697" w:type="dxa"/>
          </w:tcPr>
          <w:p w14:paraId="4486EB75" w14:textId="390867CB" w:rsidR="00415C0B" w:rsidRDefault="005E73C1" w:rsidP="00D5661B">
            <w:pPr>
              <w:pStyle w:val="TableText"/>
            </w:pPr>
            <w:r>
              <w:t>52,623</w:t>
            </w:r>
          </w:p>
        </w:tc>
        <w:tc>
          <w:tcPr>
            <w:tcW w:w="1508" w:type="dxa"/>
          </w:tcPr>
          <w:p w14:paraId="0703D221" w14:textId="3259E4EB" w:rsidR="00415C0B" w:rsidRDefault="005E73C1" w:rsidP="00D5661B">
            <w:pPr>
              <w:pStyle w:val="TableText"/>
            </w:pPr>
            <w:r>
              <w:t>166,164</w:t>
            </w:r>
          </w:p>
        </w:tc>
      </w:tr>
      <w:tr w:rsidR="00415C0B" w14:paraId="336AAF7C" w14:textId="77777777" w:rsidTr="00B0342A">
        <w:trPr>
          <w:jc w:val="center"/>
        </w:trPr>
        <w:tc>
          <w:tcPr>
            <w:tcW w:w="1597" w:type="dxa"/>
          </w:tcPr>
          <w:p w14:paraId="13C9FA7B" w14:textId="4B8E218D" w:rsidR="00415C0B" w:rsidRDefault="00A76817" w:rsidP="00D5661B">
            <w:pPr>
              <w:pStyle w:val="TableText"/>
            </w:pPr>
            <w:r>
              <w:t>Fresno</w:t>
            </w:r>
          </w:p>
        </w:tc>
        <w:tc>
          <w:tcPr>
            <w:tcW w:w="1602" w:type="dxa"/>
          </w:tcPr>
          <w:p w14:paraId="469AEFBD" w14:textId="792B0FD8" w:rsidR="00415C0B" w:rsidRDefault="00F510C5" w:rsidP="00D5661B">
            <w:pPr>
              <w:pStyle w:val="TableText"/>
            </w:pPr>
            <w:r>
              <w:t>115</w:t>
            </w:r>
          </w:p>
        </w:tc>
        <w:tc>
          <w:tcPr>
            <w:tcW w:w="2073" w:type="dxa"/>
          </w:tcPr>
          <w:p w14:paraId="40EC0232" w14:textId="09A06502" w:rsidR="00415C0B" w:rsidRDefault="00F510C5" w:rsidP="00D5661B">
            <w:pPr>
              <w:pStyle w:val="TableText"/>
            </w:pPr>
            <w:r>
              <w:t>32</w:t>
            </w:r>
          </w:p>
        </w:tc>
        <w:tc>
          <w:tcPr>
            <w:tcW w:w="1603" w:type="dxa"/>
          </w:tcPr>
          <w:p w14:paraId="391D1E84" w14:textId="0FFC9607" w:rsidR="00415C0B" w:rsidRDefault="00F510C5" w:rsidP="00D5661B">
            <w:pPr>
              <w:pStyle w:val="TableText"/>
            </w:pPr>
            <w:r>
              <w:t>260</w:t>
            </w:r>
          </w:p>
        </w:tc>
        <w:tc>
          <w:tcPr>
            <w:tcW w:w="1697" w:type="dxa"/>
          </w:tcPr>
          <w:p w14:paraId="2D288C70" w14:textId="169AFA5A" w:rsidR="00415C0B" w:rsidRDefault="00F510C5" w:rsidP="00D5661B">
            <w:pPr>
              <w:pStyle w:val="TableText"/>
            </w:pPr>
            <w:r>
              <w:t>2,504</w:t>
            </w:r>
          </w:p>
        </w:tc>
        <w:tc>
          <w:tcPr>
            <w:tcW w:w="1508" w:type="dxa"/>
          </w:tcPr>
          <w:p w14:paraId="07A08067" w14:textId="7F91002E" w:rsidR="00415C0B" w:rsidRDefault="00F510C5" w:rsidP="00D5661B">
            <w:pPr>
              <w:pStyle w:val="TableText"/>
            </w:pPr>
            <w:r>
              <w:t>361,659</w:t>
            </w:r>
          </w:p>
        </w:tc>
      </w:tr>
      <w:tr w:rsidR="00E52EFC" w14:paraId="0FE70ABA" w14:textId="77777777" w:rsidTr="00B0342A">
        <w:trPr>
          <w:jc w:val="center"/>
        </w:trPr>
        <w:tc>
          <w:tcPr>
            <w:tcW w:w="1597" w:type="dxa"/>
          </w:tcPr>
          <w:p w14:paraId="32F42BC5" w14:textId="60EC4F3C" w:rsidR="00E52EFC" w:rsidRDefault="00A76817" w:rsidP="00D5661B">
            <w:pPr>
              <w:pStyle w:val="TableText"/>
            </w:pPr>
            <w:r>
              <w:t>Glenn</w:t>
            </w:r>
          </w:p>
        </w:tc>
        <w:tc>
          <w:tcPr>
            <w:tcW w:w="1602" w:type="dxa"/>
          </w:tcPr>
          <w:p w14:paraId="5C3FE53A" w14:textId="56C8F4ED" w:rsidR="00E52EFC" w:rsidRDefault="009E343F" w:rsidP="00D5661B">
            <w:pPr>
              <w:pStyle w:val="TableText"/>
            </w:pPr>
            <w:r>
              <w:t>67</w:t>
            </w:r>
          </w:p>
        </w:tc>
        <w:tc>
          <w:tcPr>
            <w:tcW w:w="2073" w:type="dxa"/>
          </w:tcPr>
          <w:p w14:paraId="1A49D8E9" w14:textId="1553410F" w:rsidR="00E52EFC" w:rsidRDefault="009E343F" w:rsidP="00D5661B">
            <w:pPr>
              <w:pStyle w:val="TableText"/>
            </w:pPr>
            <w:r>
              <w:t>60</w:t>
            </w:r>
          </w:p>
        </w:tc>
        <w:tc>
          <w:tcPr>
            <w:tcW w:w="1603" w:type="dxa"/>
          </w:tcPr>
          <w:p w14:paraId="1E131945" w14:textId="3F160A89" w:rsidR="00E52EFC" w:rsidRDefault="009E343F" w:rsidP="00D5661B">
            <w:pPr>
              <w:pStyle w:val="TableText"/>
            </w:pPr>
            <w:r>
              <w:t>191</w:t>
            </w:r>
          </w:p>
        </w:tc>
        <w:tc>
          <w:tcPr>
            <w:tcW w:w="1697" w:type="dxa"/>
          </w:tcPr>
          <w:p w14:paraId="5DBD2F80" w14:textId="59692358" w:rsidR="00E52EFC" w:rsidRDefault="009E343F" w:rsidP="00D5661B">
            <w:pPr>
              <w:pStyle w:val="TableText"/>
            </w:pPr>
            <w:r>
              <w:t>2,745</w:t>
            </w:r>
          </w:p>
        </w:tc>
        <w:tc>
          <w:tcPr>
            <w:tcW w:w="1508" w:type="dxa"/>
          </w:tcPr>
          <w:p w14:paraId="3DD42D9F" w14:textId="6D339E22" w:rsidR="00E52EFC" w:rsidRDefault="009E343F" w:rsidP="00D5661B">
            <w:pPr>
              <w:pStyle w:val="TableText"/>
            </w:pPr>
            <w:r>
              <w:t>88,122</w:t>
            </w:r>
          </w:p>
        </w:tc>
      </w:tr>
      <w:tr w:rsidR="00E52EFC" w14:paraId="32015E5D" w14:textId="77777777" w:rsidTr="00B0342A">
        <w:trPr>
          <w:jc w:val="center"/>
        </w:trPr>
        <w:tc>
          <w:tcPr>
            <w:tcW w:w="1597" w:type="dxa"/>
          </w:tcPr>
          <w:p w14:paraId="7D6343C2" w14:textId="63A038AF" w:rsidR="00E52EFC" w:rsidRDefault="00A76817" w:rsidP="00D5661B">
            <w:pPr>
              <w:pStyle w:val="TableText"/>
            </w:pPr>
            <w:r>
              <w:t>Kern</w:t>
            </w:r>
          </w:p>
        </w:tc>
        <w:tc>
          <w:tcPr>
            <w:tcW w:w="1602" w:type="dxa"/>
          </w:tcPr>
          <w:p w14:paraId="642B6D33" w14:textId="302D1772" w:rsidR="00E52EFC" w:rsidRDefault="00BB72B0" w:rsidP="00D5661B">
            <w:pPr>
              <w:pStyle w:val="TableText"/>
            </w:pPr>
            <w:r>
              <w:t>710</w:t>
            </w:r>
          </w:p>
        </w:tc>
        <w:tc>
          <w:tcPr>
            <w:tcW w:w="2073" w:type="dxa"/>
          </w:tcPr>
          <w:p w14:paraId="710923F4" w14:textId="6C2A54DF" w:rsidR="00E52EFC" w:rsidRDefault="00BB72B0" w:rsidP="00D5661B">
            <w:pPr>
              <w:pStyle w:val="TableText"/>
            </w:pPr>
            <w:r>
              <w:t>126</w:t>
            </w:r>
          </w:p>
        </w:tc>
        <w:tc>
          <w:tcPr>
            <w:tcW w:w="1603" w:type="dxa"/>
          </w:tcPr>
          <w:p w14:paraId="06B52D19" w14:textId="3E468984" w:rsidR="00E52EFC" w:rsidRDefault="00BB72B0" w:rsidP="00D5661B">
            <w:pPr>
              <w:pStyle w:val="TableText"/>
            </w:pPr>
            <w:r>
              <w:t>579</w:t>
            </w:r>
          </w:p>
        </w:tc>
        <w:tc>
          <w:tcPr>
            <w:tcW w:w="1697" w:type="dxa"/>
          </w:tcPr>
          <w:p w14:paraId="6F8FC975" w14:textId="27371FFD" w:rsidR="00E52EFC" w:rsidRDefault="00E950B2" w:rsidP="00D5661B">
            <w:pPr>
              <w:pStyle w:val="TableText"/>
            </w:pPr>
            <w:r>
              <w:t>0</w:t>
            </w:r>
          </w:p>
        </w:tc>
        <w:tc>
          <w:tcPr>
            <w:tcW w:w="1508" w:type="dxa"/>
          </w:tcPr>
          <w:p w14:paraId="7A30823D" w14:textId="6F39B783" w:rsidR="00E52EFC" w:rsidRDefault="00BB72B0" w:rsidP="00D5661B">
            <w:pPr>
              <w:pStyle w:val="TableText"/>
            </w:pPr>
            <w:r>
              <w:t>707,455</w:t>
            </w:r>
          </w:p>
        </w:tc>
      </w:tr>
      <w:tr w:rsidR="00E52EFC" w14:paraId="588EE0B5" w14:textId="77777777" w:rsidTr="00B0342A">
        <w:trPr>
          <w:jc w:val="center"/>
        </w:trPr>
        <w:tc>
          <w:tcPr>
            <w:tcW w:w="1597" w:type="dxa"/>
          </w:tcPr>
          <w:p w14:paraId="798DE787" w14:textId="47B89AC3" w:rsidR="00E52EFC" w:rsidRDefault="00A76817" w:rsidP="00D5661B">
            <w:pPr>
              <w:pStyle w:val="TableText"/>
            </w:pPr>
            <w:r>
              <w:t>Kings</w:t>
            </w:r>
          </w:p>
        </w:tc>
        <w:tc>
          <w:tcPr>
            <w:tcW w:w="1602" w:type="dxa"/>
          </w:tcPr>
          <w:p w14:paraId="53F82CC3" w14:textId="5662E716" w:rsidR="00E52EFC" w:rsidRDefault="00B82CFD" w:rsidP="00D5661B">
            <w:pPr>
              <w:pStyle w:val="TableText"/>
            </w:pPr>
            <w:r>
              <w:t>2</w:t>
            </w:r>
          </w:p>
        </w:tc>
        <w:tc>
          <w:tcPr>
            <w:tcW w:w="2073" w:type="dxa"/>
          </w:tcPr>
          <w:p w14:paraId="72DA2574" w14:textId="151A7583" w:rsidR="00E52EFC" w:rsidRDefault="00E950B2" w:rsidP="00D5661B">
            <w:pPr>
              <w:pStyle w:val="TableText"/>
            </w:pPr>
            <w:r>
              <w:t>0</w:t>
            </w:r>
          </w:p>
        </w:tc>
        <w:tc>
          <w:tcPr>
            <w:tcW w:w="1603" w:type="dxa"/>
          </w:tcPr>
          <w:p w14:paraId="35DBD392" w14:textId="2B4820B8" w:rsidR="00E52EFC" w:rsidRDefault="00B82CFD" w:rsidP="00D5661B">
            <w:pPr>
              <w:pStyle w:val="TableText"/>
            </w:pPr>
            <w:r>
              <w:t>3</w:t>
            </w:r>
          </w:p>
        </w:tc>
        <w:tc>
          <w:tcPr>
            <w:tcW w:w="1697" w:type="dxa"/>
          </w:tcPr>
          <w:p w14:paraId="4D504867" w14:textId="1F69AB72" w:rsidR="00E52EFC" w:rsidRDefault="00E950B2" w:rsidP="00D5661B">
            <w:pPr>
              <w:pStyle w:val="TableText"/>
            </w:pPr>
            <w:r>
              <w:t>0</w:t>
            </w:r>
          </w:p>
        </w:tc>
        <w:tc>
          <w:tcPr>
            <w:tcW w:w="1508" w:type="dxa"/>
          </w:tcPr>
          <w:p w14:paraId="1BF67262" w14:textId="3BC02BF3" w:rsidR="00E52EFC" w:rsidRDefault="00B82CFD" w:rsidP="00D5661B">
            <w:pPr>
              <w:pStyle w:val="TableText"/>
            </w:pPr>
            <w:r>
              <w:t>30,089</w:t>
            </w:r>
          </w:p>
        </w:tc>
      </w:tr>
      <w:tr w:rsidR="00E52EFC" w14:paraId="2228D10D" w14:textId="77777777" w:rsidTr="00B0342A">
        <w:trPr>
          <w:jc w:val="center"/>
        </w:trPr>
        <w:tc>
          <w:tcPr>
            <w:tcW w:w="1597" w:type="dxa"/>
          </w:tcPr>
          <w:p w14:paraId="7C4F680D" w14:textId="28BD0718" w:rsidR="00E52EFC" w:rsidRDefault="00A76817" w:rsidP="00D5661B">
            <w:pPr>
              <w:pStyle w:val="TableText"/>
            </w:pPr>
            <w:r>
              <w:t>Lake</w:t>
            </w:r>
          </w:p>
        </w:tc>
        <w:tc>
          <w:tcPr>
            <w:tcW w:w="1602" w:type="dxa"/>
          </w:tcPr>
          <w:p w14:paraId="0D57B4EF" w14:textId="1A8D07CC" w:rsidR="00E52EFC" w:rsidRDefault="004155E4" w:rsidP="00D5661B">
            <w:pPr>
              <w:pStyle w:val="TableText"/>
            </w:pPr>
            <w:r>
              <w:t>58</w:t>
            </w:r>
          </w:p>
        </w:tc>
        <w:tc>
          <w:tcPr>
            <w:tcW w:w="2073" w:type="dxa"/>
          </w:tcPr>
          <w:p w14:paraId="78C4F230" w14:textId="548C3D51" w:rsidR="00E52EFC" w:rsidRDefault="004155E4" w:rsidP="00D5661B">
            <w:pPr>
              <w:pStyle w:val="TableText"/>
            </w:pPr>
            <w:r>
              <w:t>11</w:t>
            </w:r>
          </w:p>
        </w:tc>
        <w:tc>
          <w:tcPr>
            <w:tcW w:w="1603" w:type="dxa"/>
          </w:tcPr>
          <w:p w14:paraId="368C1293" w14:textId="4833110E" w:rsidR="00E52EFC" w:rsidRDefault="004155E4" w:rsidP="00D5661B">
            <w:pPr>
              <w:pStyle w:val="TableText"/>
            </w:pPr>
            <w:r>
              <w:t>1,115</w:t>
            </w:r>
          </w:p>
        </w:tc>
        <w:tc>
          <w:tcPr>
            <w:tcW w:w="1697" w:type="dxa"/>
          </w:tcPr>
          <w:p w14:paraId="36B1640D" w14:textId="262E41BD" w:rsidR="00E52EFC" w:rsidRDefault="00E950B2" w:rsidP="00D5661B">
            <w:pPr>
              <w:pStyle w:val="TableText"/>
            </w:pPr>
            <w:r>
              <w:t>0</w:t>
            </w:r>
          </w:p>
        </w:tc>
        <w:tc>
          <w:tcPr>
            <w:tcW w:w="1508" w:type="dxa"/>
          </w:tcPr>
          <w:p w14:paraId="4E58079C" w14:textId="51ED6603" w:rsidR="00E52EFC" w:rsidRDefault="004155E4" w:rsidP="00D5661B">
            <w:pPr>
              <w:pStyle w:val="TableText"/>
            </w:pPr>
            <w:r>
              <w:t>142,763</w:t>
            </w:r>
          </w:p>
        </w:tc>
      </w:tr>
      <w:tr w:rsidR="00E52EFC" w14:paraId="2029D463" w14:textId="77777777" w:rsidTr="00B0342A">
        <w:trPr>
          <w:jc w:val="center"/>
        </w:trPr>
        <w:tc>
          <w:tcPr>
            <w:tcW w:w="1597" w:type="dxa"/>
          </w:tcPr>
          <w:p w14:paraId="12E8B059" w14:textId="36D5F8DD" w:rsidR="00E52EFC" w:rsidRDefault="00A76817" w:rsidP="00D5661B">
            <w:pPr>
              <w:pStyle w:val="TableText"/>
            </w:pPr>
            <w:r>
              <w:t>Los Angeles</w:t>
            </w:r>
          </w:p>
        </w:tc>
        <w:tc>
          <w:tcPr>
            <w:tcW w:w="1602" w:type="dxa"/>
          </w:tcPr>
          <w:p w14:paraId="03C20AE5" w14:textId="2E78441D" w:rsidR="00E52EFC" w:rsidRDefault="00F54CF3" w:rsidP="00D5661B">
            <w:pPr>
              <w:pStyle w:val="TableText"/>
            </w:pPr>
            <w:r>
              <w:t>272</w:t>
            </w:r>
          </w:p>
        </w:tc>
        <w:tc>
          <w:tcPr>
            <w:tcW w:w="2073" w:type="dxa"/>
          </w:tcPr>
          <w:p w14:paraId="4628AE62" w14:textId="757E36BC" w:rsidR="00E52EFC" w:rsidRDefault="00F54CF3" w:rsidP="00D5661B">
            <w:pPr>
              <w:pStyle w:val="TableText"/>
            </w:pPr>
            <w:r>
              <w:t>15</w:t>
            </w:r>
          </w:p>
        </w:tc>
        <w:tc>
          <w:tcPr>
            <w:tcW w:w="1603" w:type="dxa"/>
          </w:tcPr>
          <w:p w14:paraId="21B6D279" w14:textId="7D14E8D3" w:rsidR="00E52EFC" w:rsidRDefault="00F54CF3" w:rsidP="00D5661B">
            <w:pPr>
              <w:pStyle w:val="TableText"/>
            </w:pPr>
            <w:r>
              <w:t>83</w:t>
            </w:r>
          </w:p>
        </w:tc>
        <w:tc>
          <w:tcPr>
            <w:tcW w:w="1697" w:type="dxa"/>
          </w:tcPr>
          <w:p w14:paraId="7DB542DF" w14:textId="5D14AE44" w:rsidR="00E52EFC" w:rsidRDefault="00884A60" w:rsidP="00D5661B">
            <w:pPr>
              <w:pStyle w:val="TableText"/>
            </w:pPr>
            <w:r>
              <w:t>238</w:t>
            </w:r>
          </w:p>
        </w:tc>
        <w:tc>
          <w:tcPr>
            <w:tcW w:w="1508" w:type="dxa"/>
          </w:tcPr>
          <w:p w14:paraId="2DD359D4" w14:textId="43673D64" w:rsidR="00E52EFC" w:rsidRDefault="00F54CF3" w:rsidP="00D5661B">
            <w:pPr>
              <w:pStyle w:val="TableText"/>
            </w:pPr>
            <w:r>
              <w:t>114,403</w:t>
            </w:r>
          </w:p>
        </w:tc>
      </w:tr>
      <w:tr w:rsidR="00E52EFC" w14:paraId="510AE72F" w14:textId="77777777" w:rsidTr="00B0342A">
        <w:trPr>
          <w:jc w:val="center"/>
        </w:trPr>
        <w:tc>
          <w:tcPr>
            <w:tcW w:w="1597" w:type="dxa"/>
          </w:tcPr>
          <w:p w14:paraId="7FC5A08B" w14:textId="2033CBF7" w:rsidR="00E52EFC" w:rsidRDefault="00A76817" w:rsidP="00D5661B">
            <w:pPr>
              <w:pStyle w:val="TableText"/>
            </w:pPr>
            <w:r>
              <w:t>Madera</w:t>
            </w:r>
          </w:p>
        </w:tc>
        <w:tc>
          <w:tcPr>
            <w:tcW w:w="1602" w:type="dxa"/>
          </w:tcPr>
          <w:p w14:paraId="5BACF8BE" w14:textId="29498D3A" w:rsidR="00E52EFC" w:rsidRDefault="00760468" w:rsidP="00D5661B">
            <w:pPr>
              <w:pStyle w:val="TableText"/>
            </w:pPr>
            <w:r>
              <w:t>24</w:t>
            </w:r>
          </w:p>
        </w:tc>
        <w:tc>
          <w:tcPr>
            <w:tcW w:w="2073" w:type="dxa"/>
          </w:tcPr>
          <w:p w14:paraId="15CF81CB" w14:textId="38F94BB9" w:rsidR="00E52EFC" w:rsidRDefault="00760468" w:rsidP="00D5661B">
            <w:pPr>
              <w:pStyle w:val="TableText"/>
            </w:pPr>
            <w:r>
              <w:t>1</w:t>
            </w:r>
          </w:p>
        </w:tc>
        <w:tc>
          <w:tcPr>
            <w:tcW w:w="1603" w:type="dxa"/>
          </w:tcPr>
          <w:p w14:paraId="54B30A62" w14:textId="10D6AF8A" w:rsidR="00E52EFC" w:rsidRDefault="00760468" w:rsidP="00D5661B">
            <w:pPr>
              <w:pStyle w:val="TableText"/>
            </w:pPr>
            <w:r>
              <w:t>138</w:t>
            </w:r>
          </w:p>
        </w:tc>
        <w:tc>
          <w:tcPr>
            <w:tcW w:w="1697" w:type="dxa"/>
          </w:tcPr>
          <w:p w14:paraId="73A22FEF" w14:textId="66E9F8C3" w:rsidR="00E52EFC" w:rsidRDefault="00760468" w:rsidP="00D5661B">
            <w:pPr>
              <w:pStyle w:val="TableText"/>
            </w:pPr>
            <w:r>
              <w:t>47</w:t>
            </w:r>
          </w:p>
        </w:tc>
        <w:tc>
          <w:tcPr>
            <w:tcW w:w="1508" w:type="dxa"/>
          </w:tcPr>
          <w:p w14:paraId="3015D7F7" w14:textId="6D8D42EA" w:rsidR="00E52EFC" w:rsidRDefault="00760468" w:rsidP="00D5661B">
            <w:pPr>
              <w:pStyle w:val="TableText"/>
            </w:pPr>
            <w:r>
              <w:t>226,824</w:t>
            </w:r>
          </w:p>
        </w:tc>
      </w:tr>
      <w:tr w:rsidR="00E52EFC" w14:paraId="5E2D3E9B" w14:textId="77777777" w:rsidTr="00B0342A">
        <w:trPr>
          <w:jc w:val="center"/>
        </w:trPr>
        <w:tc>
          <w:tcPr>
            <w:tcW w:w="1597" w:type="dxa"/>
          </w:tcPr>
          <w:p w14:paraId="0756E93A" w14:textId="36EC8515" w:rsidR="00E52EFC" w:rsidRDefault="00A76817" w:rsidP="00D5661B">
            <w:pPr>
              <w:pStyle w:val="TableText"/>
            </w:pPr>
            <w:r>
              <w:t>Marin</w:t>
            </w:r>
          </w:p>
        </w:tc>
        <w:tc>
          <w:tcPr>
            <w:tcW w:w="1602" w:type="dxa"/>
          </w:tcPr>
          <w:p w14:paraId="2C3E0726" w14:textId="32BD5E43" w:rsidR="00E52EFC" w:rsidRDefault="00E950B2" w:rsidP="00D5661B">
            <w:pPr>
              <w:pStyle w:val="TableText"/>
            </w:pPr>
            <w:r>
              <w:t>0</w:t>
            </w:r>
          </w:p>
        </w:tc>
        <w:tc>
          <w:tcPr>
            <w:tcW w:w="2073" w:type="dxa"/>
          </w:tcPr>
          <w:p w14:paraId="62A515AB" w14:textId="55771683" w:rsidR="00E52EFC" w:rsidRDefault="002B743B" w:rsidP="00D5661B">
            <w:pPr>
              <w:pStyle w:val="TableText"/>
            </w:pPr>
            <w:r>
              <w:t>5</w:t>
            </w:r>
          </w:p>
        </w:tc>
        <w:tc>
          <w:tcPr>
            <w:tcW w:w="1603" w:type="dxa"/>
          </w:tcPr>
          <w:p w14:paraId="723D2B4B" w14:textId="3A0544A4" w:rsidR="00E52EFC" w:rsidRDefault="002B743B" w:rsidP="00D5661B">
            <w:pPr>
              <w:pStyle w:val="TableText"/>
            </w:pPr>
            <w:r>
              <w:t>74</w:t>
            </w:r>
          </w:p>
        </w:tc>
        <w:tc>
          <w:tcPr>
            <w:tcW w:w="1697" w:type="dxa"/>
          </w:tcPr>
          <w:p w14:paraId="2FB2C4D9" w14:textId="03AE6C22" w:rsidR="00E52EFC" w:rsidRDefault="002B743B" w:rsidP="00D5661B">
            <w:pPr>
              <w:pStyle w:val="TableText"/>
            </w:pPr>
            <w:r>
              <w:t>6,247</w:t>
            </w:r>
          </w:p>
        </w:tc>
        <w:tc>
          <w:tcPr>
            <w:tcW w:w="1508" w:type="dxa"/>
          </w:tcPr>
          <w:p w14:paraId="7836822F" w14:textId="6190DE35" w:rsidR="00E52EFC" w:rsidRDefault="002B743B" w:rsidP="00D5661B">
            <w:pPr>
              <w:pStyle w:val="TableText"/>
            </w:pPr>
            <w:r>
              <w:t>55,560</w:t>
            </w:r>
          </w:p>
        </w:tc>
      </w:tr>
      <w:tr w:rsidR="00E52EFC" w14:paraId="16BA96DA" w14:textId="77777777" w:rsidTr="00B0342A">
        <w:trPr>
          <w:jc w:val="center"/>
        </w:trPr>
        <w:tc>
          <w:tcPr>
            <w:tcW w:w="1597" w:type="dxa"/>
          </w:tcPr>
          <w:p w14:paraId="07A9B7F4" w14:textId="6257FF35" w:rsidR="00E52EFC" w:rsidRDefault="00A76817" w:rsidP="00D5661B">
            <w:pPr>
              <w:pStyle w:val="TableText"/>
            </w:pPr>
            <w:r>
              <w:t>Mendocino</w:t>
            </w:r>
          </w:p>
        </w:tc>
        <w:tc>
          <w:tcPr>
            <w:tcW w:w="1602" w:type="dxa"/>
          </w:tcPr>
          <w:p w14:paraId="1502CF14" w14:textId="31CBBF2A" w:rsidR="00E52EFC" w:rsidRDefault="00C078BE" w:rsidP="00D5661B">
            <w:pPr>
              <w:pStyle w:val="TableText"/>
            </w:pPr>
            <w:r>
              <w:t>456</w:t>
            </w:r>
          </w:p>
        </w:tc>
        <w:tc>
          <w:tcPr>
            <w:tcW w:w="2073" w:type="dxa"/>
          </w:tcPr>
          <w:p w14:paraId="27CEF807" w14:textId="099E2493" w:rsidR="00E52EFC" w:rsidRDefault="008533C1" w:rsidP="00D5661B">
            <w:pPr>
              <w:pStyle w:val="TableText"/>
            </w:pPr>
            <w:r>
              <w:t>48</w:t>
            </w:r>
          </w:p>
        </w:tc>
        <w:tc>
          <w:tcPr>
            <w:tcW w:w="1603" w:type="dxa"/>
          </w:tcPr>
          <w:p w14:paraId="4A0DDC24" w14:textId="05003583" w:rsidR="00E52EFC" w:rsidRDefault="00C078BE" w:rsidP="00D5661B">
            <w:pPr>
              <w:pStyle w:val="TableText"/>
            </w:pPr>
            <w:r>
              <w:t>1,537</w:t>
            </w:r>
          </w:p>
        </w:tc>
        <w:tc>
          <w:tcPr>
            <w:tcW w:w="1697" w:type="dxa"/>
          </w:tcPr>
          <w:p w14:paraId="10C32261" w14:textId="1E5463C4" w:rsidR="00E52EFC" w:rsidRDefault="00E950B2" w:rsidP="00D5661B">
            <w:pPr>
              <w:pStyle w:val="TableText"/>
            </w:pPr>
            <w:r>
              <w:t>0</w:t>
            </w:r>
          </w:p>
        </w:tc>
        <w:tc>
          <w:tcPr>
            <w:tcW w:w="1508" w:type="dxa"/>
          </w:tcPr>
          <w:p w14:paraId="290A99CA" w14:textId="5ED79685" w:rsidR="00E52EFC" w:rsidRDefault="00C078BE" w:rsidP="00D5661B">
            <w:pPr>
              <w:pStyle w:val="TableText"/>
            </w:pPr>
            <w:r>
              <w:t>1,138,280</w:t>
            </w:r>
          </w:p>
        </w:tc>
      </w:tr>
      <w:tr w:rsidR="00E52EFC" w14:paraId="225DC33A" w14:textId="77777777" w:rsidTr="00B0342A">
        <w:trPr>
          <w:jc w:val="center"/>
        </w:trPr>
        <w:tc>
          <w:tcPr>
            <w:tcW w:w="1597" w:type="dxa"/>
          </w:tcPr>
          <w:p w14:paraId="0F39F314" w14:textId="4A9FABFF" w:rsidR="00A76817" w:rsidRDefault="00A76817" w:rsidP="00D5661B">
            <w:pPr>
              <w:pStyle w:val="TableText"/>
            </w:pPr>
            <w:r>
              <w:t>Merced</w:t>
            </w:r>
          </w:p>
        </w:tc>
        <w:tc>
          <w:tcPr>
            <w:tcW w:w="1602" w:type="dxa"/>
          </w:tcPr>
          <w:p w14:paraId="3D2EFD7D" w14:textId="70277F96" w:rsidR="00E52EFC" w:rsidRDefault="00313FE4" w:rsidP="00D5661B">
            <w:pPr>
              <w:pStyle w:val="TableText"/>
            </w:pPr>
            <w:r>
              <w:t>414</w:t>
            </w:r>
          </w:p>
        </w:tc>
        <w:tc>
          <w:tcPr>
            <w:tcW w:w="2073" w:type="dxa"/>
          </w:tcPr>
          <w:p w14:paraId="4EBF793A" w14:textId="56783106" w:rsidR="00E52EFC" w:rsidRDefault="00313FE4" w:rsidP="00D5661B">
            <w:pPr>
              <w:pStyle w:val="TableText"/>
            </w:pPr>
            <w:r>
              <w:t>152</w:t>
            </w:r>
          </w:p>
        </w:tc>
        <w:tc>
          <w:tcPr>
            <w:tcW w:w="1603" w:type="dxa"/>
          </w:tcPr>
          <w:p w14:paraId="229A9797" w14:textId="7347140A" w:rsidR="00E52EFC" w:rsidRDefault="00313FE4" w:rsidP="00D5661B">
            <w:pPr>
              <w:pStyle w:val="TableText"/>
            </w:pPr>
            <w:r>
              <w:t>1,780</w:t>
            </w:r>
          </w:p>
        </w:tc>
        <w:tc>
          <w:tcPr>
            <w:tcW w:w="1697" w:type="dxa"/>
          </w:tcPr>
          <w:p w14:paraId="1FB63674" w14:textId="09FA243F" w:rsidR="00E52EFC" w:rsidRDefault="00313FE4" w:rsidP="00D5661B">
            <w:pPr>
              <w:pStyle w:val="TableText"/>
            </w:pPr>
            <w:r>
              <w:t>991</w:t>
            </w:r>
          </w:p>
        </w:tc>
        <w:tc>
          <w:tcPr>
            <w:tcW w:w="1508" w:type="dxa"/>
          </w:tcPr>
          <w:p w14:paraId="2C53B544" w14:textId="06124D8F" w:rsidR="00E52EFC" w:rsidRDefault="00313FE4" w:rsidP="00D5661B">
            <w:pPr>
              <w:pStyle w:val="TableText"/>
            </w:pPr>
            <w:r>
              <w:t>81,989</w:t>
            </w:r>
          </w:p>
        </w:tc>
      </w:tr>
      <w:tr w:rsidR="00E52EFC" w14:paraId="0EA9F899" w14:textId="77777777" w:rsidTr="00B0342A">
        <w:trPr>
          <w:jc w:val="center"/>
        </w:trPr>
        <w:tc>
          <w:tcPr>
            <w:tcW w:w="1597" w:type="dxa"/>
          </w:tcPr>
          <w:p w14:paraId="02175387" w14:textId="6E663907" w:rsidR="00E52EFC" w:rsidRDefault="00A76817" w:rsidP="00D5661B">
            <w:pPr>
              <w:pStyle w:val="TableText"/>
            </w:pPr>
            <w:r>
              <w:t>Monterey</w:t>
            </w:r>
          </w:p>
        </w:tc>
        <w:tc>
          <w:tcPr>
            <w:tcW w:w="1602" w:type="dxa"/>
          </w:tcPr>
          <w:p w14:paraId="53EC1225" w14:textId="541D01E1" w:rsidR="00E52EFC" w:rsidRDefault="00EC2C46" w:rsidP="00D5661B">
            <w:pPr>
              <w:pStyle w:val="TableText"/>
            </w:pPr>
            <w:r>
              <w:t>725</w:t>
            </w:r>
          </w:p>
        </w:tc>
        <w:tc>
          <w:tcPr>
            <w:tcW w:w="2073" w:type="dxa"/>
          </w:tcPr>
          <w:p w14:paraId="228106D0" w14:textId="2B88CD09" w:rsidR="00E52EFC" w:rsidRDefault="00EC2C46" w:rsidP="00D5661B">
            <w:pPr>
              <w:pStyle w:val="TableText"/>
            </w:pPr>
            <w:r>
              <w:t>253</w:t>
            </w:r>
          </w:p>
        </w:tc>
        <w:tc>
          <w:tcPr>
            <w:tcW w:w="1603" w:type="dxa"/>
          </w:tcPr>
          <w:p w14:paraId="4AEF1D39" w14:textId="21518848" w:rsidR="00E52EFC" w:rsidRDefault="00EC2C46" w:rsidP="00D5661B">
            <w:pPr>
              <w:pStyle w:val="TableText"/>
            </w:pPr>
            <w:r>
              <w:t>1,145</w:t>
            </w:r>
          </w:p>
        </w:tc>
        <w:tc>
          <w:tcPr>
            <w:tcW w:w="1697" w:type="dxa"/>
          </w:tcPr>
          <w:p w14:paraId="5240EE5F" w14:textId="34FDCCA8" w:rsidR="00E52EFC" w:rsidRDefault="00E950B2" w:rsidP="00D5661B">
            <w:pPr>
              <w:pStyle w:val="TableText"/>
            </w:pPr>
            <w:r>
              <w:t>0</w:t>
            </w:r>
          </w:p>
        </w:tc>
        <w:tc>
          <w:tcPr>
            <w:tcW w:w="1508" w:type="dxa"/>
          </w:tcPr>
          <w:p w14:paraId="2005841C" w14:textId="0E8EB274" w:rsidR="00E52EFC" w:rsidRDefault="00EC2C46" w:rsidP="00D5661B">
            <w:pPr>
              <w:pStyle w:val="TableText"/>
            </w:pPr>
            <w:r>
              <w:t>467,331</w:t>
            </w:r>
          </w:p>
        </w:tc>
      </w:tr>
      <w:tr w:rsidR="00E52EFC" w14:paraId="79533B43" w14:textId="77777777" w:rsidTr="00B0342A">
        <w:trPr>
          <w:jc w:val="center"/>
        </w:trPr>
        <w:tc>
          <w:tcPr>
            <w:tcW w:w="1597" w:type="dxa"/>
          </w:tcPr>
          <w:p w14:paraId="29B2B191" w14:textId="4C1C6894" w:rsidR="00E52EFC" w:rsidRDefault="00A76817" w:rsidP="00D5661B">
            <w:pPr>
              <w:pStyle w:val="TableText"/>
            </w:pPr>
            <w:r>
              <w:t>Modoc</w:t>
            </w:r>
          </w:p>
        </w:tc>
        <w:tc>
          <w:tcPr>
            <w:tcW w:w="1602" w:type="dxa"/>
          </w:tcPr>
          <w:p w14:paraId="4752D30E" w14:textId="7AD2257A" w:rsidR="00E52EFC" w:rsidRDefault="00403EEF" w:rsidP="00D5661B">
            <w:pPr>
              <w:pStyle w:val="TableText"/>
            </w:pPr>
            <w:r>
              <w:t>704</w:t>
            </w:r>
          </w:p>
        </w:tc>
        <w:tc>
          <w:tcPr>
            <w:tcW w:w="2073" w:type="dxa"/>
          </w:tcPr>
          <w:p w14:paraId="4F778F96" w14:textId="6AF98C67" w:rsidR="00E52EFC" w:rsidRDefault="00403EEF" w:rsidP="00D5661B">
            <w:pPr>
              <w:pStyle w:val="TableText"/>
            </w:pPr>
            <w:r>
              <w:t>791</w:t>
            </w:r>
          </w:p>
        </w:tc>
        <w:tc>
          <w:tcPr>
            <w:tcW w:w="1603" w:type="dxa"/>
          </w:tcPr>
          <w:p w14:paraId="38CC3C9E" w14:textId="13F9F01F" w:rsidR="00E52EFC" w:rsidRDefault="00403EEF" w:rsidP="00D5661B">
            <w:pPr>
              <w:pStyle w:val="TableText"/>
            </w:pPr>
            <w:r>
              <w:t>421</w:t>
            </w:r>
          </w:p>
        </w:tc>
        <w:tc>
          <w:tcPr>
            <w:tcW w:w="1697" w:type="dxa"/>
          </w:tcPr>
          <w:p w14:paraId="0E3E4C0C" w14:textId="7602F664" w:rsidR="00E52EFC" w:rsidRDefault="00403EEF" w:rsidP="00D5661B">
            <w:pPr>
              <w:pStyle w:val="TableText"/>
            </w:pPr>
            <w:r>
              <w:t>136,931</w:t>
            </w:r>
          </w:p>
        </w:tc>
        <w:tc>
          <w:tcPr>
            <w:tcW w:w="1508" w:type="dxa"/>
          </w:tcPr>
          <w:p w14:paraId="06F82940" w14:textId="71C2F964" w:rsidR="00E52EFC" w:rsidRDefault="00403EEF" w:rsidP="00D5661B">
            <w:pPr>
              <w:pStyle w:val="TableText"/>
            </w:pPr>
            <w:r>
              <w:t>241,786</w:t>
            </w:r>
          </w:p>
        </w:tc>
      </w:tr>
      <w:tr w:rsidR="00E52EFC" w14:paraId="47EB83E5" w14:textId="77777777" w:rsidTr="00B0342A">
        <w:trPr>
          <w:jc w:val="center"/>
        </w:trPr>
        <w:tc>
          <w:tcPr>
            <w:tcW w:w="1597" w:type="dxa"/>
          </w:tcPr>
          <w:p w14:paraId="09157054" w14:textId="689C34F6" w:rsidR="00E52EFC" w:rsidRDefault="00A76817" w:rsidP="00D5661B">
            <w:pPr>
              <w:pStyle w:val="TableText"/>
            </w:pPr>
            <w:r>
              <w:t>Mariposa</w:t>
            </w:r>
          </w:p>
        </w:tc>
        <w:tc>
          <w:tcPr>
            <w:tcW w:w="1602" w:type="dxa"/>
          </w:tcPr>
          <w:p w14:paraId="16830B14" w14:textId="3CF1F637" w:rsidR="00E52EFC" w:rsidRDefault="000A14EE" w:rsidP="00D5661B">
            <w:pPr>
              <w:pStyle w:val="TableText"/>
            </w:pPr>
            <w:r>
              <w:t>0.09</w:t>
            </w:r>
          </w:p>
        </w:tc>
        <w:tc>
          <w:tcPr>
            <w:tcW w:w="2073" w:type="dxa"/>
          </w:tcPr>
          <w:p w14:paraId="3C4CB976" w14:textId="1991F4F7" w:rsidR="00E52EFC" w:rsidRDefault="000A14EE" w:rsidP="00D5661B">
            <w:pPr>
              <w:pStyle w:val="TableText"/>
            </w:pPr>
            <w:r>
              <w:t>2</w:t>
            </w:r>
          </w:p>
        </w:tc>
        <w:tc>
          <w:tcPr>
            <w:tcW w:w="1603" w:type="dxa"/>
          </w:tcPr>
          <w:p w14:paraId="6673AA5F" w14:textId="173CE8F8" w:rsidR="00E52EFC" w:rsidRDefault="000A14EE" w:rsidP="00D5661B">
            <w:pPr>
              <w:pStyle w:val="TableText"/>
            </w:pPr>
            <w:r>
              <w:t>30</w:t>
            </w:r>
          </w:p>
        </w:tc>
        <w:tc>
          <w:tcPr>
            <w:tcW w:w="1697" w:type="dxa"/>
          </w:tcPr>
          <w:p w14:paraId="7E5BFBCA" w14:textId="4A1A29D3" w:rsidR="00E52EFC" w:rsidRDefault="00E950B2" w:rsidP="00D5661B">
            <w:pPr>
              <w:pStyle w:val="TableText"/>
            </w:pPr>
            <w:r>
              <w:t>0</w:t>
            </w:r>
          </w:p>
        </w:tc>
        <w:tc>
          <w:tcPr>
            <w:tcW w:w="1508" w:type="dxa"/>
          </w:tcPr>
          <w:p w14:paraId="29D76933" w14:textId="52BE78D9" w:rsidR="00E52EFC" w:rsidRDefault="000A14EE" w:rsidP="00D5661B">
            <w:pPr>
              <w:pStyle w:val="TableText"/>
            </w:pPr>
            <w:r>
              <w:t>256,503</w:t>
            </w:r>
          </w:p>
        </w:tc>
      </w:tr>
      <w:tr w:rsidR="00E52EFC" w14:paraId="7D3D4C4D" w14:textId="77777777" w:rsidTr="00B0342A">
        <w:trPr>
          <w:jc w:val="center"/>
        </w:trPr>
        <w:tc>
          <w:tcPr>
            <w:tcW w:w="1597" w:type="dxa"/>
          </w:tcPr>
          <w:p w14:paraId="312FD523" w14:textId="57DAF159" w:rsidR="00E52EFC" w:rsidRDefault="00A76817" w:rsidP="00D5661B">
            <w:pPr>
              <w:pStyle w:val="TableText"/>
            </w:pPr>
            <w:r>
              <w:t>Napa</w:t>
            </w:r>
          </w:p>
        </w:tc>
        <w:tc>
          <w:tcPr>
            <w:tcW w:w="1602" w:type="dxa"/>
          </w:tcPr>
          <w:p w14:paraId="13107D9A" w14:textId="74E7F256" w:rsidR="00E52EFC" w:rsidRDefault="00F14C4B" w:rsidP="00D5661B">
            <w:pPr>
              <w:pStyle w:val="TableText"/>
            </w:pPr>
            <w:r>
              <w:t>767</w:t>
            </w:r>
          </w:p>
        </w:tc>
        <w:tc>
          <w:tcPr>
            <w:tcW w:w="2073" w:type="dxa"/>
          </w:tcPr>
          <w:p w14:paraId="7AAF4745" w14:textId="6E11D518" w:rsidR="00E52EFC" w:rsidRDefault="00F14C4B" w:rsidP="00D5661B">
            <w:pPr>
              <w:pStyle w:val="TableText"/>
            </w:pPr>
            <w:r>
              <w:t>596</w:t>
            </w:r>
          </w:p>
        </w:tc>
        <w:tc>
          <w:tcPr>
            <w:tcW w:w="1603" w:type="dxa"/>
          </w:tcPr>
          <w:p w14:paraId="314E2977" w14:textId="00E6D446" w:rsidR="00E52EFC" w:rsidRDefault="00F14C4B" w:rsidP="00D5661B">
            <w:pPr>
              <w:pStyle w:val="TableText"/>
            </w:pPr>
            <w:r>
              <w:t>4,456</w:t>
            </w:r>
          </w:p>
        </w:tc>
        <w:tc>
          <w:tcPr>
            <w:tcW w:w="1697" w:type="dxa"/>
          </w:tcPr>
          <w:p w14:paraId="1E997666" w14:textId="6C809F18" w:rsidR="00E52EFC" w:rsidRDefault="00F14C4B" w:rsidP="00D5661B">
            <w:pPr>
              <w:pStyle w:val="TableText"/>
            </w:pPr>
            <w:r>
              <w:t>7,060</w:t>
            </w:r>
          </w:p>
        </w:tc>
        <w:tc>
          <w:tcPr>
            <w:tcW w:w="1508" w:type="dxa"/>
          </w:tcPr>
          <w:p w14:paraId="005FFB6E" w14:textId="0CFD3111" w:rsidR="00E52EFC" w:rsidRDefault="00F14C4B" w:rsidP="00D5661B">
            <w:pPr>
              <w:pStyle w:val="TableText"/>
            </w:pPr>
            <w:r>
              <w:t>131,666</w:t>
            </w:r>
          </w:p>
        </w:tc>
      </w:tr>
      <w:tr w:rsidR="00E52EFC" w14:paraId="0FFE333E" w14:textId="77777777" w:rsidTr="00B0342A">
        <w:trPr>
          <w:jc w:val="center"/>
        </w:trPr>
        <w:tc>
          <w:tcPr>
            <w:tcW w:w="1597" w:type="dxa"/>
          </w:tcPr>
          <w:p w14:paraId="33A51FA9" w14:textId="295325FC" w:rsidR="00E52EFC" w:rsidRDefault="00A76817" w:rsidP="00D5661B">
            <w:pPr>
              <w:pStyle w:val="TableText"/>
            </w:pPr>
            <w:r>
              <w:t>Nevada</w:t>
            </w:r>
          </w:p>
        </w:tc>
        <w:tc>
          <w:tcPr>
            <w:tcW w:w="1602" w:type="dxa"/>
          </w:tcPr>
          <w:p w14:paraId="60BC57A8" w14:textId="21ACC6A7" w:rsidR="00E52EFC" w:rsidRDefault="00761413" w:rsidP="00D5661B">
            <w:pPr>
              <w:pStyle w:val="TableText"/>
            </w:pPr>
            <w:r>
              <w:t>86</w:t>
            </w:r>
          </w:p>
        </w:tc>
        <w:tc>
          <w:tcPr>
            <w:tcW w:w="2073" w:type="dxa"/>
          </w:tcPr>
          <w:p w14:paraId="347BA9E3" w14:textId="2F893352" w:rsidR="00E52EFC" w:rsidRDefault="00761413" w:rsidP="00D5661B">
            <w:pPr>
              <w:pStyle w:val="TableText"/>
            </w:pPr>
            <w:r>
              <w:t>288</w:t>
            </w:r>
          </w:p>
        </w:tc>
        <w:tc>
          <w:tcPr>
            <w:tcW w:w="1603" w:type="dxa"/>
          </w:tcPr>
          <w:p w14:paraId="07314BD9" w14:textId="46C8790E" w:rsidR="00E52EFC" w:rsidRDefault="00761413" w:rsidP="00D5661B">
            <w:pPr>
              <w:pStyle w:val="TableText"/>
            </w:pPr>
            <w:r>
              <w:t>130</w:t>
            </w:r>
          </w:p>
        </w:tc>
        <w:tc>
          <w:tcPr>
            <w:tcW w:w="1697" w:type="dxa"/>
          </w:tcPr>
          <w:p w14:paraId="09378A45" w14:textId="114F28B9" w:rsidR="00E52EFC" w:rsidRDefault="00761413" w:rsidP="00D5661B">
            <w:pPr>
              <w:pStyle w:val="TableText"/>
            </w:pPr>
            <w:r>
              <w:t>3,866</w:t>
            </w:r>
          </w:p>
        </w:tc>
        <w:tc>
          <w:tcPr>
            <w:tcW w:w="1508" w:type="dxa"/>
          </w:tcPr>
          <w:p w14:paraId="32C022A7" w14:textId="74D89062" w:rsidR="00E52EFC" w:rsidRDefault="00761413" w:rsidP="00D5661B">
            <w:pPr>
              <w:pStyle w:val="TableText"/>
            </w:pPr>
            <w:r>
              <w:t>114,204</w:t>
            </w:r>
          </w:p>
        </w:tc>
      </w:tr>
      <w:tr w:rsidR="00E52EFC" w14:paraId="4334E2BB" w14:textId="77777777" w:rsidTr="00B0342A">
        <w:trPr>
          <w:jc w:val="center"/>
        </w:trPr>
        <w:tc>
          <w:tcPr>
            <w:tcW w:w="1597" w:type="dxa"/>
          </w:tcPr>
          <w:p w14:paraId="26008B72" w14:textId="5BB3A7EE" w:rsidR="00E52EFC" w:rsidRDefault="00A76817" w:rsidP="00D5661B">
            <w:pPr>
              <w:pStyle w:val="TableText"/>
            </w:pPr>
            <w:r>
              <w:t>Orange</w:t>
            </w:r>
          </w:p>
        </w:tc>
        <w:tc>
          <w:tcPr>
            <w:tcW w:w="1602" w:type="dxa"/>
          </w:tcPr>
          <w:p w14:paraId="7DF2578C" w14:textId="53DCF6BE" w:rsidR="00E52EFC" w:rsidRDefault="0053141E" w:rsidP="00D5661B">
            <w:pPr>
              <w:pStyle w:val="TableText"/>
            </w:pPr>
            <w:r>
              <w:t>15</w:t>
            </w:r>
          </w:p>
        </w:tc>
        <w:tc>
          <w:tcPr>
            <w:tcW w:w="2073" w:type="dxa"/>
          </w:tcPr>
          <w:p w14:paraId="55158C78" w14:textId="632B1192" w:rsidR="00E52EFC" w:rsidRDefault="00A910A0" w:rsidP="00D5661B">
            <w:pPr>
              <w:pStyle w:val="TableText"/>
            </w:pPr>
            <w:r>
              <w:t>11</w:t>
            </w:r>
          </w:p>
        </w:tc>
        <w:tc>
          <w:tcPr>
            <w:tcW w:w="1603" w:type="dxa"/>
          </w:tcPr>
          <w:p w14:paraId="36BAC61D" w14:textId="0062C44D" w:rsidR="00E52EFC" w:rsidRDefault="0053141E" w:rsidP="00D5661B">
            <w:pPr>
              <w:pStyle w:val="TableText"/>
            </w:pPr>
            <w:r>
              <w:t>108</w:t>
            </w:r>
          </w:p>
        </w:tc>
        <w:tc>
          <w:tcPr>
            <w:tcW w:w="1697" w:type="dxa"/>
          </w:tcPr>
          <w:p w14:paraId="364F1D4E" w14:textId="293FC3F3" w:rsidR="00E52EFC" w:rsidRDefault="00E950B2" w:rsidP="00D5661B">
            <w:pPr>
              <w:pStyle w:val="TableText"/>
            </w:pPr>
            <w:r>
              <w:t>0</w:t>
            </w:r>
          </w:p>
        </w:tc>
        <w:tc>
          <w:tcPr>
            <w:tcW w:w="1508" w:type="dxa"/>
          </w:tcPr>
          <w:p w14:paraId="1423F9DA" w14:textId="47946AA3" w:rsidR="00E52EFC" w:rsidRDefault="00A910A0" w:rsidP="00D5661B">
            <w:pPr>
              <w:pStyle w:val="TableText"/>
            </w:pPr>
            <w:r>
              <w:t>25,</w:t>
            </w:r>
            <w:r w:rsidR="008E63DC">
              <w:t>611</w:t>
            </w:r>
          </w:p>
        </w:tc>
      </w:tr>
      <w:tr w:rsidR="00E52EFC" w14:paraId="7F32B442" w14:textId="77777777" w:rsidTr="00B0342A">
        <w:trPr>
          <w:jc w:val="center"/>
        </w:trPr>
        <w:tc>
          <w:tcPr>
            <w:tcW w:w="1597" w:type="dxa"/>
          </w:tcPr>
          <w:p w14:paraId="5EEB0529" w14:textId="4507EB70" w:rsidR="00E52EFC" w:rsidRDefault="00A76817" w:rsidP="00D5661B">
            <w:pPr>
              <w:pStyle w:val="TableText"/>
            </w:pPr>
            <w:r>
              <w:t>Placer</w:t>
            </w:r>
          </w:p>
        </w:tc>
        <w:tc>
          <w:tcPr>
            <w:tcW w:w="1602" w:type="dxa"/>
          </w:tcPr>
          <w:p w14:paraId="7931DEF1" w14:textId="478FF4BF" w:rsidR="00E52EFC" w:rsidRDefault="00A17781" w:rsidP="00D5661B">
            <w:pPr>
              <w:pStyle w:val="TableText"/>
            </w:pPr>
            <w:r>
              <w:t>126</w:t>
            </w:r>
          </w:p>
        </w:tc>
        <w:tc>
          <w:tcPr>
            <w:tcW w:w="2073" w:type="dxa"/>
          </w:tcPr>
          <w:p w14:paraId="0942B6B8" w14:textId="68949D81" w:rsidR="00E52EFC" w:rsidRDefault="00A17781" w:rsidP="00D5661B">
            <w:pPr>
              <w:pStyle w:val="TableText"/>
            </w:pPr>
            <w:r>
              <w:t>347</w:t>
            </w:r>
          </w:p>
        </w:tc>
        <w:tc>
          <w:tcPr>
            <w:tcW w:w="1603" w:type="dxa"/>
          </w:tcPr>
          <w:p w14:paraId="5F686B5C" w14:textId="44A88243" w:rsidR="00E52EFC" w:rsidRDefault="00A17781" w:rsidP="00D5661B">
            <w:pPr>
              <w:pStyle w:val="TableText"/>
            </w:pPr>
            <w:r>
              <w:t>197</w:t>
            </w:r>
          </w:p>
        </w:tc>
        <w:tc>
          <w:tcPr>
            <w:tcW w:w="1697" w:type="dxa"/>
          </w:tcPr>
          <w:p w14:paraId="43EBA34E" w14:textId="28969595" w:rsidR="00E52EFC" w:rsidRDefault="00A17781" w:rsidP="00D5661B">
            <w:pPr>
              <w:pStyle w:val="TableText"/>
            </w:pPr>
            <w:r>
              <w:t>48,780</w:t>
            </w:r>
          </w:p>
        </w:tc>
        <w:tc>
          <w:tcPr>
            <w:tcW w:w="1508" w:type="dxa"/>
          </w:tcPr>
          <w:p w14:paraId="41E4BCFB" w14:textId="57F4D719" w:rsidR="00E52EFC" w:rsidRDefault="00A17781" w:rsidP="00D5661B">
            <w:pPr>
              <w:pStyle w:val="TableText"/>
            </w:pPr>
            <w:r>
              <w:t>6,129</w:t>
            </w:r>
          </w:p>
        </w:tc>
      </w:tr>
      <w:tr w:rsidR="00E52EFC" w14:paraId="5FE5A1D8" w14:textId="77777777" w:rsidTr="00B0342A">
        <w:trPr>
          <w:jc w:val="center"/>
        </w:trPr>
        <w:tc>
          <w:tcPr>
            <w:tcW w:w="1597" w:type="dxa"/>
          </w:tcPr>
          <w:p w14:paraId="573A4854" w14:textId="2982C7A8" w:rsidR="00E52EFC" w:rsidRDefault="00A76817" w:rsidP="00D5661B">
            <w:pPr>
              <w:pStyle w:val="TableText"/>
            </w:pPr>
            <w:r>
              <w:t>Riverside</w:t>
            </w:r>
          </w:p>
        </w:tc>
        <w:tc>
          <w:tcPr>
            <w:tcW w:w="1602" w:type="dxa"/>
          </w:tcPr>
          <w:p w14:paraId="71F59E32" w14:textId="14BF3977" w:rsidR="00E52EFC" w:rsidRDefault="00400DE0" w:rsidP="00D5661B">
            <w:pPr>
              <w:pStyle w:val="TableText"/>
            </w:pPr>
            <w:r>
              <w:t>212</w:t>
            </w:r>
          </w:p>
        </w:tc>
        <w:tc>
          <w:tcPr>
            <w:tcW w:w="2073" w:type="dxa"/>
          </w:tcPr>
          <w:p w14:paraId="76C2E2A4" w14:textId="7DA42D89" w:rsidR="00E52EFC" w:rsidRDefault="00400DE0" w:rsidP="00D5661B">
            <w:pPr>
              <w:pStyle w:val="TableText"/>
            </w:pPr>
            <w:r>
              <w:t>140</w:t>
            </w:r>
          </w:p>
        </w:tc>
        <w:tc>
          <w:tcPr>
            <w:tcW w:w="1603" w:type="dxa"/>
          </w:tcPr>
          <w:p w14:paraId="2D7D9ECC" w14:textId="10E0F0AC" w:rsidR="00E52EFC" w:rsidRDefault="00400DE0" w:rsidP="00D5661B">
            <w:pPr>
              <w:pStyle w:val="TableText"/>
            </w:pPr>
            <w:r>
              <w:t>2,409</w:t>
            </w:r>
          </w:p>
        </w:tc>
        <w:tc>
          <w:tcPr>
            <w:tcW w:w="1697" w:type="dxa"/>
          </w:tcPr>
          <w:p w14:paraId="4741BD45" w14:textId="00444AB4" w:rsidR="00E52EFC" w:rsidRDefault="00400DE0" w:rsidP="00D5661B">
            <w:pPr>
              <w:pStyle w:val="TableText"/>
            </w:pPr>
            <w:r>
              <w:t>35,568</w:t>
            </w:r>
          </w:p>
        </w:tc>
        <w:tc>
          <w:tcPr>
            <w:tcW w:w="1508" w:type="dxa"/>
          </w:tcPr>
          <w:p w14:paraId="4006CCA5" w14:textId="270C7833" w:rsidR="00E52EFC" w:rsidRDefault="00400DE0" w:rsidP="00D5661B">
            <w:pPr>
              <w:pStyle w:val="TableText"/>
            </w:pPr>
            <w:r>
              <w:t>53,890</w:t>
            </w:r>
          </w:p>
        </w:tc>
      </w:tr>
      <w:tr w:rsidR="00E52EFC" w14:paraId="7BA2AD30" w14:textId="77777777" w:rsidTr="00B0342A">
        <w:trPr>
          <w:jc w:val="center"/>
        </w:trPr>
        <w:tc>
          <w:tcPr>
            <w:tcW w:w="1597" w:type="dxa"/>
          </w:tcPr>
          <w:p w14:paraId="077EB563" w14:textId="2B5A5873" w:rsidR="00E52EFC" w:rsidRDefault="00A76817" w:rsidP="00D5661B">
            <w:pPr>
              <w:pStyle w:val="TableText"/>
            </w:pPr>
            <w:r>
              <w:t>Sacramento</w:t>
            </w:r>
          </w:p>
        </w:tc>
        <w:tc>
          <w:tcPr>
            <w:tcW w:w="1602" w:type="dxa"/>
          </w:tcPr>
          <w:p w14:paraId="2301493E" w14:textId="2791BD81" w:rsidR="00E52EFC" w:rsidRDefault="00FA59EF" w:rsidP="00D5661B">
            <w:pPr>
              <w:pStyle w:val="TableText"/>
            </w:pPr>
            <w:r>
              <w:t>100</w:t>
            </w:r>
          </w:p>
        </w:tc>
        <w:tc>
          <w:tcPr>
            <w:tcW w:w="2073" w:type="dxa"/>
          </w:tcPr>
          <w:p w14:paraId="0363A4CC" w14:textId="138539F2" w:rsidR="00E52EFC" w:rsidRDefault="00FA59EF" w:rsidP="00D5661B">
            <w:pPr>
              <w:pStyle w:val="TableText"/>
            </w:pPr>
            <w:r>
              <w:t>35</w:t>
            </w:r>
          </w:p>
        </w:tc>
        <w:tc>
          <w:tcPr>
            <w:tcW w:w="1603" w:type="dxa"/>
          </w:tcPr>
          <w:p w14:paraId="20B5CE59" w14:textId="674125BF" w:rsidR="00E52EFC" w:rsidRDefault="00FA59EF" w:rsidP="00D5661B">
            <w:pPr>
              <w:pStyle w:val="TableText"/>
            </w:pPr>
            <w:r>
              <w:t>269</w:t>
            </w:r>
          </w:p>
        </w:tc>
        <w:tc>
          <w:tcPr>
            <w:tcW w:w="1697" w:type="dxa"/>
          </w:tcPr>
          <w:p w14:paraId="79B9F48F" w14:textId="71AB1864" w:rsidR="00E52EFC" w:rsidRDefault="00FA59EF" w:rsidP="00D5661B">
            <w:pPr>
              <w:pStyle w:val="TableText"/>
            </w:pPr>
            <w:r>
              <w:t>952</w:t>
            </w:r>
          </w:p>
        </w:tc>
        <w:tc>
          <w:tcPr>
            <w:tcW w:w="1508" w:type="dxa"/>
          </w:tcPr>
          <w:p w14:paraId="6DE8160C" w14:textId="3276FF95" w:rsidR="00E52EFC" w:rsidRDefault="00FA59EF" w:rsidP="00D5661B">
            <w:pPr>
              <w:pStyle w:val="TableText"/>
            </w:pPr>
            <w:r>
              <w:t>42,744</w:t>
            </w:r>
          </w:p>
        </w:tc>
      </w:tr>
      <w:tr w:rsidR="00E52EFC" w14:paraId="6647746C" w14:textId="77777777" w:rsidTr="00B0342A">
        <w:trPr>
          <w:jc w:val="center"/>
        </w:trPr>
        <w:tc>
          <w:tcPr>
            <w:tcW w:w="1597" w:type="dxa"/>
          </w:tcPr>
          <w:p w14:paraId="2ADAFAC2" w14:textId="7E1C6816" w:rsidR="00E52EFC" w:rsidRDefault="00A76817" w:rsidP="00D5661B">
            <w:pPr>
              <w:pStyle w:val="TableText"/>
            </w:pPr>
            <w:r>
              <w:t>Santa Barbara</w:t>
            </w:r>
          </w:p>
        </w:tc>
        <w:tc>
          <w:tcPr>
            <w:tcW w:w="1602" w:type="dxa"/>
          </w:tcPr>
          <w:p w14:paraId="2DD2A2BE" w14:textId="188AAE77" w:rsidR="00E52EFC" w:rsidRDefault="00396BB7" w:rsidP="00D5661B">
            <w:pPr>
              <w:pStyle w:val="TableText"/>
            </w:pPr>
            <w:r>
              <w:t>1,084</w:t>
            </w:r>
          </w:p>
        </w:tc>
        <w:tc>
          <w:tcPr>
            <w:tcW w:w="2073" w:type="dxa"/>
          </w:tcPr>
          <w:p w14:paraId="04BA2AB2" w14:textId="42E22EAC" w:rsidR="00E52EFC" w:rsidRDefault="00396BB7" w:rsidP="00D5661B">
            <w:pPr>
              <w:pStyle w:val="TableText"/>
            </w:pPr>
            <w:r>
              <w:t>322</w:t>
            </w:r>
          </w:p>
        </w:tc>
        <w:tc>
          <w:tcPr>
            <w:tcW w:w="1603" w:type="dxa"/>
          </w:tcPr>
          <w:p w14:paraId="75048FB4" w14:textId="53AC56AA" w:rsidR="00E52EFC" w:rsidRDefault="00396BB7" w:rsidP="00D5661B">
            <w:pPr>
              <w:pStyle w:val="TableText"/>
            </w:pPr>
            <w:r>
              <w:t>3,097</w:t>
            </w:r>
          </w:p>
        </w:tc>
        <w:tc>
          <w:tcPr>
            <w:tcW w:w="1697" w:type="dxa"/>
          </w:tcPr>
          <w:p w14:paraId="4B09F090" w14:textId="41693B12" w:rsidR="00E52EFC" w:rsidRDefault="00396BB7" w:rsidP="00D5661B">
            <w:pPr>
              <w:pStyle w:val="TableText"/>
            </w:pPr>
            <w:r>
              <w:t>2,074</w:t>
            </w:r>
          </w:p>
        </w:tc>
        <w:tc>
          <w:tcPr>
            <w:tcW w:w="1508" w:type="dxa"/>
          </w:tcPr>
          <w:p w14:paraId="575EAE09" w14:textId="77BD697C" w:rsidR="00E52EFC" w:rsidRDefault="00396BB7" w:rsidP="00D5661B">
            <w:pPr>
              <w:pStyle w:val="TableText"/>
            </w:pPr>
            <w:r>
              <w:t>345,662</w:t>
            </w:r>
          </w:p>
        </w:tc>
      </w:tr>
      <w:tr w:rsidR="00E52EFC" w14:paraId="177A7018" w14:textId="77777777" w:rsidTr="00B0342A">
        <w:trPr>
          <w:jc w:val="center"/>
        </w:trPr>
        <w:tc>
          <w:tcPr>
            <w:tcW w:w="1597" w:type="dxa"/>
          </w:tcPr>
          <w:p w14:paraId="5E4A3550" w14:textId="3213DA1A" w:rsidR="00E52EFC" w:rsidRDefault="00A76817" w:rsidP="00D5661B">
            <w:pPr>
              <w:pStyle w:val="TableText"/>
            </w:pPr>
            <w:r>
              <w:t>San Bernardino</w:t>
            </w:r>
          </w:p>
        </w:tc>
        <w:tc>
          <w:tcPr>
            <w:tcW w:w="1602" w:type="dxa"/>
          </w:tcPr>
          <w:p w14:paraId="5FEC3559" w14:textId="07DEBE11" w:rsidR="00E52EFC" w:rsidRDefault="00EC48FC" w:rsidP="00D5661B">
            <w:pPr>
              <w:pStyle w:val="TableText"/>
            </w:pPr>
            <w:r>
              <w:t>95</w:t>
            </w:r>
          </w:p>
        </w:tc>
        <w:tc>
          <w:tcPr>
            <w:tcW w:w="2073" w:type="dxa"/>
          </w:tcPr>
          <w:p w14:paraId="03C777C5" w14:textId="5E4A5B33" w:rsidR="00E52EFC" w:rsidRDefault="00EC48FC" w:rsidP="00D5661B">
            <w:pPr>
              <w:pStyle w:val="TableText"/>
            </w:pPr>
            <w:r>
              <w:t>45</w:t>
            </w:r>
          </w:p>
        </w:tc>
        <w:tc>
          <w:tcPr>
            <w:tcW w:w="1603" w:type="dxa"/>
          </w:tcPr>
          <w:p w14:paraId="164A6B47" w14:textId="2E6E9492" w:rsidR="00E52EFC" w:rsidRDefault="00EC48FC" w:rsidP="00D5661B">
            <w:pPr>
              <w:pStyle w:val="TableText"/>
            </w:pPr>
            <w:r>
              <w:t>99</w:t>
            </w:r>
          </w:p>
        </w:tc>
        <w:tc>
          <w:tcPr>
            <w:tcW w:w="1697" w:type="dxa"/>
          </w:tcPr>
          <w:p w14:paraId="40024ACD" w14:textId="43DE787C" w:rsidR="00E52EFC" w:rsidRDefault="00EC48FC" w:rsidP="00D5661B">
            <w:pPr>
              <w:pStyle w:val="TableText"/>
            </w:pPr>
            <w:r>
              <w:t>11</w:t>
            </w:r>
          </w:p>
        </w:tc>
        <w:tc>
          <w:tcPr>
            <w:tcW w:w="1508" w:type="dxa"/>
          </w:tcPr>
          <w:p w14:paraId="32FC634E" w14:textId="5ACB9DAA" w:rsidR="00E52EFC" w:rsidRDefault="00EC48FC" w:rsidP="00D5661B">
            <w:pPr>
              <w:pStyle w:val="TableText"/>
            </w:pPr>
            <w:r>
              <w:t>119,789</w:t>
            </w:r>
          </w:p>
        </w:tc>
      </w:tr>
      <w:tr w:rsidR="00E52EFC" w14:paraId="0663A6A2" w14:textId="77777777" w:rsidTr="00B0342A">
        <w:trPr>
          <w:jc w:val="center"/>
        </w:trPr>
        <w:tc>
          <w:tcPr>
            <w:tcW w:w="1597" w:type="dxa"/>
          </w:tcPr>
          <w:p w14:paraId="4F2B0A81" w14:textId="39383F20" w:rsidR="00E52EFC" w:rsidRDefault="00A76817" w:rsidP="00D5661B">
            <w:pPr>
              <w:pStyle w:val="TableText"/>
            </w:pPr>
            <w:r>
              <w:t>San Benito</w:t>
            </w:r>
          </w:p>
        </w:tc>
        <w:tc>
          <w:tcPr>
            <w:tcW w:w="1602" w:type="dxa"/>
          </w:tcPr>
          <w:p w14:paraId="413EE323" w14:textId="371F0F06" w:rsidR="00E52EFC" w:rsidRDefault="00EC48FC" w:rsidP="00D5661B">
            <w:pPr>
              <w:pStyle w:val="TableText"/>
            </w:pPr>
            <w:r>
              <w:t>428</w:t>
            </w:r>
          </w:p>
        </w:tc>
        <w:tc>
          <w:tcPr>
            <w:tcW w:w="2073" w:type="dxa"/>
          </w:tcPr>
          <w:p w14:paraId="249C7B40" w14:textId="552B8E59" w:rsidR="00E52EFC" w:rsidRDefault="00EC48FC" w:rsidP="00D5661B">
            <w:pPr>
              <w:pStyle w:val="TableText"/>
            </w:pPr>
            <w:r>
              <w:t>65</w:t>
            </w:r>
          </w:p>
        </w:tc>
        <w:tc>
          <w:tcPr>
            <w:tcW w:w="1603" w:type="dxa"/>
          </w:tcPr>
          <w:p w14:paraId="22310F4F" w14:textId="02BDC7E2" w:rsidR="00E52EFC" w:rsidRDefault="00EC48FC" w:rsidP="00D5661B">
            <w:pPr>
              <w:pStyle w:val="TableText"/>
            </w:pPr>
            <w:r>
              <w:t>334</w:t>
            </w:r>
          </w:p>
        </w:tc>
        <w:tc>
          <w:tcPr>
            <w:tcW w:w="1697" w:type="dxa"/>
          </w:tcPr>
          <w:p w14:paraId="4F2500FF" w14:textId="0E82B3A7" w:rsidR="00E52EFC" w:rsidRDefault="00EC48FC" w:rsidP="00D5661B">
            <w:pPr>
              <w:pStyle w:val="TableText"/>
            </w:pPr>
            <w:r>
              <w:t>987</w:t>
            </w:r>
          </w:p>
        </w:tc>
        <w:tc>
          <w:tcPr>
            <w:tcW w:w="1508" w:type="dxa"/>
          </w:tcPr>
          <w:p w14:paraId="59A4126C" w14:textId="700A3E32" w:rsidR="00E52EFC" w:rsidRDefault="00EC48FC" w:rsidP="00D5661B">
            <w:pPr>
              <w:pStyle w:val="TableText"/>
            </w:pPr>
            <w:r>
              <w:t>228,261</w:t>
            </w:r>
          </w:p>
        </w:tc>
      </w:tr>
      <w:tr w:rsidR="00E52EFC" w14:paraId="6F8A7795" w14:textId="77777777" w:rsidTr="00B0342A">
        <w:trPr>
          <w:jc w:val="center"/>
        </w:trPr>
        <w:tc>
          <w:tcPr>
            <w:tcW w:w="1597" w:type="dxa"/>
          </w:tcPr>
          <w:p w14:paraId="08C7B221" w14:textId="73E2054C" w:rsidR="00E52EFC" w:rsidRDefault="00A76817" w:rsidP="00D5661B">
            <w:pPr>
              <w:pStyle w:val="TableText"/>
            </w:pPr>
            <w:r>
              <w:t>Santa Clara</w:t>
            </w:r>
          </w:p>
        </w:tc>
        <w:tc>
          <w:tcPr>
            <w:tcW w:w="1602" w:type="dxa"/>
          </w:tcPr>
          <w:p w14:paraId="70094C17" w14:textId="5ECB9285" w:rsidR="00E52EFC" w:rsidRDefault="00CD265A" w:rsidP="00D5661B">
            <w:pPr>
              <w:pStyle w:val="TableText"/>
            </w:pPr>
            <w:r>
              <w:t>85</w:t>
            </w:r>
          </w:p>
        </w:tc>
        <w:tc>
          <w:tcPr>
            <w:tcW w:w="2073" w:type="dxa"/>
          </w:tcPr>
          <w:p w14:paraId="2FB8FFB9" w14:textId="0885DC1C" w:rsidR="00E52EFC" w:rsidRDefault="00CD265A" w:rsidP="00D5661B">
            <w:pPr>
              <w:pStyle w:val="TableText"/>
            </w:pPr>
            <w:r>
              <w:t>4</w:t>
            </w:r>
          </w:p>
        </w:tc>
        <w:tc>
          <w:tcPr>
            <w:tcW w:w="1603" w:type="dxa"/>
          </w:tcPr>
          <w:p w14:paraId="67372F4D" w14:textId="0C3059B4" w:rsidR="00E52EFC" w:rsidRDefault="00CD265A" w:rsidP="00D5661B">
            <w:pPr>
              <w:pStyle w:val="TableText"/>
            </w:pPr>
            <w:r>
              <w:t>197</w:t>
            </w:r>
          </w:p>
        </w:tc>
        <w:tc>
          <w:tcPr>
            <w:tcW w:w="1697" w:type="dxa"/>
          </w:tcPr>
          <w:p w14:paraId="4B1E87AC" w14:textId="0471458D" w:rsidR="00E52EFC" w:rsidRDefault="00CD265A" w:rsidP="00D5661B">
            <w:pPr>
              <w:pStyle w:val="TableText"/>
            </w:pPr>
            <w:r>
              <w:t>837</w:t>
            </w:r>
          </w:p>
        </w:tc>
        <w:tc>
          <w:tcPr>
            <w:tcW w:w="1508" w:type="dxa"/>
          </w:tcPr>
          <w:p w14:paraId="6D479E22" w14:textId="5B7D8BBF" w:rsidR="00E52EFC" w:rsidRDefault="00CD265A" w:rsidP="00D5661B">
            <w:pPr>
              <w:pStyle w:val="TableText"/>
            </w:pPr>
            <w:r>
              <w:t>223,765</w:t>
            </w:r>
          </w:p>
        </w:tc>
      </w:tr>
      <w:tr w:rsidR="00E52EFC" w14:paraId="3C38526C" w14:textId="77777777" w:rsidTr="00B0342A">
        <w:trPr>
          <w:jc w:val="center"/>
        </w:trPr>
        <w:tc>
          <w:tcPr>
            <w:tcW w:w="1597" w:type="dxa"/>
          </w:tcPr>
          <w:p w14:paraId="2E1A8B70" w14:textId="5A9C09B1" w:rsidR="00E52EFC" w:rsidRDefault="00A76817" w:rsidP="00D5661B">
            <w:pPr>
              <w:pStyle w:val="TableText"/>
            </w:pPr>
            <w:r>
              <w:t>Santa Cruz</w:t>
            </w:r>
          </w:p>
        </w:tc>
        <w:tc>
          <w:tcPr>
            <w:tcW w:w="1602" w:type="dxa"/>
          </w:tcPr>
          <w:p w14:paraId="4B64085A" w14:textId="656EDA9D" w:rsidR="00E52EFC" w:rsidRDefault="00B333A3" w:rsidP="00D5661B">
            <w:pPr>
              <w:pStyle w:val="TableText"/>
            </w:pPr>
            <w:r>
              <w:t>191</w:t>
            </w:r>
          </w:p>
        </w:tc>
        <w:tc>
          <w:tcPr>
            <w:tcW w:w="2073" w:type="dxa"/>
          </w:tcPr>
          <w:p w14:paraId="57A1352B" w14:textId="39C34EFE" w:rsidR="00E52EFC" w:rsidRDefault="00B333A3" w:rsidP="00D5661B">
            <w:pPr>
              <w:pStyle w:val="TableText"/>
            </w:pPr>
            <w:r>
              <w:t>86</w:t>
            </w:r>
          </w:p>
        </w:tc>
        <w:tc>
          <w:tcPr>
            <w:tcW w:w="1603" w:type="dxa"/>
          </w:tcPr>
          <w:p w14:paraId="5E818F9B" w14:textId="2684CA61" w:rsidR="00E52EFC" w:rsidRDefault="00B333A3" w:rsidP="00D5661B">
            <w:pPr>
              <w:pStyle w:val="TableText"/>
            </w:pPr>
            <w:r>
              <w:t>426</w:t>
            </w:r>
          </w:p>
        </w:tc>
        <w:tc>
          <w:tcPr>
            <w:tcW w:w="1697" w:type="dxa"/>
          </w:tcPr>
          <w:p w14:paraId="2B6F171C" w14:textId="2712723E" w:rsidR="00E52EFC" w:rsidRDefault="00B333A3" w:rsidP="00D5661B">
            <w:pPr>
              <w:pStyle w:val="TableText"/>
            </w:pPr>
            <w:r>
              <w:t>72</w:t>
            </w:r>
          </w:p>
        </w:tc>
        <w:tc>
          <w:tcPr>
            <w:tcW w:w="1508" w:type="dxa"/>
          </w:tcPr>
          <w:p w14:paraId="5FD652EE" w14:textId="1334CA28" w:rsidR="00E52EFC" w:rsidRDefault="00B333A3" w:rsidP="00D5661B">
            <w:pPr>
              <w:pStyle w:val="TableText"/>
            </w:pPr>
            <w:r>
              <w:t>13,383</w:t>
            </w:r>
          </w:p>
        </w:tc>
      </w:tr>
      <w:tr w:rsidR="00E52EFC" w14:paraId="4696837E" w14:textId="77777777" w:rsidTr="00B0342A">
        <w:trPr>
          <w:jc w:val="center"/>
        </w:trPr>
        <w:tc>
          <w:tcPr>
            <w:tcW w:w="1597" w:type="dxa"/>
          </w:tcPr>
          <w:p w14:paraId="57BECA88" w14:textId="179897E8" w:rsidR="00E52EFC" w:rsidRDefault="00A76817" w:rsidP="00D5661B">
            <w:pPr>
              <w:pStyle w:val="TableText"/>
            </w:pPr>
            <w:r>
              <w:t>San Diego</w:t>
            </w:r>
          </w:p>
        </w:tc>
        <w:tc>
          <w:tcPr>
            <w:tcW w:w="1602" w:type="dxa"/>
          </w:tcPr>
          <w:p w14:paraId="4D6CA051" w14:textId="5209C2FF" w:rsidR="00E52EFC" w:rsidRDefault="002C73AC" w:rsidP="00D5661B">
            <w:pPr>
              <w:pStyle w:val="TableText"/>
            </w:pPr>
            <w:r>
              <w:t>436</w:t>
            </w:r>
          </w:p>
        </w:tc>
        <w:tc>
          <w:tcPr>
            <w:tcW w:w="2073" w:type="dxa"/>
          </w:tcPr>
          <w:p w14:paraId="5B4F2641" w14:textId="319B0D7C" w:rsidR="00E52EFC" w:rsidRDefault="00A17B5D" w:rsidP="00D5661B">
            <w:pPr>
              <w:pStyle w:val="TableText"/>
            </w:pPr>
            <w:r>
              <w:t>434</w:t>
            </w:r>
          </w:p>
        </w:tc>
        <w:tc>
          <w:tcPr>
            <w:tcW w:w="1603" w:type="dxa"/>
          </w:tcPr>
          <w:p w14:paraId="067B7BDC" w14:textId="394B1CCD" w:rsidR="00E52EFC" w:rsidRDefault="002C73AC" w:rsidP="00D5661B">
            <w:pPr>
              <w:pStyle w:val="TableText"/>
            </w:pPr>
            <w:r>
              <w:t>3,789</w:t>
            </w:r>
          </w:p>
        </w:tc>
        <w:tc>
          <w:tcPr>
            <w:tcW w:w="1697" w:type="dxa"/>
          </w:tcPr>
          <w:p w14:paraId="4A4B5E25" w14:textId="0B984285" w:rsidR="00E52EFC" w:rsidRDefault="00A17B5D" w:rsidP="00D5661B">
            <w:pPr>
              <w:pStyle w:val="TableText"/>
            </w:pPr>
            <w:r>
              <w:t>55,176</w:t>
            </w:r>
          </w:p>
        </w:tc>
        <w:tc>
          <w:tcPr>
            <w:tcW w:w="1508" w:type="dxa"/>
          </w:tcPr>
          <w:p w14:paraId="48678643" w14:textId="51A2ADF0" w:rsidR="00E52EFC" w:rsidRDefault="00A17B5D" w:rsidP="00D5661B">
            <w:pPr>
              <w:pStyle w:val="TableText"/>
            </w:pPr>
            <w:r>
              <w:t>64,076</w:t>
            </w:r>
          </w:p>
        </w:tc>
      </w:tr>
      <w:tr w:rsidR="00E52EFC" w14:paraId="06AF4204" w14:textId="77777777" w:rsidTr="00B0342A">
        <w:trPr>
          <w:jc w:val="center"/>
        </w:trPr>
        <w:tc>
          <w:tcPr>
            <w:tcW w:w="1597" w:type="dxa"/>
          </w:tcPr>
          <w:p w14:paraId="173F59BC" w14:textId="73880F9A" w:rsidR="00E52EFC" w:rsidRDefault="00A76817" w:rsidP="00D5661B">
            <w:pPr>
              <w:pStyle w:val="TableText"/>
            </w:pPr>
            <w:r>
              <w:t>Shasta</w:t>
            </w:r>
          </w:p>
        </w:tc>
        <w:tc>
          <w:tcPr>
            <w:tcW w:w="1602" w:type="dxa"/>
          </w:tcPr>
          <w:p w14:paraId="7462366B" w14:textId="31E89056" w:rsidR="00E52EFC" w:rsidRDefault="00F8094D" w:rsidP="00D5661B">
            <w:pPr>
              <w:pStyle w:val="TableText"/>
            </w:pPr>
            <w:r>
              <w:t>952</w:t>
            </w:r>
          </w:p>
        </w:tc>
        <w:tc>
          <w:tcPr>
            <w:tcW w:w="2073" w:type="dxa"/>
          </w:tcPr>
          <w:p w14:paraId="76CE9EC1" w14:textId="571D18DE" w:rsidR="00E52EFC" w:rsidRDefault="00F8094D" w:rsidP="00D5661B">
            <w:pPr>
              <w:pStyle w:val="TableText"/>
            </w:pPr>
            <w:r>
              <w:t>183</w:t>
            </w:r>
          </w:p>
        </w:tc>
        <w:tc>
          <w:tcPr>
            <w:tcW w:w="1603" w:type="dxa"/>
          </w:tcPr>
          <w:p w14:paraId="6FAD43ED" w14:textId="0BE92DFC" w:rsidR="00E52EFC" w:rsidRDefault="00B36C5F" w:rsidP="00D5661B">
            <w:pPr>
              <w:pStyle w:val="TableText"/>
            </w:pPr>
            <w:r>
              <w:t>53</w:t>
            </w:r>
          </w:p>
        </w:tc>
        <w:tc>
          <w:tcPr>
            <w:tcW w:w="1697" w:type="dxa"/>
          </w:tcPr>
          <w:p w14:paraId="6513D800" w14:textId="4D02A75E" w:rsidR="00E52EFC" w:rsidRDefault="00D13C85" w:rsidP="00D5661B">
            <w:pPr>
              <w:pStyle w:val="TableText"/>
            </w:pPr>
            <w:r>
              <w:t>1,318</w:t>
            </w:r>
          </w:p>
        </w:tc>
        <w:tc>
          <w:tcPr>
            <w:tcW w:w="1508" w:type="dxa"/>
          </w:tcPr>
          <w:p w14:paraId="45527069" w14:textId="237C0043" w:rsidR="00E52EFC" w:rsidRDefault="00F8094D" w:rsidP="00D5661B">
            <w:pPr>
              <w:pStyle w:val="TableText"/>
            </w:pPr>
            <w:r>
              <w:t>318,141</w:t>
            </w:r>
          </w:p>
        </w:tc>
      </w:tr>
      <w:tr w:rsidR="00E52EFC" w14:paraId="4CAAE227" w14:textId="77777777" w:rsidTr="00B0342A">
        <w:trPr>
          <w:jc w:val="center"/>
        </w:trPr>
        <w:tc>
          <w:tcPr>
            <w:tcW w:w="1597" w:type="dxa"/>
          </w:tcPr>
          <w:p w14:paraId="0C844D14" w14:textId="7D1CAC6F" w:rsidR="00E52EFC" w:rsidRDefault="00A76817" w:rsidP="00D5661B">
            <w:pPr>
              <w:pStyle w:val="TableText"/>
            </w:pPr>
            <w:r>
              <w:t>Siskiyou</w:t>
            </w:r>
          </w:p>
        </w:tc>
        <w:tc>
          <w:tcPr>
            <w:tcW w:w="1602" w:type="dxa"/>
          </w:tcPr>
          <w:p w14:paraId="4A8D9F87" w14:textId="738DF771" w:rsidR="00E52EFC" w:rsidRDefault="003633E9" w:rsidP="00D5661B">
            <w:pPr>
              <w:pStyle w:val="TableText"/>
            </w:pPr>
            <w:r>
              <w:t>523</w:t>
            </w:r>
          </w:p>
        </w:tc>
        <w:tc>
          <w:tcPr>
            <w:tcW w:w="2073" w:type="dxa"/>
          </w:tcPr>
          <w:p w14:paraId="362DDEC7" w14:textId="28C28F1A" w:rsidR="00E52EFC" w:rsidRDefault="003633E9" w:rsidP="00D5661B">
            <w:pPr>
              <w:pStyle w:val="TableText"/>
            </w:pPr>
            <w:r>
              <w:t>352</w:t>
            </w:r>
          </w:p>
        </w:tc>
        <w:tc>
          <w:tcPr>
            <w:tcW w:w="1603" w:type="dxa"/>
          </w:tcPr>
          <w:p w14:paraId="18C83EE1" w14:textId="7BD713CF" w:rsidR="00E52EFC" w:rsidRDefault="003633E9" w:rsidP="00D5661B">
            <w:pPr>
              <w:pStyle w:val="TableText"/>
            </w:pPr>
            <w:r>
              <w:t>568</w:t>
            </w:r>
          </w:p>
        </w:tc>
        <w:tc>
          <w:tcPr>
            <w:tcW w:w="1697" w:type="dxa"/>
          </w:tcPr>
          <w:p w14:paraId="5520F542" w14:textId="6C055BAB" w:rsidR="00E52EFC" w:rsidRDefault="003633E9" w:rsidP="00D5661B">
            <w:pPr>
              <w:pStyle w:val="TableText"/>
            </w:pPr>
            <w:r>
              <w:t>408,724</w:t>
            </w:r>
          </w:p>
        </w:tc>
        <w:tc>
          <w:tcPr>
            <w:tcW w:w="1508" w:type="dxa"/>
          </w:tcPr>
          <w:p w14:paraId="6C6DD5AB" w14:textId="30E5562F" w:rsidR="00E52EFC" w:rsidRDefault="003633E9" w:rsidP="00D5661B">
            <w:pPr>
              <w:pStyle w:val="TableText"/>
            </w:pPr>
            <w:r>
              <w:t>178,958</w:t>
            </w:r>
          </w:p>
        </w:tc>
      </w:tr>
      <w:tr w:rsidR="00E52EFC" w14:paraId="5F7BA65B" w14:textId="77777777" w:rsidTr="00B0342A">
        <w:trPr>
          <w:jc w:val="center"/>
        </w:trPr>
        <w:tc>
          <w:tcPr>
            <w:tcW w:w="1597" w:type="dxa"/>
          </w:tcPr>
          <w:p w14:paraId="52B2D4B3" w14:textId="03CA88AE" w:rsidR="00E52EFC" w:rsidRDefault="00A76817" w:rsidP="00D5661B">
            <w:pPr>
              <w:pStyle w:val="TableText"/>
            </w:pPr>
            <w:r>
              <w:t>San Joaquin</w:t>
            </w:r>
          </w:p>
        </w:tc>
        <w:tc>
          <w:tcPr>
            <w:tcW w:w="1602" w:type="dxa"/>
          </w:tcPr>
          <w:p w14:paraId="3196AB66" w14:textId="2F37CE8E" w:rsidR="00E52EFC" w:rsidRDefault="00EC7FBF" w:rsidP="00D5661B">
            <w:pPr>
              <w:pStyle w:val="TableText"/>
            </w:pPr>
            <w:r>
              <w:t>393</w:t>
            </w:r>
          </w:p>
        </w:tc>
        <w:tc>
          <w:tcPr>
            <w:tcW w:w="2073" w:type="dxa"/>
          </w:tcPr>
          <w:p w14:paraId="7C3A2FC2" w14:textId="5CE9E9D4" w:rsidR="00E52EFC" w:rsidRDefault="00EC7FBF" w:rsidP="00D5661B">
            <w:pPr>
              <w:pStyle w:val="TableText"/>
            </w:pPr>
            <w:r>
              <w:t>2</w:t>
            </w:r>
          </w:p>
        </w:tc>
        <w:tc>
          <w:tcPr>
            <w:tcW w:w="1603" w:type="dxa"/>
          </w:tcPr>
          <w:p w14:paraId="5F471F29" w14:textId="5736F913" w:rsidR="00E52EFC" w:rsidRDefault="00EC7FBF" w:rsidP="00D5661B">
            <w:pPr>
              <w:pStyle w:val="TableText"/>
            </w:pPr>
            <w:r>
              <w:t>3,563</w:t>
            </w:r>
          </w:p>
        </w:tc>
        <w:tc>
          <w:tcPr>
            <w:tcW w:w="1697" w:type="dxa"/>
          </w:tcPr>
          <w:p w14:paraId="46834122" w14:textId="6C7EF0D4" w:rsidR="00E52EFC" w:rsidRDefault="00EC7FBF" w:rsidP="00D5661B">
            <w:pPr>
              <w:pStyle w:val="TableText"/>
            </w:pPr>
            <w:r>
              <w:t>4,677</w:t>
            </w:r>
          </w:p>
        </w:tc>
        <w:tc>
          <w:tcPr>
            <w:tcW w:w="1508" w:type="dxa"/>
          </w:tcPr>
          <w:p w14:paraId="34669C01" w14:textId="1015A626" w:rsidR="00E52EFC" w:rsidRDefault="00EC7FBF" w:rsidP="00D5661B">
            <w:pPr>
              <w:pStyle w:val="TableText"/>
            </w:pPr>
            <w:r>
              <w:t>53,937</w:t>
            </w:r>
          </w:p>
        </w:tc>
      </w:tr>
      <w:tr w:rsidR="00A76817" w14:paraId="4211F359" w14:textId="77777777" w:rsidTr="00B0342A">
        <w:trPr>
          <w:jc w:val="center"/>
        </w:trPr>
        <w:tc>
          <w:tcPr>
            <w:tcW w:w="1597" w:type="dxa"/>
          </w:tcPr>
          <w:p w14:paraId="6FB4BD58" w14:textId="49A7A8C9" w:rsidR="00A76817" w:rsidRDefault="00A76817" w:rsidP="00D5661B">
            <w:pPr>
              <w:pStyle w:val="TableText"/>
            </w:pPr>
            <w:r>
              <w:t>San Luis Obispo</w:t>
            </w:r>
          </w:p>
        </w:tc>
        <w:tc>
          <w:tcPr>
            <w:tcW w:w="1602" w:type="dxa"/>
          </w:tcPr>
          <w:p w14:paraId="03D0BE80" w14:textId="3B6584F4" w:rsidR="00A76817" w:rsidRDefault="006563EE" w:rsidP="00D5661B">
            <w:pPr>
              <w:pStyle w:val="TableText"/>
            </w:pPr>
            <w:r>
              <w:t>1,051</w:t>
            </w:r>
          </w:p>
        </w:tc>
        <w:tc>
          <w:tcPr>
            <w:tcW w:w="2073" w:type="dxa"/>
          </w:tcPr>
          <w:p w14:paraId="7A28ECC5" w14:textId="64B90484" w:rsidR="00A76817" w:rsidRDefault="006563EE" w:rsidP="00D5661B">
            <w:pPr>
              <w:pStyle w:val="TableText"/>
            </w:pPr>
            <w:r>
              <w:t>708</w:t>
            </w:r>
          </w:p>
        </w:tc>
        <w:tc>
          <w:tcPr>
            <w:tcW w:w="1603" w:type="dxa"/>
          </w:tcPr>
          <w:p w14:paraId="0F102B38" w14:textId="614B70BA" w:rsidR="00A76817" w:rsidRDefault="006563EE" w:rsidP="00D5661B">
            <w:pPr>
              <w:pStyle w:val="TableText"/>
            </w:pPr>
            <w:r>
              <w:t>5,777</w:t>
            </w:r>
          </w:p>
        </w:tc>
        <w:tc>
          <w:tcPr>
            <w:tcW w:w="1697" w:type="dxa"/>
          </w:tcPr>
          <w:p w14:paraId="7A56BB50" w14:textId="45A285A4" w:rsidR="00A76817" w:rsidRDefault="006563EE" w:rsidP="00D5661B">
            <w:pPr>
              <w:pStyle w:val="TableText"/>
            </w:pPr>
            <w:r>
              <w:t>8,442</w:t>
            </w:r>
          </w:p>
        </w:tc>
        <w:tc>
          <w:tcPr>
            <w:tcW w:w="1508" w:type="dxa"/>
          </w:tcPr>
          <w:p w14:paraId="6C5CE033" w14:textId="4F8BA260" w:rsidR="00A76817" w:rsidRDefault="006563EE" w:rsidP="00D5661B">
            <w:pPr>
              <w:pStyle w:val="TableText"/>
            </w:pPr>
            <w:r>
              <w:t>476,037</w:t>
            </w:r>
          </w:p>
        </w:tc>
      </w:tr>
      <w:tr w:rsidR="00A76817" w14:paraId="6BE4297D" w14:textId="77777777" w:rsidTr="00B0342A">
        <w:trPr>
          <w:jc w:val="center"/>
        </w:trPr>
        <w:tc>
          <w:tcPr>
            <w:tcW w:w="1597" w:type="dxa"/>
          </w:tcPr>
          <w:p w14:paraId="1A404FBE" w14:textId="4D7EB45B" w:rsidR="00A76817" w:rsidRDefault="00A76817" w:rsidP="00D5661B">
            <w:pPr>
              <w:pStyle w:val="TableText"/>
            </w:pPr>
            <w:r>
              <w:t>San Mateo</w:t>
            </w:r>
          </w:p>
        </w:tc>
        <w:tc>
          <w:tcPr>
            <w:tcW w:w="1602" w:type="dxa"/>
          </w:tcPr>
          <w:p w14:paraId="303FF1EF" w14:textId="63E18261" w:rsidR="00A76817" w:rsidRDefault="000149E9" w:rsidP="00D5661B">
            <w:pPr>
              <w:pStyle w:val="TableText"/>
            </w:pPr>
            <w:r>
              <w:t>198</w:t>
            </w:r>
          </w:p>
        </w:tc>
        <w:tc>
          <w:tcPr>
            <w:tcW w:w="2073" w:type="dxa"/>
          </w:tcPr>
          <w:p w14:paraId="2031235C" w14:textId="3A158980" w:rsidR="00A76817" w:rsidRDefault="000149E9" w:rsidP="00D5661B">
            <w:pPr>
              <w:pStyle w:val="TableText"/>
            </w:pPr>
            <w:r>
              <w:t>12</w:t>
            </w:r>
          </w:p>
        </w:tc>
        <w:tc>
          <w:tcPr>
            <w:tcW w:w="1603" w:type="dxa"/>
          </w:tcPr>
          <w:p w14:paraId="1826497B" w14:textId="49BE5555" w:rsidR="00A76817" w:rsidRDefault="000149E9" w:rsidP="00D5661B">
            <w:pPr>
              <w:pStyle w:val="TableText"/>
            </w:pPr>
            <w:r>
              <w:t>264</w:t>
            </w:r>
          </w:p>
        </w:tc>
        <w:tc>
          <w:tcPr>
            <w:tcW w:w="1697" w:type="dxa"/>
          </w:tcPr>
          <w:p w14:paraId="0FDDAAFC" w14:textId="2293FC9B" w:rsidR="00A76817" w:rsidRDefault="000149E9" w:rsidP="00D5661B">
            <w:pPr>
              <w:pStyle w:val="TableText"/>
            </w:pPr>
            <w:r>
              <w:t>208</w:t>
            </w:r>
          </w:p>
        </w:tc>
        <w:tc>
          <w:tcPr>
            <w:tcW w:w="1508" w:type="dxa"/>
          </w:tcPr>
          <w:p w14:paraId="45F53AF9" w14:textId="5114DD05" w:rsidR="00A76817" w:rsidRDefault="000149E9" w:rsidP="00D5661B">
            <w:pPr>
              <w:pStyle w:val="TableText"/>
            </w:pPr>
            <w:r>
              <w:t>41,874</w:t>
            </w:r>
          </w:p>
        </w:tc>
      </w:tr>
      <w:tr w:rsidR="00A76817" w14:paraId="08C3B5AE" w14:textId="77777777" w:rsidTr="00B0342A">
        <w:trPr>
          <w:jc w:val="center"/>
        </w:trPr>
        <w:tc>
          <w:tcPr>
            <w:tcW w:w="1597" w:type="dxa"/>
          </w:tcPr>
          <w:p w14:paraId="244C4ADA" w14:textId="2200FCD5" w:rsidR="00A76817" w:rsidRDefault="00A76817" w:rsidP="00D5661B">
            <w:pPr>
              <w:pStyle w:val="TableText"/>
            </w:pPr>
            <w:r>
              <w:t>Solano</w:t>
            </w:r>
          </w:p>
        </w:tc>
        <w:tc>
          <w:tcPr>
            <w:tcW w:w="1602" w:type="dxa"/>
          </w:tcPr>
          <w:p w14:paraId="1DE0411F" w14:textId="17BC6FB3" w:rsidR="00A76817" w:rsidRDefault="004A486A" w:rsidP="00D5661B">
            <w:pPr>
              <w:pStyle w:val="TableText"/>
            </w:pPr>
            <w:r>
              <w:t>170</w:t>
            </w:r>
          </w:p>
        </w:tc>
        <w:tc>
          <w:tcPr>
            <w:tcW w:w="2073" w:type="dxa"/>
          </w:tcPr>
          <w:p w14:paraId="3F2F1761" w14:textId="665F5C53" w:rsidR="00A76817" w:rsidRDefault="004A486A" w:rsidP="00D5661B">
            <w:pPr>
              <w:pStyle w:val="TableText"/>
            </w:pPr>
            <w:r>
              <w:t>27</w:t>
            </w:r>
          </w:p>
        </w:tc>
        <w:tc>
          <w:tcPr>
            <w:tcW w:w="1603" w:type="dxa"/>
          </w:tcPr>
          <w:p w14:paraId="0CA0CB45" w14:textId="325D7B32" w:rsidR="00A76817" w:rsidRDefault="004A486A" w:rsidP="00D5661B">
            <w:pPr>
              <w:pStyle w:val="TableText"/>
            </w:pPr>
            <w:r>
              <w:t>159</w:t>
            </w:r>
          </w:p>
        </w:tc>
        <w:tc>
          <w:tcPr>
            <w:tcW w:w="1697" w:type="dxa"/>
          </w:tcPr>
          <w:p w14:paraId="0FA2C02E" w14:textId="3A98534D" w:rsidR="00A76817" w:rsidRDefault="00E950B2" w:rsidP="00D5661B">
            <w:pPr>
              <w:pStyle w:val="TableText"/>
            </w:pPr>
            <w:r>
              <w:t>0</w:t>
            </w:r>
          </w:p>
        </w:tc>
        <w:tc>
          <w:tcPr>
            <w:tcW w:w="1508" w:type="dxa"/>
          </w:tcPr>
          <w:p w14:paraId="71B35B55" w14:textId="4ECDC600" w:rsidR="00A76817" w:rsidRDefault="004A486A" w:rsidP="00D5661B">
            <w:pPr>
              <w:pStyle w:val="TableText"/>
            </w:pPr>
            <w:r>
              <w:t>57,340</w:t>
            </w:r>
          </w:p>
        </w:tc>
      </w:tr>
      <w:tr w:rsidR="00A76817" w14:paraId="3A2B6E1F" w14:textId="77777777" w:rsidTr="00B0342A">
        <w:trPr>
          <w:jc w:val="center"/>
        </w:trPr>
        <w:tc>
          <w:tcPr>
            <w:tcW w:w="1597" w:type="dxa"/>
          </w:tcPr>
          <w:p w14:paraId="571D99F8" w14:textId="360345FB" w:rsidR="00A76817" w:rsidRDefault="00A76817" w:rsidP="00D5661B">
            <w:pPr>
              <w:pStyle w:val="TableText"/>
            </w:pPr>
            <w:r>
              <w:lastRenderedPageBreak/>
              <w:t>Sonoma</w:t>
            </w:r>
          </w:p>
        </w:tc>
        <w:tc>
          <w:tcPr>
            <w:tcW w:w="1602" w:type="dxa"/>
          </w:tcPr>
          <w:p w14:paraId="25A89D0E" w14:textId="0F19CF32" w:rsidR="00A76817" w:rsidRDefault="00583D5E" w:rsidP="00D5661B">
            <w:pPr>
              <w:pStyle w:val="TableText"/>
            </w:pPr>
            <w:r>
              <w:t>382</w:t>
            </w:r>
          </w:p>
        </w:tc>
        <w:tc>
          <w:tcPr>
            <w:tcW w:w="2073" w:type="dxa"/>
          </w:tcPr>
          <w:p w14:paraId="509DF362" w14:textId="071D536F" w:rsidR="00A76817" w:rsidRDefault="00583D5E" w:rsidP="00D5661B">
            <w:pPr>
              <w:pStyle w:val="TableText"/>
            </w:pPr>
            <w:r>
              <w:t>782</w:t>
            </w:r>
          </w:p>
        </w:tc>
        <w:tc>
          <w:tcPr>
            <w:tcW w:w="1603" w:type="dxa"/>
          </w:tcPr>
          <w:p w14:paraId="568ED383" w14:textId="3AEAF120" w:rsidR="00A76817" w:rsidRDefault="00583D5E" w:rsidP="00D5661B">
            <w:pPr>
              <w:pStyle w:val="TableText"/>
            </w:pPr>
            <w:r>
              <w:t>3,695</w:t>
            </w:r>
          </w:p>
        </w:tc>
        <w:tc>
          <w:tcPr>
            <w:tcW w:w="1697" w:type="dxa"/>
          </w:tcPr>
          <w:p w14:paraId="40552B6C" w14:textId="31EF54F7" w:rsidR="00A76817" w:rsidRDefault="00583D5E" w:rsidP="00D5661B">
            <w:pPr>
              <w:pStyle w:val="TableText"/>
            </w:pPr>
            <w:r>
              <w:t>9,205</w:t>
            </w:r>
          </w:p>
        </w:tc>
        <w:tc>
          <w:tcPr>
            <w:tcW w:w="1508" w:type="dxa"/>
          </w:tcPr>
          <w:p w14:paraId="1E6F981E" w14:textId="58E0776A" w:rsidR="00A76817" w:rsidRDefault="00583D5E" w:rsidP="00D5661B">
            <w:pPr>
              <w:pStyle w:val="TableText"/>
            </w:pPr>
            <w:r>
              <w:t>327,612</w:t>
            </w:r>
          </w:p>
        </w:tc>
      </w:tr>
      <w:tr w:rsidR="00A76817" w14:paraId="3E634D83" w14:textId="77777777" w:rsidTr="00B0342A">
        <w:trPr>
          <w:jc w:val="center"/>
        </w:trPr>
        <w:tc>
          <w:tcPr>
            <w:tcW w:w="1597" w:type="dxa"/>
          </w:tcPr>
          <w:p w14:paraId="2F2C7015" w14:textId="0DB7613F" w:rsidR="00A76817" w:rsidRDefault="00A76817" w:rsidP="00D5661B">
            <w:pPr>
              <w:pStyle w:val="TableText"/>
            </w:pPr>
            <w:r>
              <w:t>Sierra Valley</w:t>
            </w:r>
          </w:p>
        </w:tc>
        <w:tc>
          <w:tcPr>
            <w:tcW w:w="1602" w:type="dxa"/>
          </w:tcPr>
          <w:p w14:paraId="56D4A0C8" w14:textId="635183E7" w:rsidR="00A76817" w:rsidRDefault="0038556B" w:rsidP="00D5661B">
            <w:pPr>
              <w:pStyle w:val="TableText"/>
            </w:pPr>
            <w:r>
              <w:t>47</w:t>
            </w:r>
          </w:p>
        </w:tc>
        <w:tc>
          <w:tcPr>
            <w:tcW w:w="2073" w:type="dxa"/>
          </w:tcPr>
          <w:p w14:paraId="3628F99D" w14:textId="1626B165" w:rsidR="00A76817" w:rsidRDefault="0038556B" w:rsidP="00D5661B">
            <w:pPr>
              <w:pStyle w:val="TableText"/>
            </w:pPr>
            <w:r>
              <w:t>2</w:t>
            </w:r>
          </w:p>
        </w:tc>
        <w:tc>
          <w:tcPr>
            <w:tcW w:w="1603" w:type="dxa"/>
          </w:tcPr>
          <w:p w14:paraId="5CFCD785" w14:textId="27553D37" w:rsidR="00A76817" w:rsidRDefault="002B29E0" w:rsidP="00D5661B">
            <w:pPr>
              <w:pStyle w:val="TableText"/>
            </w:pPr>
            <w:r>
              <w:t>6</w:t>
            </w:r>
          </w:p>
        </w:tc>
        <w:tc>
          <w:tcPr>
            <w:tcW w:w="1697" w:type="dxa"/>
          </w:tcPr>
          <w:p w14:paraId="6AE50133" w14:textId="1B43E14B" w:rsidR="00A76817" w:rsidRDefault="0038556B" w:rsidP="00D5661B">
            <w:pPr>
              <w:pStyle w:val="TableText"/>
            </w:pPr>
            <w:r>
              <w:t>15,141</w:t>
            </w:r>
          </w:p>
        </w:tc>
        <w:tc>
          <w:tcPr>
            <w:tcW w:w="1508" w:type="dxa"/>
          </w:tcPr>
          <w:p w14:paraId="6E6BF357" w14:textId="7ED616F4" w:rsidR="00A76817" w:rsidRDefault="0038556B" w:rsidP="00D5661B">
            <w:pPr>
              <w:pStyle w:val="TableText"/>
            </w:pPr>
            <w:r>
              <w:t>38,487</w:t>
            </w:r>
          </w:p>
        </w:tc>
      </w:tr>
      <w:tr w:rsidR="00A76817" w14:paraId="6820BEC6" w14:textId="77777777" w:rsidTr="00B0342A">
        <w:trPr>
          <w:jc w:val="center"/>
        </w:trPr>
        <w:tc>
          <w:tcPr>
            <w:tcW w:w="1597" w:type="dxa"/>
          </w:tcPr>
          <w:p w14:paraId="3BA8F371" w14:textId="359358CF" w:rsidR="00A76817" w:rsidRDefault="00A76817" w:rsidP="00D5661B">
            <w:pPr>
              <w:pStyle w:val="TableText"/>
            </w:pPr>
            <w:r>
              <w:t>Stanislaus</w:t>
            </w:r>
          </w:p>
        </w:tc>
        <w:tc>
          <w:tcPr>
            <w:tcW w:w="1602" w:type="dxa"/>
          </w:tcPr>
          <w:p w14:paraId="5B8FF9B6" w14:textId="3DD2E794" w:rsidR="00A76817" w:rsidRDefault="00DD399A" w:rsidP="00D5661B">
            <w:pPr>
              <w:pStyle w:val="TableText"/>
            </w:pPr>
            <w:r>
              <w:t>1,202</w:t>
            </w:r>
          </w:p>
        </w:tc>
        <w:tc>
          <w:tcPr>
            <w:tcW w:w="2073" w:type="dxa"/>
          </w:tcPr>
          <w:p w14:paraId="3D6B95C8" w14:textId="5C4960CA" w:rsidR="00A76817" w:rsidRDefault="00DD399A" w:rsidP="00D5661B">
            <w:pPr>
              <w:pStyle w:val="TableText"/>
            </w:pPr>
            <w:r>
              <w:t>341</w:t>
            </w:r>
          </w:p>
        </w:tc>
        <w:tc>
          <w:tcPr>
            <w:tcW w:w="1603" w:type="dxa"/>
          </w:tcPr>
          <w:p w14:paraId="635DEB40" w14:textId="1305D9D8" w:rsidR="00A76817" w:rsidRDefault="00DD399A" w:rsidP="00D5661B">
            <w:pPr>
              <w:pStyle w:val="TableText"/>
            </w:pPr>
            <w:r>
              <w:t>11,090</w:t>
            </w:r>
          </w:p>
        </w:tc>
        <w:tc>
          <w:tcPr>
            <w:tcW w:w="1697" w:type="dxa"/>
          </w:tcPr>
          <w:p w14:paraId="2516EF09" w14:textId="1AC66D85" w:rsidR="00A76817" w:rsidRDefault="00DD399A" w:rsidP="00D5661B">
            <w:pPr>
              <w:pStyle w:val="TableText"/>
            </w:pPr>
            <w:r>
              <w:t>1,300</w:t>
            </w:r>
          </w:p>
        </w:tc>
        <w:tc>
          <w:tcPr>
            <w:tcW w:w="1508" w:type="dxa"/>
          </w:tcPr>
          <w:p w14:paraId="7BDCFE9D" w14:textId="39F043BC" w:rsidR="00A76817" w:rsidRDefault="00DD399A" w:rsidP="00D5661B">
            <w:pPr>
              <w:pStyle w:val="TableText"/>
            </w:pPr>
            <w:r>
              <w:t>163,625</w:t>
            </w:r>
          </w:p>
        </w:tc>
      </w:tr>
      <w:tr w:rsidR="00A76817" w14:paraId="721232AE" w14:textId="77777777" w:rsidTr="00B0342A">
        <w:trPr>
          <w:jc w:val="center"/>
        </w:trPr>
        <w:tc>
          <w:tcPr>
            <w:tcW w:w="1597" w:type="dxa"/>
          </w:tcPr>
          <w:p w14:paraId="13C3422D" w14:textId="76870EB8" w:rsidR="00A76817" w:rsidRDefault="00A76817" w:rsidP="00D5661B">
            <w:pPr>
              <w:pStyle w:val="TableText"/>
            </w:pPr>
            <w:r>
              <w:t>Tehama</w:t>
            </w:r>
          </w:p>
        </w:tc>
        <w:tc>
          <w:tcPr>
            <w:tcW w:w="1602" w:type="dxa"/>
          </w:tcPr>
          <w:p w14:paraId="44CE69F3" w14:textId="72DDA64B" w:rsidR="00A76817" w:rsidRDefault="006D3D0A" w:rsidP="00D5661B">
            <w:pPr>
              <w:pStyle w:val="TableText"/>
            </w:pPr>
            <w:r>
              <w:t>1,219</w:t>
            </w:r>
          </w:p>
        </w:tc>
        <w:tc>
          <w:tcPr>
            <w:tcW w:w="2073" w:type="dxa"/>
          </w:tcPr>
          <w:p w14:paraId="3DC3728F" w14:textId="4AA48006" w:rsidR="00A76817" w:rsidRDefault="006D3D0A" w:rsidP="00D5661B">
            <w:pPr>
              <w:pStyle w:val="TableText"/>
            </w:pPr>
            <w:r>
              <w:t>342</w:t>
            </w:r>
          </w:p>
        </w:tc>
        <w:tc>
          <w:tcPr>
            <w:tcW w:w="1603" w:type="dxa"/>
          </w:tcPr>
          <w:p w14:paraId="0E0EA547" w14:textId="0A0C2AB7" w:rsidR="00A76817" w:rsidRDefault="006D3D0A" w:rsidP="00D5661B">
            <w:pPr>
              <w:pStyle w:val="TableText"/>
            </w:pPr>
            <w:r>
              <w:t>2,145</w:t>
            </w:r>
          </w:p>
        </w:tc>
        <w:tc>
          <w:tcPr>
            <w:tcW w:w="1697" w:type="dxa"/>
          </w:tcPr>
          <w:p w14:paraId="62E759A6" w14:textId="0975BB5A" w:rsidR="00A76817" w:rsidRDefault="006D3D0A" w:rsidP="00D5661B">
            <w:pPr>
              <w:pStyle w:val="TableText"/>
            </w:pPr>
            <w:r>
              <w:t>54,909</w:t>
            </w:r>
          </w:p>
        </w:tc>
        <w:tc>
          <w:tcPr>
            <w:tcW w:w="1508" w:type="dxa"/>
          </w:tcPr>
          <w:p w14:paraId="606732BC" w14:textId="7E2A0315" w:rsidR="00A76817" w:rsidRDefault="006D3D0A" w:rsidP="00D5661B">
            <w:pPr>
              <w:pStyle w:val="TableText"/>
            </w:pPr>
            <w:r>
              <w:t>718,955</w:t>
            </w:r>
          </w:p>
        </w:tc>
      </w:tr>
      <w:tr w:rsidR="00A76817" w14:paraId="76DDE4A9" w14:textId="77777777" w:rsidTr="00B0342A">
        <w:trPr>
          <w:jc w:val="center"/>
        </w:trPr>
        <w:tc>
          <w:tcPr>
            <w:tcW w:w="1597" w:type="dxa"/>
          </w:tcPr>
          <w:p w14:paraId="3F2F3BFD" w14:textId="74559AFA" w:rsidR="00A76817" w:rsidRDefault="00A76817" w:rsidP="00D5661B">
            <w:pPr>
              <w:pStyle w:val="TableText"/>
            </w:pPr>
            <w:r>
              <w:t>Tulare</w:t>
            </w:r>
          </w:p>
        </w:tc>
        <w:tc>
          <w:tcPr>
            <w:tcW w:w="1602" w:type="dxa"/>
          </w:tcPr>
          <w:p w14:paraId="121D3FA4" w14:textId="6B5386F0" w:rsidR="00A76817" w:rsidRDefault="003B778E" w:rsidP="00D5661B">
            <w:pPr>
              <w:pStyle w:val="TableText"/>
            </w:pPr>
            <w:r>
              <w:t>299</w:t>
            </w:r>
          </w:p>
        </w:tc>
        <w:tc>
          <w:tcPr>
            <w:tcW w:w="2073" w:type="dxa"/>
          </w:tcPr>
          <w:p w14:paraId="071F2B2E" w14:textId="231B3CAC" w:rsidR="00A76817" w:rsidRDefault="003B778E" w:rsidP="00D5661B">
            <w:pPr>
              <w:pStyle w:val="TableText"/>
            </w:pPr>
            <w:r>
              <w:t>365</w:t>
            </w:r>
          </w:p>
        </w:tc>
        <w:tc>
          <w:tcPr>
            <w:tcW w:w="1603" w:type="dxa"/>
          </w:tcPr>
          <w:p w14:paraId="51C84AD1" w14:textId="37637BDA" w:rsidR="00A76817" w:rsidRDefault="003B778E" w:rsidP="00D5661B">
            <w:pPr>
              <w:pStyle w:val="TableText"/>
            </w:pPr>
            <w:r>
              <w:t>372</w:t>
            </w:r>
          </w:p>
        </w:tc>
        <w:tc>
          <w:tcPr>
            <w:tcW w:w="1697" w:type="dxa"/>
          </w:tcPr>
          <w:p w14:paraId="0BEB1C3B" w14:textId="4AEF0AA6" w:rsidR="00A76817" w:rsidRDefault="003B778E" w:rsidP="00D5661B">
            <w:pPr>
              <w:pStyle w:val="TableText"/>
            </w:pPr>
            <w:r>
              <w:t>26,172</w:t>
            </w:r>
          </w:p>
        </w:tc>
        <w:tc>
          <w:tcPr>
            <w:tcW w:w="1508" w:type="dxa"/>
          </w:tcPr>
          <w:p w14:paraId="55A6B0EA" w14:textId="1338EAFE" w:rsidR="00A76817" w:rsidRDefault="003B778E" w:rsidP="00D5661B">
            <w:pPr>
              <w:pStyle w:val="TableText"/>
            </w:pPr>
            <w:r>
              <w:t>305,620</w:t>
            </w:r>
          </w:p>
        </w:tc>
      </w:tr>
      <w:tr w:rsidR="00A76817" w14:paraId="6F97D809" w14:textId="77777777" w:rsidTr="00B0342A">
        <w:trPr>
          <w:jc w:val="center"/>
        </w:trPr>
        <w:tc>
          <w:tcPr>
            <w:tcW w:w="1597" w:type="dxa"/>
          </w:tcPr>
          <w:p w14:paraId="399A1790" w14:textId="314B3A12" w:rsidR="00A76817" w:rsidRDefault="00A76817" w:rsidP="00D5661B">
            <w:pPr>
              <w:pStyle w:val="TableText"/>
            </w:pPr>
            <w:r>
              <w:t>Ventura</w:t>
            </w:r>
          </w:p>
        </w:tc>
        <w:tc>
          <w:tcPr>
            <w:tcW w:w="1602" w:type="dxa"/>
          </w:tcPr>
          <w:p w14:paraId="6786C601" w14:textId="5B6B2AF6" w:rsidR="00A76817" w:rsidRDefault="007970B5" w:rsidP="00D5661B">
            <w:pPr>
              <w:pStyle w:val="TableText"/>
            </w:pPr>
            <w:r>
              <w:t>653</w:t>
            </w:r>
          </w:p>
        </w:tc>
        <w:tc>
          <w:tcPr>
            <w:tcW w:w="2073" w:type="dxa"/>
          </w:tcPr>
          <w:p w14:paraId="3866F446" w14:textId="0D08A72E" w:rsidR="00A76817" w:rsidRDefault="007970B5" w:rsidP="00D5661B">
            <w:pPr>
              <w:pStyle w:val="TableText"/>
            </w:pPr>
            <w:r>
              <w:t>412</w:t>
            </w:r>
          </w:p>
        </w:tc>
        <w:tc>
          <w:tcPr>
            <w:tcW w:w="1603" w:type="dxa"/>
          </w:tcPr>
          <w:p w14:paraId="60B5E816" w14:textId="159E1AD9" w:rsidR="00A76817" w:rsidRDefault="007970B5" w:rsidP="00D5661B">
            <w:pPr>
              <w:pStyle w:val="TableText"/>
            </w:pPr>
            <w:r>
              <w:t>3,380</w:t>
            </w:r>
          </w:p>
        </w:tc>
        <w:tc>
          <w:tcPr>
            <w:tcW w:w="1697" w:type="dxa"/>
          </w:tcPr>
          <w:p w14:paraId="3D9578D9" w14:textId="153A7FB7" w:rsidR="00A76817" w:rsidRDefault="004E5C8A" w:rsidP="00D5661B">
            <w:pPr>
              <w:pStyle w:val="TableText"/>
            </w:pPr>
            <w:r>
              <w:t>7,156</w:t>
            </w:r>
          </w:p>
        </w:tc>
        <w:tc>
          <w:tcPr>
            <w:tcW w:w="1508" w:type="dxa"/>
          </w:tcPr>
          <w:p w14:paraId="2A49E30B" w14:textId="0F391948" w:rsidR="00A76817" w:rsidRDefault="007970B5" w:rsidP="00D5661B">
            <w:pPr>
              <w:pStyle w:val="TableText"/>
            </w:pPr>
            <w:r>
              <w:t>156,628</w:t>
            </w:r>
          </w:p>
        </w:tc>
      </w:tr>
      <w:tr w:rsidR="00A76817" w14:paraId="52B104A3" w14:textId="77777777" w:rsidTr="00B0342A">
        <w:trPr>
          <w:jc w:val="center"/>
        </w:trPr>
        <w:tc>
          <w:tcPr>
            <w:tcW w:w="1597" w:type="dxa"/>
          </w:tcPr>
          <w:p w14:paraId="2F47D691" w14:textId="08AB7D83" w:rsidR="00A76817" w:rsidRDefault="00A76817" w:rsidP="00D5661B">
            <w:pPr>
              <w:pStyle w:val="TableText"/>
            </w:pPr>
            <w:r>
              <w:t>Yolo</w:t>
            </w:r>
          </w:p>
        </w:tc>
        <w:tc>
          <w:tcPr>
            <w:tcW w:w="1602" w:type="dxa"/>
          </w:tcPr>
          <w:p w14:paraId="71FF57E8" w14:textId="329E28D1" w:rsidR="00A76817" w:rsidRDefault="00F131B1" w:rsidP="00D5661B">
            <w:pPr>
              <w:pStyle w:val="TableText"/>
            </w:pPr>
            <w:r>
              <w:t>281</w:t>
            </w:r>
          </w:p>
        </w:tc>
        <w:tc>
          <w:tcPr>
            <w:tcW w:w="2073" w:type="dxa"/>
          </w:tcPr>
          <w:p w14:paraId="6BDC5A50" w14:textId="3957C22D" w:rsidR="00A76817" w:rsidRDefault="00F131B1" w:rsidP="00D5661B">
            <w:pPr>
              <w:pStyle w:val="TableText"/>
            </w:pPr>
            <w:r>
              <w:t>308</w:t>
            </w:r>
          </w:p>
        </w:tc>
        <w:tc>
          <w:tcPr>
            <w:tcW w:w="1603" w:type="dxa"/>
          </w:tcPr>
          <w:p w14:paraId="7F8192CA" w14:textId="239D8FBF" w:rsidR="00A76817" w:rsidRDefault="00F131B1" w:rsidP="00D5661B">
            <w:pPr>
              <w:pStyle w:val="TableText"/>
            </w:pPr>
            <w:r>
              <w:t>1,241</w:t>
            </w:r>
          </w:p>
        </w:tc>
        <w:tc>
          <w:tcPr>
            <w:tcW w:w="1697" w:type="dxa"/>
          </w:tcPr>
          <w:p w14:paraId="28E94698" w14:textId="20FEF27E" w:rsidR="00A76817" w:rsidRDefault="00E36488" w:rsidP="00D5661B">
            <w:pPr>
              <w:pStyle w:val="TableText"/>
            </w:pPr>
            <w:r>
              <w:t>1,518</w:t>
            </w:r>
          </w:p>
        </w:tc>
        <w:tc>
          <w:tcPr>
            <w:tcW w:w="1508" w:type="dxa"/>
          </w:tcPr>
          <w:p w14:paraId="18460EC3" w14:textId="05086375" w:rsidR="00A76817" w:rsidRDefault="00F131B1" w:rsidP="00D5661B">
            <w:pPr>
              <w:pStyle w:val="TableText"/>
            </w:pPr>
            <w:r>
              <w:t>89,683</w:t>
            </w:r>
          </w:p>
        </w:tc>
      </w:tr>
      <w:tr w:rsidR="00A76817" w14:paraId="4DF081E3" w14:textId="77777777" w:rsidTr="00B0342A">
        <w:trPr>
          <w:jc w:val="center"/>
        </w:trPr>
        <w:tc>
          <w:tcPr>
            <w:tcW w:w="1597" w:type="dxa"/>
          </w:tcPr>
          <w:p w14:paraId="7C6ECE4D" w14:textId="74CFC60A" w:rsidR="00A76817" w:rsidRDefault="00A76817" w:rsidP="00D5661B">
            <w:pPr>
              <w:pStyle w:val="TableText"/>
            </w:pPr>
            <w:r>
              <w:t>Yuba</w:t>
            </w:r>
          </w:p>
        </w:tc>
        <w:tc>
          <w:tcPr>
            <w:tcW w:w="1602" w:type="dxa"/>
          </w:tcPr>
          <w:p w14:paraId="41ED66FE" w14:textId="44B29A54" w:rsidR="00A76817" w:rsidRDefault="009837FC" w:rsidP="00D5661B">
            <w:pPr>
              <w:pStyle w:val="TableText"/>
            </w:pPr>
            <w:r>
              <w:t>142</w:t>
            </w:r>
          </w:p>
        </w:tc>
        <w:tc>
          <w:tcPr>
            <w:tcW w:w="2073" w:type="dxa"/>
          </w:tcPr>
          <w:p w14:paraId="4B950466" w14:textId="6358E213" w:rsidR="00A76817" w:rsidRDefault="009837FC" w:rsidP="00D5661B">
            <w:pPr>
              <w:pStyle w:val="TableText"/>
            </w:pPr>
            <w:r>
              <w:t>22</w:t>
            </w:r>
          </w:p>
        </w:tc>
        <w:tc>
          <w:tcPr>
            <w:tcW w:w="1603" w:type="dxa"/>
          </w:tcPr>
          <w:p w14:paraId="2ED6AD00" w14:textId="6A52A0D5" w:rsidR="00A76817" w:rsidRDefault="009837FC" w:rsidP="00D5661B">
            <w:pPr>
              <w:pStyle w:val="TableText"/>
            </w:pPr>
            <w:r>
              <w:t>84</w:t>
            </w:r>
          </w:p>
        </w:tc>
        <w:tc>
          <w:tcPr>
            <w:tcW w:w="1697" w:type="dxa"/>
          </w:tcPr>
          <w:p w14:paraId="7CB79AB5" w14:textId="0D3A20FD" w:rsidR="00A76817" w:rsidRDefault="00E950B2" w:rsidP="00D5661B">
            <w:pPr>
              <w:pStyle w:val="TableText"/>
            </w:pPr>
            <w:r>
              <w:t>0</w:t>
            </w:r>
          </w:p>
        </w:tc>
        <w:tc>
          <w:tcPr>
            <w:tcW w:w="1508" w:type="dxa"/>
          </w:tcPr>
          <w:p w14:paraId="2AB71D6C" w14:textId="7C097C75" w:rsidR="00A76817" w:rsidRDefault="009837FC" w:rsidP="00D5661B">
            <w:pPr>
              <w:pStyle w:val="TableText"/>
            </w:pPr>
            <w:r>
              <w:t>90,763</w:t>
            </w:r>
          </w:p>
        </w:tc>
      </w:tr>
      <w:tr w:rsidR="007E0172" w:rsidRPr="007E0172" w14:paraId="4E55C8F2" w14:textId="77777777" w:rsidTr="00B0342A">
        <w:trPr>
          <w:jc w:val="center"/>
        </w:trPr>
        <w:tc>
          <w:tcPr>
            <w:tcW w:w="1597" w:type="dxa"/>
            <w:tcBorders>
              <w:bottom w:val="single" w:sz="4" w:space="0" w:color="auto"/>
            </w:tcBorders>
          </w:tcPr>
          <w:p w14:paraId="4E10F801" w14:textId="66C4B10D" w:rsidR="007E0172" w:rsidRPr="007E0172" w:rsidRDefault="007E0172" w:rsidP="007E0172">
            <w:pPr>
              <w:pStyle w:val="TableText"/>
              <w:rPr>
                <w:b/>
                <w:i/>
              </w:rPr>
            </w:pPr>
            <w:r w:rsidRPr="007E0172">
              <w:rPr>
                <w:b/>
                <w:i/>
              </w:rPr>
              <w:t>Total</w:t>
            </w:r>
          </w:p>
        </w:tc>
        <w:tc>
          <w:tcPr>
            <w:tcW w:w="1602" w:type="dxa"/>
            <w:tcBorders>
              <w:bottom w:val="single" w:sz="4" w:space="0" w:color="auto"/>
            </w:tcBorders>
          </w:tcPr>
          <w:p w14:paraId="7C071953" w14:textId="2EFBF148" w:rsidR="007E0172" w:rsidRPr="007E0172" w:rsidRDefault="007E0172" w:rsidP="007E0172">
            <w:pPr>
              <w:pStyle w:val="TableText"/>
              <w:rPr>
                <w:b/>
                <w:i/>
              </w:rPr>
            </w:pPr>
            <w:r w:rsidRPr="007E0172">
              <w:rPr>
                <w:b/>
                <w:i/>
              </w:rPr>
              <w:t>15,490</w:t>
            </w:r>
          </w:p>
        </w:tc>
        <w:tc>
          <w:tcPr>
            <w:tcW w:w="2073" w:type="dxa"/>
            <w:tcBorders>
              <w:bottom w:val="single" w:sz="4" w:space="0" w:color="auto"/>
            </w:tcBorders>
          </w:tcPr>
          <w:p w14:paraId="376372A0" w14:textId="1264290E" w:rsidR="007E0172" w:rsidRPr="007E0172" w:rsidRDefault="007E0172" w:rsidP="007E0172">
            <w:pPr>
              <w:pStyle w:val="TableText"/>
              <w:rPr>
                <w:b/>
                <w:i/>
              </w:rPr>
            </w:pPr>
            <w:r w:rsidRPr="007E0172">
              <w:rPr>
                <w:b/>
                <w:i/>
              </w:rPr>
              <w:t>8,612</w:t>
            </w:r>
          </w:p>
        </w:tc>
        <w:tc>
          <w:tcPr>
            <w:tcW w:w="1603" w:type="dxa"/>
            <w:tcBorders>
              <w:bottom w:val="single" w:sz="4" w:space="0" w:color="auto"/>
            </w:tcBorders>
          </w:tcPr>
          <w:p w14:paraId="7D312622" w14:textId="2787C605" w:rsidR="007E0172" w:rsidRPr="007E0172" w:rsidRDefault="007E0172" w:rsidP="007E0172">
            <w:pPr>
              <w:pStyle w:val="TableText"/>
              <w:rPr>
                <w:b/>
                <w:i/>
              </w:rPr>
            </w:pPr>
            <w:r w:rsidRPr="007E0172">
              <w:rPr>
                <w:b/>
                <w:i/>
              </w:rPr>
              <w:t>58,055</w:t>
            </w:r>
          </w:p>
        </w:tc>
        <w:tc>
          <w:tcPr>
            <w:tcW w:w="1697" w:type="dxa"/>
            <w:tcBorders>
              <w:bottom w:val="single" w:sz="4" w:space="0" w:color="auto"/>
            </w:tcBorders>
          </w:tcPr>
          <w:p w14:paraId="6190E787" w14:textId="70FD3316" w:rsidR="007E0172" w:rsidRPr="007E0172" w:rsidRDefault="007E0172" w:rsidP="007E0172">
            <w:pPr>
              <w:pStyle w:val="TableText"/>
              <w:rPr>
                <w:b/>
                <w:i/>
              </w:rPr>
            </w:pPr>
            <w:r w:rsidRPr="007E0172">
              <w:rPr>
                <w:b/>
                <w:i/>
              </w:rPr>
              <w:t>1,032,641</w:t>
            </w:r>
          </w:p>
        </w:tc>
        <w:tc>
          <w:tcPr>
            <w:tcW w:w="1508" w:type="dxa"/>
            <w:tcBorders>
              <w:bottom w:val="single" w:sz="4" w:space="0" w:color="auto"/>
            </w:tcBorders>
          </w:tcPr>
          <w:p w14:paraId="0F0F0594" w14:textId="0F344CAA" w:rsidR="007E0172" w:rsidRPr="007E0172" w:rsidRDefault="007E0172" w:rsidP="007E0172">
            <w:pPr>
              <w:pStyle w:val="TableText"/>
              <w:rPr>
                <w:b/>
                <w:i/>
              </w:rPr>
            </w:pPr>
            <w:r w:rsidRPr="007E0172">
              <w:rPr>
                <w:b/>
                <w:i/>
              </w:rPr>
              <w:t>9,121,467</w:t>
            </w:r>
          </w:p>
        </w:tc>
      </w:tr>
    </w:tbl>
    <w:bookmarkEnd w:id="4"/>
    <w:p w14:paraId="49168087" w14:textId="77777777" w:rsidR="00EA5ED8" w:rsidRDefault="00EA5ED8" w:rsidP="00EA5ED8">
      <w:pPr>
        <w:pStyle w:val="TableSource"/>
        <w:spacing w:after="40"/>
      </w:pPr>
      <w:r>
        <w:t xml:space="preserve">Notes: Farmland data for Imperial County was not available. </w:t>
      </w:r>
    </w:p>
    <w:p w14:paraId="3C3206B5" w14:textId="7F4DA30A" w:rsidR="00EA5ED8" w:rsidRDefault="00EA5ED8" w:rsidP="00EA5ED8">
      <w:pPr>
        <w:pStyle w:val="TableSource"/>
      </w:pPr>
      <w:r w:rsidRPr="00B0055D">
        <w:t>Source: DOC 2016</w:t>
      </w:r>
    </w:p>
    <w:p w14:paraId="22621658" w14:textId="5B3C87C9" w:rsidR="003231CF" w:rsidRDefault="0051778E" w:rsidP="00785F42">
      <w:pPr>
        <w:pStyle w:val="Heading5"/>
      </w:pPr>
      <w:r>
        <w:t>Williamson Act Contract Lands</w:t>
      </w:r>
      <w:r w:rsidR="00785F42">
        <w:t xml:space="preserve"> Farmland Classifications</w:t>
      </w:r>
    </w:p>
    <w:p w14:paraId="74315B0F" w14:textId="2DC82C0B" w:rsidR="00784879" w:rsidRPr="00B0342A" w:rsidRDefault="00D977B7" w:rsidP="00375A32">
      <w:pPr>
        <w:pStyle w:val="BodyText"/>
        <w:rPr>
          <w:spacing w:val="-2"/>
        </w:rPr>
      </w:pPr>
      <w:r w:rsidRPr="00B0342A">
        <w:rPr>
          <w:spacing w:val="-2"/>
        </w:rPr>
        <w:t xml:space="preserve">The California Land Conservation Act (Williamson Act) recognizes the importance of agricultural land and includes provisions to protect and ensure the orderly conversion of agricultural land. </w:t>
      </w:r>
      <w:r w:rsidR="006B380A" w:rsidRPr="00B0342A">
        <w:rPr>
          <w:spacing w:val="-2"/>
        </w:rPr>
        <w:t>The</w:t>
      </w:r>
      <w:r w:rsidRPr="00B0342A">
        <w:rPr>
          <w:spacing w:val="-2"/>
        </w:rPr>
        <w:t xml:space="preserve"> Williamson Act allows </w:t>
      </w:r>
      <w:r w:rsidR="00165CA4" w:rsidRPr="00B0342A">
        <w:rPr>
          <w:spacing w:val="-2"/>
        </w:rPr>
        <w:t xml:space="preserve">a </w:t>
      </w:r>
      <w:r w:rsidRPr="00B0342A">
        <w:rPr>
          <w:spacing w:val="-2"/>
        </w:rPr>
        <w:t xml:space="preserve">property owner to </w:t>
      </w:r>
      <w:r w:rsidR="00456FD0" w:rsidRPr="00B0342A">
        <w:rPr>
          <w:spacing w:val="-2"/>
        </w:rPr>
        <w:t xml:space="preserve">commit, via contract with the County, </w:t>
      </w:r>
      <w:r w:rsidRPr="00B0342A">
        <w:rPr>
          <w:spacing w:val="-2"/>
        </w:rPr>
        <w:t xml:space="preserve">to not developing </w:t>
      </w:r>
      <w:r w:rsidR="00456FD0" w:rsidRPr="00B0342A">
        <w:rPr>
          <w:spacing w:val="-2"/>
        </w:rPr>
        <w:t>a</w:t>
      </w:r>
      <w:r w:rsidRPr="00B0342A">
        <w:rPr>
          <w:spacing w:val="-2"/>
        </w:rPr>
        <w:t xml:space="preserve"> subject property in exchange for a guarantee that the property will be taxed at agricultural values under minimum 10-year rolling term contracts. The contracts may be cancelled to allow a limited number of public uses, such as open space and natural resource conservation, and a cancellation fee may apply. The process for exiting the contracts involves nonrenewal, which takes place over a 9-year period.</w:t>
      </w:r>
      <w:r w:rsidR="00BC7098" w:rsidRPr="00B0342A">
        <w:rPr>
          <w:spacing w:val="-2"/>
        </w:rPr>
        <w:t xml:space="preserve"> </w:t>
      </w:r>
      <w:r w:rsidR="005470D5" w:rsidRPr="00B0342A">
        <w:rPr>
          <w:spacing w:val="-2"/>
        </w:rPr>
        <w:t xml:space="preserve">According to DOC 2016 Status Report, more than 14 million acres of land were enrolled under Williamson Act Contract throughout the </w:t>
      </w:r>
      <w:r w:rsidR="00AA3CD6" w:rsidRPr="00B0342A">
        <w:rPr>
          <w:spacing w:val="-2"/>
        </w:rPr>
        <w:t>state</w:t>
      </w:r>
      <w:r w:rsidR="005470D5" w:rsidRPr="00B0342A">
        <w:rPr>
          <w:spacing w:val="-2"/>
        </w:rPr>
        <w:t xml:space="preserve"> in 2015 (DOC 2016:39). </w:t>
      </w:r>
      <w:r w:rsidR="003634FB" w:rsidRPr="00B0342A">
        <w:rPr>
          <w:spacing w:val="-2"/>
        </w:rPr>
        <w:t>The treatable landscape includes land enrolled under Williamson Act in each of the designated farmland categories</w:t>
      </w:r>
      <w:r w:rsidR="00192FB2" w:rsidRPr="00B0342A">
        <w:rPr>
          <w:spacing w:val="-2"/>
        </w:rPr>
        <w:t>.</w:t>
      </w:r>
      <w:r w:rsidR="00EE7778" w:rsidRPr="00B0342A">
        <w:rPr>
          <w:spacing w:val="-2"/>
        </w:rPr>
        <w:t xml:space="preserve"> The farmland classifications under Williamson Act are as follows</w:t>
      </w:r>
      <w:r w:rsidR="003634FB" w:rsidRPr="00B0342A">
        <w:rPr>
          <w:spacing w:val="-2"/>
        </w:rPr>
        <w:t>:</w:t>
      </w:r>
    </w:p>
    <w:p w14:paraId="5A0A244E" w14:textId="4C2DD042" w:rsidR="00573F43" w:rsidRDefault="00452ED7" w:rsidP="00573F43">
      <w:pPr>
        <w:pStyle w:val="Bullet1"/>
      </w:pPr>
      <w:r>
        <w:t xml:space="preserve">Prime Agricultural Land: </w:t>
      </w:r>
      <w:r w:rsidR="00573F43">
        <w:t>Land which is enrolled under California Land Conservation Act contract and meets any of the following criteria (as set forth under California Government Code Section 51201):</w:t>
      </w:r>
    </w:p>
    <w:p w14:paraId="521FBCF8" w14:textId="66B6F76C" w:rsidR="00573F43" w:rsidRDefault="00573F43" w:rsidP="00573F43">
      <w:pPr>
        <w:pStyle w:val="Bullet2"/>
      </w:pPr>
      <w:r>
        <w:t>qualifies for rating as class I or class II in the Natural Resources Conservation Service land use capability classifications;</w:t>
      </w:r>
    </w:p>
    <w:p w14:paraId="26A160DE" w14:textId="143ED29D" w:rsidR="00573F43" w:rsidRDefault="00573F43" w:rsidP="00573F43">
      <w:pPr>
        <w:pStyle w:val="Bullet2"/>
      </w:pPr>
      <w:r>
        <w:t xml:space="preserve">qualifies for rating 80 to 100 in the </w:t>
      </w:r>
      <w:proofErr w:type="spellStart"/>
      <w:r>
        <w:t>Storie</w:t>
      </w:r>
      <w:proofErr w:type="spellEnd"/>
      <w:r>
        <w:t xml:space="preserve"> Index Rating;</w:t>
      </w:r>
    </w:p>
    <w:p w14:paraId="6AFA3DD0" w14:textId="20D24CA6" w:rsidR="00573F43" w:rsidRDefault="00573F43" w:rsidP="00573F43">
      <w:pPr>
        <w:pStyle w:val="Bullet2"/>
      </w:pPr>
      <w:r>
        <w:t>supports livestock used for the production of food and fiber and which has an annual carrying capacity equivalent to at least one animal unit per acre</w:t>
      </w:r>
      <w:r w:rsidR="00165CA4">
        <w:t>,</w:t>
      </w:r>
      <w:r>
        <w:t xml:space="preserve"> as defined by the United States Department of Agriculture;</w:t>
      </w:r>
    </w:p>
    <w:p w14:paraId="052549DE" w14:textId="523DE51B" w:rsidR="00573F43" w:rsidRDefault="00573F43" w:rsidP="00573F43">
      <w:pPr>
        <w:pStyle w:val="Bullet2"/>
      </w:pPr>
      <w:r>
        <w:t>planted with fruit or nut-bearing trees, vines, bushes or crops which have a nonbearing period of less than five years and which will normally return during the commercial bearing period on an annual basis from the production of unprocessed agricultural plant production not less than two hundred dollars per acre;</w:t>
      </w:r>
    </w:p>
    <w:p w14:paraId="1C1E26E7" w14:textId="149EEF30" w:rsidR="00784879" w:rsidRDefault="00573F43" w:rsidP="00573F43">
      <w:pPr>
        <w:pStyle w:val="Bullet2"/>
      </w:pPr>
      <w:r>
        <w:t>has returned from the production of unprocessed agricultural plant production and has an annual gross value of not less than two hundred dollars per acre for three of the previous five years.</w:t>
      </w:r>
    </w:p>
    <w:p w14:paraId="304ABEC5" w14:textId="143D74A4" w:rsidR="00793446" w:rsidRDefault="00793446" w:rsidP="00B0342A">
      <w:pPr>
        <w:pStyle w:val="Bullet1"/>
        <w:keepLines/>
      </w:pPr>
      <w:r>
        <w:t>Non-Prime Agricultural Land: Land which is enrolled under California Land Conservation Act contract and does not meet any of the criteria for classification as Prime Agricultural Land. Non-Prime Land is defined as Open Space Land of Statewide Significance under the California Open Space Subvention Act. Most Non-Prime Land is in agricultural uses such as grazing or non-irrigated crops. Non-Prime Land may also include other open space uses which are compatible with agriculture and consistent with local general plans.</w:t>
      </w:r>
    </w:p>
    <w:p w14:paraId="14B064EA" w14:textId="6B49B66D" w:rsidR="00793446" w:rsidRDefault="005918A9" w:rsidP="005918A9">
      <w:pPr>
        <w:pStyle w:val="Bullet1"/>
      </w:pPr>
      <w:r>
        <w:t xml:space="preserve">Farmland Security Zone: Enrolled parcels containing either Prime or Non-Prime agricultural land restricted by a </w:t>
      </w:r>
      <w:r w:rsidR="001E3CD9">
        <w:t>20-year</w:t>
      </w:r>
      <w:r>
        <w:t xml:space="preserve"> contract pursuant to Government Code Section 51296.</w:t>
      </w:r>
    </w:p>
    <w:p w14:paraId="45084EED" w14:textId="69F75995" w:rsidR="002C0C64" w:rsidRDefault="002C0C64" w:rsidP="009D662D">
      <w:pPr>
        <w:pStyle w:val="Bullet1"/>
      </w:pPr>
      <w:r>
        <w:t>Mixed</w:t>
      </w:r>
      <w:r w:rsidR="009D662D">
        <w:t xml:space="preserve"> Enrollment: Enrolled lands containing a combination of Prime, Non-Prime, Open Space Easement, or other contracted or enrolled lands not yet delineated by the county.</w:t>
      </w:r>
    </w:p>
    <w:p w14:paraId="51348DD5" w14:textId="5F78CE7F" w:rsidR="009D662D" w:rsidRPr="00EA5ED8" w:rsidRDefault="009D662D" w:rsidP="009D662D">
      <w:pPr>
        <w:pStyle w:val="Bullet1"/>
        <w:rPr>
          <w:spacing w:val="-4"/>
        </w:rPr>
      </w:pPr>
      <w:r w:rsidRPr="00EA5ED8">
        <w:rPr>
          <w:spacing w:val="-4"/>
        </w:rPr>
        <w:lastRenderedPageBreak/>
        <w:t xml:space="preserve">Non-Renewal: Enrolled lands for which non-renewal has been filed pursuant to Government Code Section 51245. Upon the filing of non-renewal, the existing contract remains in effect for the balance of the period remaining on the contract. During the non-renewal process, the annual tax assessment gradually increases. At the end of the </w:t>
      </w:r>
      <w:r w:rsidR="0014627E" w:rsidRPr="00EA5ED8">
        <w:rPr>
          <w:spacing w:val="-4"/>
        </w:rPr>
        <w:t>9-year</w:t>
      </w:r>
      <w:r w:rsidRPr="00EA5ED8">
        <w:rPr>
          <w:spacing w:val="-4"/>
        </w:rPr>
        <w:t xml:space="preserve"> non-renewal period (or </w:t>
      </w:r>
      <w:r w:rsidR="001B6D5E" w:rsidRPr="00EA5ED8">
        <w:rPr>
          <w:spacing w:val="-4"/>
        </w:rPr>
        <w:t>19-year</w:t>
      </w:r>
      <w:r w:rsidRPr="00EA5ED8">
        <w:rPr>
          <w:spacing w:val="-4"/>
        </w:rPr>
        <w:t xml:space="preserve"> non-renewal period if FSZ), the contract </w:t>
      </w:r>
      <w:r w:rsidR="00AB0CB3" w:rsidRPr="00EA5ED8">
        <w:rPr>
          <w:spacing w:val="-4"/>
        </w:rPr>
        <w:t>expires,</w:t>
      </w:r>
      <w:r w:rsidRPr="00EA5ED8">
        <w:rPr>
          <w:spacing w:val="-4"/>
        </w:rPr>
        <w:t xml:space="preserve"> and the land is no longer restricted.</w:t>
      </w:r>
    </w:p>
    <w:p w14:paraId="3353BD1C" w14:textId="76C6D19A" w:rsidR="00784879" w:rsidRDefault="008E37B7" w:rsidP="001B6D5E">
      <w:pPr>
        <w:pStyle w:val="Heading4"/>
      </w:pPr>
      <w:r>
        <w:t>Forest and Timberland</w:t>
      </w:r>
      <w:r w:rsidR="00D5287A">
        <w:t xml:space="preserve"> in california</w:t>
      </w:r>
    </w:p>
    <w:p w14:paraId="3437A769" w14:textId="4AC6898D" w:rsidR="009B1154" w:rsidRDefault="00002A1D" w:rsidP="00F97733">
      <w:pPr>
        <w:spacing w:after="120"/>
      </w:pPr>
      <w:r>
        <w:t xml:space="preserve">California has approximately 33 million acres of forest. Federal agencies, </w:t>
      </w:r>
      <w:r w:rsidRPr="00002A1D">
        <w:t>including the US Fores</w:t>
      </w:r>
      <w:r>
        <w:t xml:space="preserve">t Service, </w:t>
      </w:r>
      <w:r w:rsidRPr="00002A1D">
        <w:t>US</w:t>
      </w:r>
      <w:r w:rsidR="00CC0733">
        <w:t xml:space="preserve"> </w:t>
      </w:r>
      <w:r w:rsidRPr="00002A1D">
        <w:t>Bureau of Land Management</w:t>
      </w:r>
      <w:r>
        <w:t>, and National Park Service,</w:t>
      </w:r>
      <w:r w:rsidRPr="00002A1D">
        <w:t xml:space="preserve"> </w:t>
      </w:r>
      <w:r>
        <w:t>own and manage 19 million acres</w:t>
      </w:r>
      <w:r w:rsidR="00CC0733">
        <w:t xml:space="preserve"> (57 percent)</w:t>
      </w:r>
      <w:r>
        <w:t xml:space="preserve">. </w:t>
      </w:r>
      <w:r w:rsidR="00CC0733">
        <w:t>State and local agencies including CAL</w:t>
      </w:r>
      <w:r w:rsidR="001C5D2E">
        <w:t xml:space="preserve"> </w:t>
      </w:r>
      <w:r w:rsidR="00CC0733">
        <w:t xml:space="preserve">FIRE, local open space, park and water districts and land trusts own </w:t>
      </w:r>
      <w:r w:rsidR="00A44AEF">
        <w:t>approximately 990,000 acres (</w:t>
      </w:r>
      <w:r w:rsidR="00CC0733">
        <w:t xml:space="preserve">3 </w:t>
      </w:r>
      <w:r w:rsidR="00CC0733" w:rsidRPr="002F7E9F">
        <w:t>percent</w:t>
      </w:r>
      <w:r w:rsidR="00A44AEF" w:rsidRPr="002F7E9F">
        <w:t>)</w:t>
      </w:r>
      <w:r w:rsidR="002841AD" w:rsidRPr="002F7E9F">
        <w:t xml:space="preserve">. The remaining </w:t>
      </w:r>
      <w:r w:rsidR="00671F3F" w:rsidRPr="002F7E9F">
        <w:t xml:space="preserve">13 million acres (40 percent) is owned by private landowners, Native American tribes, or companies (UC ANR 2019). </w:t>
      </w:r>
      <w:r w:rsidR="009B1154" w:rsidRPr="002F7E9F">
        <w:t xml:space="preserve">Of the 33 million acres of forest land within the </w:t>
      </w:r>
      <w:r w:rsidR="00AA3CD6" w:rsidRPr="002F7E9F">
        <w:t>state</w:t>
      </w:r>
      <w:r w:rsidR="009B1154" w:rsidRPr="002F7E9F">
        <w:t>, approximately 6 million acres are located within the</w:t>
      </w:r>
      <w:r w:rsidR="009B1154">
        <w:t xml:space="preserve"> treatable landscape. </w:t>
      </w:r>
    </w:p>
    <w:p w14:paraId="4970513B" w14:textId="164E9362" w:rsidR="00FF6243" w:rsidRDefault="002D0FDE" w:rsidP="00F97733">
      <w:pPr>
        <w:spacing w:after="120"/>
      </w:pPr>
      <w:r>
        <w:t xml:space="preserve">Timberland (forest </w:t>
      </w:r>
      <w:r w:rsidR="00BF7FB5">
        <w:t>that is available for and capable of growing a crop of trees for commercial purposes</w:t>
      </w:r>
      <w:r>
        <w:t>) within California, include appr</w:t>
      </w:r>
      <w:r w:rsidR="00634350">
        <w:t>oximately 9 million acres (55.5</w:t>
      </w:r>
      <w:r w:rsidR="00FC72C3">
        <w:t xml:space="preserve"> </w:t>
      </w:r>
      <w:r w:rsidR="00634350">
        <w:t>percent</w:t>
      </w:r>
      <w:r>
        <w:t>)</w:t>
      </w:r>
      <w:r w:rsidR="00634350">
        <w:t xml:space="preserve"> under federal ownership, 141,057 acres (0.8 percent) under </w:t>
      </w:r>
      <w:r w:rsidR="007065F3">
        <w:t>state</w:t>
      </w:r>
      <w:r w:rsidR="00634350">
        <w:t xml:space="preserve"> and local ownership, and 7 million acres (43.7 percent)</w:t>
      </w:r>
      <w:r w:rsidR="00FC7622">
        <w:t xml:space="preserve"> </w:t>
      </w:r>
      <w:r w:rsidR="00FC7622" w:rsidRPr="002F7E9F">
        <w:t>under private ownership</w:t>
      </w:r>
      <w:r w:rsidR="006030F8" w:rsidRPr="002F7E9F">
        <w:t xml:space="preserve"> </w:t>
      </w:r>
      <w:r w:rsidR="006769DE" w:rsidRPr="002F7E9F">
        <w:t xml:space="preserve">(CDFW </w:t>
      </w:r>
      <w:r w:rsidR="00F7594C" w:rsidRPr="002F7E9F">
        <w:t>2018)</w:t>
      </w:r>
      <w:r w:rsidR="00FC7622" w:rsidRPr="002F7E9F">
        <w:t xml:space="preserve">. </w:t>
      </w:r>
      <w:r w:rsidR="009B1154" w:rsidRPr="002F7E9F">
        <w:t xml:space="preserve">Of the 9 million acres of timberland within the </w:t>
      </w:r>
      <w:r w:rsidR="007065F3" w:rsidRPr="002F7E9F">
        <w:t>state</w:t>
      </w:r>
      <w:r w:rsidR="009B1154" w:rsidRPr="002F7E9F">
        <w:t>, approximately 7 million acre</w:t>
      </w:r>
      <w:r w:rsidR="009141D1" w:rsidRPr="002F7E9F">
        <w:t>s</w:t>
      </w:r>
      <w:r w:rsidR="009B1154" w:rsidRPr="002F7E9F">
        <w:t xml:space="preserve"> are</w:t>
      </w:r>
      <w:r w:rsidR="009B1154">
        <w:t xml:space="preserve"> located within the treatable landscape. </w:t>
      </w:r>
      <w:r w:rsidR="009E41BF">
        <w:t xml:space="preserve">Non-commercial vegetation treatment may occur in timberland; however, the proposed CalVTP excludes commercial timber removal. </w:t>
      </w:r>
    </w:p>
    <w:p w14:paraId="0E27196E" w14:textId="437D1F53" w:rsidR="004D4984" w:rsidRDefault="00DB1CBE" w:rsidP="004D4984">
      <w:pPr>
        <w:pStyle w:val="Heading4"/>
      </w:pPr>
      <w:bookmarkStart w:id="5" w:name="_Hlk6827908"/>
      <w:r>
        <w:t>Exisit</w:t>
      </w:r>
      <w:r w:rsidR="00DC0449">
        <w:t>i</w:t>
      </w:r>
      <w:r>
        <w:t>ng</w:t>
      </w:r>
      <w:r w:rsidR="004D4984">
        <w:t xml:space="preserve"> Vegetation Treatments</w:t>
      </w:r>
      <w:r>
        <w:t xml:space="preserve"> in the treatable landscape</w:t>
      </w:r>
      <w:bookmarkEnd w:id="5"/>
    </w:p>
    <w:p w14:paraId="1ADD4A0E" w14:textId="629D8DBC" w:rsidR="00223FD6" w:rsidRPr="00EA5ED8" w:rsidRDefault="00DB1CBE" w:rsidP="004D4984">
      <w:pPr>
        <w:spacing w:after="120"/>
        <w:rPr>
          <w:spacing w:val="-2"/>
        </w:rPr>
      </w:pPr>
      <w:r w:rsidRPr="00EA5ED8">
        <w:rPr>
          <w:spacing w:val="-2"/>
        </w:rPr>
        <w:t xml:space="preserve">Treatments currently </w:t>
      </w:r>
      <w:r w:rsidR="00385AAF" w:rsidRPr="00EA5ED8">
        <w:rPr>
          <w:spacing w:val="-2"/>
        </w:rPr>
        <w:t xml:space="preserve">occur </w:t>
      </w:r>
      <w:r w:rsidR="005D7099" w:rsidRPr="00EA5ED8">
        <w:rPr>
          <w:spacing w:val="-2"/>
        </w:rPr>
        <w:t>within</w:t>
      </w:r>
      <w:r w:rsidR="00385AAF" w:rsidRPr="00EA5ED8">
        <w:rPr>
          <w:spacing w:val="-2"/>
        </w:rPr>
        <w:t xml:space="preserve"> </w:t>
      </w:r>
      <w:r w:rsidRPr="00EA5ED8">
        <w:rPr>
          <w:spacing w:val="-2"/>
        </w:rPr>
        <w:t>the treatable landscape</w:t>
      </w:r>
      <w:r w:rsidR="00385AAF" w:rsidRPr="00EA5ED8">
        <w:rPr>
          <w:spacing w:val="-2"/>
        </w:rPr>
        <w:t>, but</w:t>
      </w:r>
      <w:r w:rsidRPr="00EA5ED8">
        <w:rPr>
          <w:spacing w:val="-2"/>
        </w:rPr>
        <w:t xml:space="preserve"> generally do not occur in </w:t>
      </w:r>
      <w:r w:rsidR="007771D3" w:rsidRPr="00EA5ED8">
        <w:rPr>
          <w:spacing w:val="-2"/>
        </w:rPr>
        <w:t xml:space="preserve">agricultural vegetation types because land designated for agricultural use is generally outside the SRA. </w:t>
      </w:r>
      <w:bookmarkStart w:id="6" w:name="_Hlk6761189"/>
      <w:r w:rsidR="00927F4C" w:rsidRPr="00EA5ED8">
        <w:rPr>
          <w:spacing w:val="-2"/>
        </w:rPr>
        <w:t xml:space="preserve">As described in Chapter 1, “Introduction” and Section 2.3.1, “Past and Current Treatments,” </w:t>
      </w:r>
      <w:bookmarkEnd w:id="6"/>
      <w:r w:rsidR="00927F4C" w:rsidRPr="00EA5ED8">
        <w:rPr>
          <w:spacing w:val="-2"/>
        </w:rPr>
        <w:t xml:space="preserve">vegetation treatment currently occurs around the state under several other wildfire risk reduction programs implemented by various federal, state, and local agencies. In 2017–2018, CAL FIRE treated approximately 33,000 acres in California using the same treatment activities as proposed under the CalVTP. </w:t>
      </w:r>
    </w:p>
    <w:p w14:paraId="3CE66E31" w14:textId="7D839441" w:rsidR="003E10E8" w:rsidRPr="009A0F30" w:rsidRDefault="003E10E8" w:rsidP="003E10E8">
      <w:pPr>
        <w:pStyle w:val="Heading3"/>
      </w:pPr>
      <w:r>
        <w:t xml:space="preserve">Regulatory </w:t>
      </w:r>
      <w:r w:rsidR="00E2183C">
        <w:t>Setting</w:t>
      </w:r>
    </w:p>
    <w:p w14:paraId="6F1E1847" w14:textId="4AE2F49B" w:rsidR="003E10E8" w:rsidRDefault="003E10E8" w:rsidP="003E10E8">
      <w:pPr>
        <w:pStyle w:val="Heading4"/>
      </w:pPr>
      <w:r>
        <w:t>Federal</w:t>
      </w:r>
    </w:p>
    <w:p w14:paraId="476290BC" w14:textId="4DE3C8D3" w:rsidR="00DF2BED" w:rsidRDefault="003C3D98" w:rsidP="00DF2BED">
      <w:pPr>
        <w:pStyle w:val="BodyText"/>
      </w:pPr>
      <w:r>
        <w:t xml:space="preserve">No federal laws or regulations </w:t>
      </w:r>
      <w:r w:rsidR="009C53A0">
        <w:t xml:space="preserve">related to agriculture and forestry resources </w:t>
      </w:r>
      <w:r>
        <w:t xml:space="preserve">are applicable to </w:t>
      </w:r>
      <w:r w:rsidR="00CB7AF7">
        <w:t xml:space="preserve">the project. </w:t>
      </w:r>
      <w:r w:rsidR="00DB1CBE">
        <w:t>The treatable landscape does</w:t>
      </w:r>
      <w:r w:rsidR="00BF7FB5">
        <w:t xml:space="preserve"> not include federal land.</w:t>
      </w:r>
    </w:p>
    <w:p w14:paraId="48CEC82E" w14:textId="39150672" w:rsidR="003E10E8" w:rsidRDefault="003E10E8" w:rsidP="003E10E8">
      <w:pPr>
        <w:pStyle w:val="Heading4"/>
      </w:pPr>
      <w:r w:rsidRPr="00C145FF">
        <w:t>State</w:t>
      </w:r>
    </w:p>
    <w:p w14:paraId="71F19DCE" w14:textId="1B213074" w:rsidR="00BC1115" w:rsidRDefault="00CB7AF7" w:rsidP="00CB7AF7">
      <w:pPr>
        <w:pStyle w:val="Heading5"/>
      </w:pPr>
      <w:r>
        <w:t>California Department of Conservation Farmland Mapping and Monitoring Program</w:t>
      </w:r>
    </w:p>
    <w:p w14:paraId="634C8624" w14:textId="3624CE4B" w:rsidR="00CB7AF7" w:rsidRDefault="00CB7AF7" w:rsidP="00101BA6">
      <w:pPr>
        <w:pStyle w:val="BodyText"/>
        <w:keepLines/>
      </w:pPr>
      <w:r w:rsidRPr="00CB7AF7">
        <w:t xml:space="preserve">Important Farmland in California is classified and mapped according to </w:t>
      </w:r>
      <w:r w:rsidR="00E371B4">
        <w:t>the D</w:t>
      </w:r>
      <w:r w:rsidR="00A61393">
        <w:t>OC’s</w:t>
      </w:r>
      <w:r w:rsidR="00EC6ABB">
        <w:t xml:space="preserve"> </w:t>
      </w:r>
      <w:r w:rsidRPr="00CB7AF7">
        <w:t>FMMP. Authority for the FMMP comes from Government Code Section 65570(b) and PRC Section 612. Government Code Section 65570(b) requires DOC to collect or acquire information on the amount of land converted to or from agricultural use for every mapped county and to report this information to the legislature. PRC Section 612 requires DOC to prepare, update, and maintain Important Farmland series maps and other soils and land capability information.</w:t>
      </w:r>
    </w:p>
    <w:p w14:paraId="387E8138" w14:textId="4E202734" w:rsidR="00E371B4" w:rsidRDefault="002F1157" w:rsidP="002F1157">
      <w:pPr>
        <w:pStyle w:val="Heading5"/>
      </w:pPr>
      <w:r>
        <w:t>California Land Conservation Act of 1965</w:t>
      </w:r>
    </w:p>
    <w:p w14:paraId="428CE802" w14:textId="09C1C270" w:rsidR="002F1157" w:rsidRDefault="000D77E2" w:rsidP="002F1157">
      <w:pPr>
        <w:pStyle w:val="BodyText"/>
      </w:pPr>
      <w:r>
        <w:t xml:space="preserve">As discussed in </w:t>
      </w:r>
      <w:r w:rsidR="00CD1ACE">
        <w:t>S</w:t>
      </w:r>
      <w:r>
        <w:t>ection 3.3.1, t</w:t>
      </w:r>
      <w:r w:rsidR="002F1157" w:rsidRPr="002F1157">
        <w:t xml:space="preserve">he California Land Conservation Act of 1965, or the Williamson Act, preserves agricultural and open space lands through property tax incentives and voluntary restrictive use contracts. Private landowners voluntarily restrict their land to agricultural and compatible open space uses under minimum 10-year </w:t>
      </w:r>
      <w:r w:rsidR="002F1157" w:rsidRPr="002F1157">
        <w:lastRenderedPageBreak/>
        <w:t>rolling term contracts. In return, restricted parcels are assessed for property tax purposes at a rate consistent with their actual use rather than potential market value.</w:t>
      </w:r>
    </w:p>
    <w:p w14:paraId="2D96150F" w14:textId="2ADCC8B9" w:rsidR="002F1157" w:rsidRDefault="000D7E25" w:rsidP="000D7E25">
      <w:pPr>
        <w:pStyle w:val="Heading5"/>
      </w:pPr>
      <w:r>
        <w:t>California Public Resources Code</w:t>
      </w:r>
    </w:p>
    <w:p w14:paraId="730D3BA5" w14:textId="4E5A328A" w:rsidR="000D7E25" w:rsidRDefault="001C033D" w:rsidP="000D7E25">
      <w:pPr>
        <w:pStyle w:val="BodyText"/>
      </w:pPr>
      <w:r>
        <w:t xml:space="preserve">Agricultural and forestry land within California are defined by the </w:t>
      </w:r>
      <w:r w:rsidR="004D3A28">
        <w:t xml:space="preserve">California Public Resources Code (PRC) </w:t>
      </w:r>
      <w:r>
        <w:t>as follows</w:t>
      </w:r>
      <w:r w:rsidR="004D3A28">
        <w:t>:</w:t>
      </w:r>
    </w:p>
    <w:p w14:paraId="050C0E80" w14:textId="0975642D" w:rsidR="008964F6" w:rsidRPr="008964F6" w:rsidRDefault="001C033D" w:rsidP="008964F6">
      <w:pPr>
        <w:pStyle w:val="Bullet1"/>
      </w:pPr>
      <w:r>
        <w:t xml:space="preserve">Section 21060.1(a) defines </w:t>
      </w:r>
      <w:r w:rsidR="004D3A28" w:rsidRPr="004D3A28">
        <w:t xml:space="preserve">“Agricultural land” </w:t>
      </w:r>
      <w:r>
        <w:t>as</w:t>
      </w:r>
      <w:r w:rsidR="004D3A28" w:rsidRPr="004D3A28">
        <w:t xml:space="preserve"> prime farmland, farmland of statewide importance, or unique farmland, as defined by the United States Department of Agriculture land inventory and monitoring criteria, as modified for California.</w:t>
      </w:r>
    </w:p>
    <w:p w14:paraId="3A9502D7" w14:textId="6EED2A24" w:rsidR="008964F6" w:rsidRPr="00EA5ED8" w:rsidRDefault="001C033D" w:rsidP="008964F6">
      <w:pPr>
        <w:pStyle w:val="Bullet1"/>
        <w:rPr>
          <w:spacing w:val="-4"/>
        </w:rPr>
      </w:pPr>
      <w:r w:rsidRPr="00EA5ED8">
        <w:rPr>
          <w:spacing w:val="-4"/>
        </w:rPr>
        <w:t xml:space="preserve">Section 21060.1(b) states the following: </w:t>
      </w:r>
      <w:r w:rsidR="008964F6" w:rsidRPr="00EA5ED8">
        <w:rPr>
          <w:spacing w:val="-4"/>
        </w:rPr>
        <w:t xml:space="preserve">In those areas of the state where lands have not been surveyed for the classifications specified in subdivision (a), “agricultural land” means land that meets the requirements of “prime agricultural land” as defined in paragraph (1), (2), (3), or (4) of subdivision (c) of Section 51201 of the Government Code. </w:t>
      </w:r>
    </w:p>
    <w:p w14:paraId="59E3E1F7" w14:textId="2A846346" w:rsidR="008964F6" w:rsidRPr="008964F6" w:rsidRDefault="008964F6" w:rsidP="001C033D">
      <w:pPr>
        <w:pStyle w:val="Bullet1"/>
      </w:pPr>
      <w:r w:rsidRPr="008964F6">
        <w:t xml:space="preserve">Section 12220(g) defines forest land as land that can support 10 percent native tree cover of any species, including hardwoods, under natural conditions, and that allows for management of timber, aesthetics, fish and wildlife, biodiversity, water quality, recreation, and other public benefits. </w:t>
      </w:r>
    </w:p>
    <w:p w14:paraId="1660A523" w14:textId="15DFACD9" w:rsidR="008964F6" w:rsidRPr="008964F6" w:rsidRDefault="008964F6" w:rsidP="003E2B2D">
      <w:pPr>
        <w:pStyle w:val="Bullet1"/>
      </w:pPr>
      <w:r w:rsidRPr="008964F6">
        <w:t xml:space="preserve">Section 4526 defines timberland as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p>
    <w:p w14:paraId="12DC146A" w14:textId="5581C10D" w:rsidR="00FA1F6A" w:rsidRDefault="00BF6D9E" w:rsidP="003E2B2D">
      <w:pPr>
        <w:pStyle w:val="Heading5"/>
      </w:pPr>
      <w:bookmarkStart w:id="7" w:name="_Hlk6388483"/>
      <w:proofErr w:type="spellStart"/>
      <w:r>
        <w:t>Z’berg-Nejedly</w:t>
      </w:r>
      <w:proofErr w:type="spellEnd"/>
      <w:r>
        <w:t xml:space="preserve"> </w:t>
      </w:r>
      <w:r w:rsidR="00FA1F6A">
        <w:t>Forest Practice Act</w:t>
      </w:r>
    </w:p>
    <w:p w14:paraId="5A7E553F" w14:textId="5D2879E4" w:rsidR="008D182A" w:rsidRDefault="00A66F2E" w:rsidP="004A753D">
      <w:pPr>
        <w:pStyle w:val="BodyText"/>
      </w:pPr>
      <w:r>
        <w:t>Although the proposed CalVTP excludes timber removal</w:t>
      </w:r>
      <w:r w:rsidR="00CD1ACE">
        <w:t xml:space="preserve"> for commercial purposes</w:t>
      </w:r>
      <w:r>
        <w:t xml:space="preserve">, the </w:t>
      </w:r>
      <w:proofErr w:type="spellStart"/>
      <w:r w:rsidR="00E152DA">
        <w:t>Z’berh</w:t>
      </w:r>
      <w:proofErr w:type="spellEnd"/>
      <w:r w:rsidR="00E152DA">
        <w:t xml:space="preserve"> -</w:t>
      </w:r>
      <w:proofErr w:type="spellStart"/>
      <w:r w:rsidR="00E152DA">
        <w:t>Nejedly</w:t>
      </w:r>
      <w:proofErr w:type="spellEnd"/>
      <w:r w:rsidR="00E152DA">
        <w:t xml:space="preserve"> Forest Practice Act (Forest Practice Act) may be pertinent as it relates to </w:t>
      </w:r>
      <w:r w:rsidR="00D30199">
        <w:t xml:space="preserve">identifying </w:t>
      </w:r>
      <w:r w:rsidR="0010531E">
        <w:t xml:space="preserve">operating methods and procedures </w:t>
      </w:r>
      <w:r w:rsidR="00B25744">
        <w:t>that seek to protect fish, wildlife, forests, and streams within timber harvesting areas</w:t>
      </w:r>
      <w:r w:rsidR="00D30199">
        <w:t xml:space="preserve"> where qualifying CalVTP treatments may also be implemented</w:t>
      </w:r>
      <w:r w:rsidR="00B25744">
        <w:t xml:space="preserve">. </w:t>
      </w:r>
      <w:r w:rsidR="00812A38">
        <w:t xml:space="preserve">The Forest Practice Act is intended to achieve “maximum sustained production of </w:t>
      </w:r>
      <w:r w:rsidR="0088493D">
        <w:t>high-quality timber products…while giving consideration to values relating to recreation, watershed, wildlife, range and forage, fisheries, regional economic vitality, employment and aesthetic enjoyment” (PRC Section 4513[b]).</w:t>
      </w:r>
      <w:r w:rsidR="00594399" w:rsidRPr="00594399">
        <w:t xml:space="preserve"> </w:t>
      </w:r>
      <w:r w:rsidR="00D308F5">
        <w:t>T</w:t>
      </w:r>
      <w:r w:rsidR="00594399">
        <w:t>he regulations created by the Forest Practice Act define factors such as the: size and location of harvest areas</w:t>
      </w:r>
      <w:r w:rsidR="00AC55C9">
        <w:t xml:space="preserve">, include measures to prevent unreasonable damage to residual trees, </w:t>
      </w:r>
      <w:r w:rsidR="00D308F5">
        <w:t xml:space="preserve">and </w:t>
      </w:r>
      <w:r w:rsidR="00AC55C9">
        <w:t xml:space="preserve">address </w:t>
      </w:r>
      <w:r w:rsidR="00D308F5">
        <w:t xml:space="preserve">the </w:t>
      </w:r>
      <w:r w:rsidR="00AC55C9">
        <w:t>protection of riparian areas, water courses and lakes, wildlife</w:t>
      </w:r>
      <w:r w:rsidR="009B729E">
        <w:t>,</w:t>
      </w:r>
      <w:r w:rsidR="00AC55C9">
        <w:t xml:space="preserve"> and habitat</w:t>
      </w:r>
      <w:r w:rsidR="009B729E">
        <w:t xml:space="preserve"> areas</w:t>
      </w:r>
      <w:r w:rsidR="00AC55C9">
        <w:t xml:space="preserve">. </w:t>
      </w:r>
      <w:bookmarkEnd w:id="7"/>
    </w:p>
    <w:p w14:paraId="3368A625" w14:textId="74D90235" w:rsidR="008964F6" w:rsidRDefault="0056384F" w:rsidP="003E2B2D">
      <w:pPr>
        <w:pStyle w:val="Heading5"/>
      </w:pPr>
      <w:r>
        <w:t>Timberland Productivity Act</w:t>
      </w:r>
    </w:p>
    <w:p w14:paraId="64D690F9" w14:textId="586BD884" w:rsidR="003D4F5A" w:rsidRDefault="009E41BF" w:rsidP="0056384F">
      <w:pPr>
        <w:pStyle w:val="BodyText"/>
      </w:pPr>
      <w:r>
        <w:t>Although the proposed CalVTP excludes timber removal</w:t>
      </w:r>
      <w:r w:rsidR="00CD1ACE">
        <w:t xml:space="preserve"> for commercial purposes</w:t>
      </w:r>
      <w:r>
        <w:t xml:space="preserve">, the Timberland Productivity Act may be pertinent as it relates to </w:t>
      </w:r>
      <w:r w:rsidR="001C5D2E">
        <w:t xml:space="preserve">compatible uses, such as management for watershed or habitat purposes. </w:t>
      </w:r>
      <w:r w:rsidR="0056384F">
        <w:t xml:space="preserve">The Timberland Productivity Act represents the Legislature’s declared intent “to fully realize the productive potential of the forest resources and timberlands of the state.” The Act imposes mandatory restrictions on parcels zoned as timberland production. Such parcels “shall be zoned so as to restrict their use to growing and harvesting timber and to compatible uses.” (Gov. Code, </w:t>
      </w:r>
      <w:r w:rsidR="00812A38">
        <w:t>Section</w:t>
      </w:r>
      <w:r w:rsidR="0056384F">
        <w:t xml:space="preserve"> 51115.) In exchange, property owners are required to pay </w:t>
      </w:r>
      <w:r w:rsidR="0053146D">
        <w:t xml:space="preserve">property </w:t>
      </w:r>
      <w:r w:rsidR="0056384F">
        <w:t xml:space="preserve">taxes on the land based solely on its value for timber harvest, and not for its development potential, as is the case with qualifying agricultural and open space lands under the Williamson Act (discussed above). Government Code </w:t>
      </w:r>
      <w:r w:rsidR="003D4F5A" w:rsidRPr="003D4F5A">
        <w:t xml:space="preserve">Section 51104(g) </w:t>
      </w:r>
      <w:r w:rsidR="00635B2B">
        <w:t xml:space="preserve">of the </w:t>
      </w:r>
      <w:r w:rsidR="003D4F5A" w:rsidRPr="003D4F5A">
        <w:t xml:space="preserve">defines “timberland production zone” </w:t>
      </w:r>
      <w:r w:rsidR="00635B2B">
        <w:t>as</w:t>
      </w:r>
      <w:r w:rsidR="003D4F5A" w:rsidRPr="003D4F5A">
        <w:t xml:space="preserve"> an area which has been zoned pursuant to Section 51112 or 51113 and is devoted to and used for growing and harvesting timber, or for growing and harvesting timber and compatible uses. Compatible uses are defined under Section 51104(h) and include </w:t>
      </w:r>
      <w:r w:rsidR="00304338">
        <w:t>management for watershed; management for habitat or hunting and fishing; access roads and staging areas for timber harvesting; gas, electric, water, or communication transmission facilities; grazing; or a residence or other structure necessary for timber management.</w:t>
      </w:r>
    </w:p>
    <w:p w14:paraId="25754FF0" w14:textId="057FBF57" w:rsidR="00304338" w:rsidRDefault="00F14C29" w:rsidP="003E2B2D">
      <w:pPr>
        <w:pStyle w:val="Heading5"/>
      </w:pPr>
      <w:proofErr w:type="spellStart"/>
      <w:r>
        <w:t>Z’berg</w:t>
      </w:r>
      <w:proofErr w:type="spellEnd"/>
      <w:r>
        <w:t>-Warren-Keen-Collier Forest Taxation Reform Act</w:t>
      </w:r>
    </w:p>
    <w:p w14:paraId="2EEB67B2" w14:textId="10DC0F13" w:rsidR="002F1157" w:rsidRPr="002F1157" w:rsidRDefault="001C5D2E" w:rsidP="003E2B2D">
      <w:pPr>
        <w:pStyle w:val="BodyText"/>
      </w:pPr>
      <w:r>
        <w:t>Although the proposed CalVTP excludes timber removal</w:t>
      </w:r>
      <w:r w:rsidR="00CD1ACE">
        <w:t xml:space="preserve"> for commercial purposes</w:t>
      </w:r>
      <w:r>
        <w:t xml:space="preserve">, timberland zoning may be pertinent as it relates to avoidance of land use conflicts. </w:t>
      </w:r>
      <w:r w:rsidR="00F14C29" w:rsidRPr="00F14C29">
        <w:t xml:space="preserve">According to the </w:t>
      </w:r>
      <w:proofErr w:type="spellStart"/>
      <w:r w:rsidR="00F14C29" w:rsidRPr="00F14C29">
        <w:t>Z’Berg</w:t>
      </w:r>
      <w:proofErr w:type="spellEnd"/>
      <w:r w:rsidR="00F14C29" w:rsidRPr="00F14C29">
        <w:t xml:space="preserve">-Warren-Keene-Collier Forest Taxation Reform Act (California Government Code - Sections 51110-51119.5: Article 2), enacted in 1976, counties must </w:t>
      </w:r>
      <w:r w:rsidR="00F14C29" w:rsidRPr="00F14C29">
        <w:lastRenderedPageBreak/>
        <w:t>provide for the zoning of land used for growing and harvesting timber as Timberland Production Zones (TPZs). TPZs were established to preserve and protect timberland from conversion to other uses and avoid land use conflicts.</w:t>
      </w:r>
    </w:p>
    <w:p w14:paraId="1AA29180" w14:textId="4167F1FD" w:rsidR="007F4581" w:rsidRDefault="007F4581" w:rsidP="007F4581">
      <w:pPr>
        <w:pStyle w:val="Heading4"/>
      </w:pPr>
      <w:bookmarkStart w:id="8" w:name="_Toc330915509"/>
      <w:bookmarkStart w:id="9" w:name="_Toc321483590"/>
      <w:r w:rsidRPr="00C145FF">
        <w:t>Local</w:t>
      </w:r>
      <w:bookmarkEnd w:id="8"/>
    </w:p>
    <w:p w14:paraId="16139C2C" w14:textId="7CDA0CC5" w:rsidR="00916A20" w:rsidRPr="00C35CF5" w:rsidRDefault="00916A20" w:rsidP="00916A20">
      <w:pPr>
        <w:autoSpaceDE w:val="0"/>
        <w:autoSpaceDN w:val="0"/>
        <w:rPr>
          <w:spacing w:val="-1"/>
        </w:rPr>
      </w:pPr>
      <w:bookmarkStart w:id="10" w:name="_Toc384132818"/>
      <w:bookmarkEnd w:id="9"/>
      <w:r w:rsidRPr="00C35CF5">
        <w:rPr>
          <w:spacing w:val="-1"/>
        </w:rPr>
        <w:t xml:space="preserve">When state agencies, including CAL FIRE, are conducting </w:t>
      </w:r>
      <w:r w:rsidR="0078339F" w:rsidRPr="00C35CF5">
        <w:rPr>
          <w:spacing w:val="-1"/>
        </w:rPr>
        <w:t xml:space="preserve">governmental </w:t>
      </w:r>
      <w:r w:rsidRPr="00C35CF5">
        <w:rPr>
          <w:spacing w:val="-1"/>
        </w:rPr>
        <w:t xml:space="preserve">activities under the authority of state law or the </w:t>
      </w:r>
      <w:r w:rsidR="007065F3" w:rsidRPr="00C35CF5">
        <w:rPr>
          <w:spacing w:val="-1"/>
        </w:rPr>
        <w:t>state</w:t>
      </w:r>
      <w:r w:rsidRPr="00C35CF5">
        <w:rPr>
          <w:spacing w:val="-1"/>
        </w:rPr>
        <w:t xml:space="preserve"> Constitution, </w:t>
      </w:r>
      <w:r w:rsidR="006F0094" w:rsidRPr="00C35CF5">
        <w:rPr>
          <w:spacing w:val="-1"/>
        </w:rPr>
        <w:t xml:space="preserve">in this case, treatments implemented under the proposed CalVTP, </w:t>
      </w:r>
      <w:r w:rsidRPr="00C35CF5">
        <w:rPr>
          <w:spacing w:val="-1"/>
        </w:rPr>
        <w:t xml:space="preserve">they are </w:t>
      </w:r>
      <w:r w:rsidR="006F0094" w:rsidRPr="00C35CF5">
        <w:rPr>
          <w:spacing w:val="-1"/>
        </w:rPr>
        <w:t>exempt from</w:t>
      </w:r>
      <w:r w:rsidRPr="00C35CF5">
        <w:rPr>
          <w:spacing w:val="-1"/>
        </w:rPr>
        <w:t xml:space="preserve"> local government plans, policies, and ordinances (unless </w:t>
      </w:r>
      <w:r w:rsidR="006F0094" w:rsidRPr="00C35CF5">
        <w:rPr>
          <w:spacing w:val="-1"/>
        </w:rPr>
        <w:t xml:space="preserve">a constitutional provision or statute </w:t>
      </w:r>
      <w:r w:rsidR="00EC3D39" w:rsidRPr="00C35CF5">
        <w:rPr>
          <w:spacing w:val="-1"/>
        </w:rPr>
        <w:t xml:space="preserve">directs </w:t>
      </w:r>
      <w:r w:rsidR="006F0094" w:rsidRPr="00C35CF5">
        <w:rPr>
          <w:spacing w:val="-1"/>
        </w:rPr>
        <w:t>otherwise</w:t>
      </w:r>
      <w:r w:rsidRPr="00C35CF5">
        <w:rPr>
          <w:spacing w:val="-1"/>
        </w:rPr>
        <w:t>). Nonetheless, CAL FIRE voluntarily seeks to operate consistently with local governance to the extent feasible. Given its statewide extent and the possible number of local and regional responsible agencies, this PEIR does not identify potentially applicable local government plan</w:t>
      </w:r>
      <w:r w:rsidR="00EC3D39" w:rsidRPr="00C35CF5">
        <w:rPr>
          <w:spacing w:val="-1"/>
        </w:rPr>
        <w:t>s</w:t>
      </w:r>
      <w:r w:rsidRPr="00C35CF5">
        <w:rPr>
          <w:spacing w:val="-1"/>
        </w:rPr>
        <w:t>, polic</w:t>
      </w:r>
      <w:r w:rsidR="00EC3D39" w:rsidRPr="00C35CF5">
        <w:rPr>
          <w:spacing w:val="-1"/>
        </w:rPr>
        <w:t>ies</w:t>
      </w:r>
      <w:r w:rsidRPr="00C35CF5">
        <w:rPr>
          <w:spacing w:val="-1"/>
        </w:rPr>
        <w:t>, and ordinance</w:t>
      </w:r>
      <w:r w:rsidR="00EC3D39" w:rsidRPr="00C35CF5">
        <w:rPr>
          <w:spacing w:val="-1"/>
        </w:rPr>
        <w:t>s</w:t>
      </w:r>
      <w:r w:rsidRPr="00C35CF5">
        <w:rPr>
          <w:spacing w:val="-1"/>
        </w:rPr>
        <w:t xml:space="preserve">. </w:t>
      </w:r>
      <w:bookmarkStart w:id="11" w:name="_Hlk3034694"/>
      <w:r w:rsidR="00EB5C2C" w:rsidRPr="00C35CF5">
        <w:rPr>
          <w:spacing w:val="-1"/>
        </w:rPr>
        <w:t xml:space="preserve">Types of local regulations </w:t>
      </w:r>
      <w:r w:rsidR="00BA3CD0" w:rsidRPr="00C35CF5">
        <w:rPr>
          <w:spacing w:val="-1"/>
        </w:rPr>
        <w:t>relevant</w:t>
      </w:r>
      <w:r w:rsidR="00EB5C2C" w:rsidRPr="00C35CF5">
        <w:rPr>
          <w:spacing w:val="-1"/>
        </w:rPr>
        <w:t xml:space="preserve"> to agriculture and forestry include </w:t>
      </w:r>
      <w:r w:rsidR="000C6708" w:rsidRPr="00C35CF5">
        <w:rPr>
          <w:spacing w:val="-1"/>
        </w:rPr>
        <w:t>City and County General Plans, zoning ordinance</w:t>
      </w:r>
      <w:r w:rsidR="0053146D" w:rsidRPr="00C35CF5">
        <w:rPr>
          <w:spacing w:val="-1"/>
        </w:rPr>
        <w:t>s</w:t>
      </w:r>
      <w:r w:rsidR="000C6708" w:rsidRPr="00C35CF5">
        <w:rPr>
          <w:spacing w:val="-1"/>
        </w:rPr>
        <w:t xml:space="preserve">, and </w:t>
      </w:r>
      <w:r w:rsidR="006E6099" w:rsidRPr="00C35CF5">
        <w:rPr>
          <w:spacing w:val="-1"/>
        </w:rPr>
        <w:t>policies adopted to protect agriculture and forestry resources</w:t>
      </w:r>
      <w:r w:rsidR="00EB5C2C" w:rsidRPr="00C35CF5">
        <w:rPr>
          <w:spacing w:val="-1"/>
        </w:rPr>
        <w:t>.</w:t>
      </w:r>
      <w:bookmarkEnd w:id="11"/>
      <w:r w:rsidR="00EB5C2C" w:rsidRPr="00C35CF5">
        <w:rPr>
          <w:spacing w:val="-1"/>
        </w:rPr>
        <w:t xml:space="preserve"> </w:t>
      </w:r>
      <w:r w:rsidRPr="00C35CF5">
        <w:rPr>
          <w:spacing w:val="-1"/>
        </w:rPr>
        <w:t>This PEIR assumes that any vegetation treatments proposed by local or regional agencies under the CalVTP would be consistent with local plans, policies, and ordinances, as required by SPR AD-</w:t>
      </w:r>
      <w:r w:rsidR="00AB7692" w:rsidRPr="00C35CF5">
        <w:rPr>
          <w:spacing w:val="-1"/>
        </w:rPr>
        <w:t>3</w:t>
      </w:r>
      <w:r w:rsidRPr="00C35CF5">
        <w:rPr>
          <w:spacing w:val="-1"/>
        </w:rPr>
        <w:t>.</w:t>
      </w:r>
    </w:p>
    <w:p w14:paraId="5E8748E5" w14:textId="708A4662" w:rsidR="006E5312" w:rsidRPr="00A119D7" w:rsidRDefault="006E5312" w:rsidP="00496ED1">
      <w:pPr>
        <w:pStyle w:val="Heading3"/>
      </w:pPr>
      <w:r w:rsidRPr="00A119D7">
        <w:t>Impact</w:t>
      </w:r>
      <w:r w:rsidR="00DF2BED">
        <w:t xml:space="preserve"> </w:t>
      </w:r>
      <w:bookmarkEnd w:id="10"/>
      <w:r w:rsidR="00DF2BED">
        <w:t>Analysis</w:t>
      </w:r>
      <w:r w:rsidR="00C71CB9">
        <w:t xml:space="preserve"> and Mitigation Measures</w:t>
      </w:r>
    </w:p>
    <w:p w14:paraId="4B8CDE6A" w14:textId="61D119E5" w:rsidR="00197AA2" w:rsidRDefault="00DF2BED" w:rsidP="00197AA2">
      <w:pPr>
        <w:pStyle w:val="Heading4"/>
      </w:pPr>
      <w:r>
        <w:t xml:space="preserve">ANALYSIS </w:t>
      </w:r>
      <w:r w:rsidR="00197AA2">
        <w:t>Methodology</w:t>
      </w:r>
    </w:p>
    <w:p w14:paraId="06FB0210" w14:textId="69F4AA93" w:rsidR="001D75BA" w:rsidRPr="00AC180B" w:rsidRDefault="006376E6" w:rsidP="001D75BA">
      <w:pPr>
        <w:pStyle w:val="BodyText"/>
      </w:pPr>
      <w:bookmarkStart w:id="12" w:name="_Hlk4311208"/>
      <w:r>
        <w:t>The analysis</w:t>
      </w:r>
      <w:r w:rsidR="00E23703">
        <w:t xml:space="preserve"> of </w:t>
      </w:r>
      <w:r w:rsidR="0051194E">
        <w:t xml:space="preserve">environmental </w:t>
      </w:r>
      <w:r>
        <w:t xml:space="preserve">impacts on </w:t>
      </w:r>
      <w:r w:rsidR="00E23703">
        <w:t>agricultur</w:t>
      </w:r>
      <w:r w:rsidR="007D7A16">
        <w:t>e</w:t>
      </w:r>
      <w:r w:rsidR="00E23703">
        <w:t xml:space="preserve"> and forestry </w:t>
      </w:r>
      <w:r>
        <w:t xml:space="preserve">focuses on </w:t>
      </w:r>
      <w:r w:rsidR="0051194E">
        <w:t>the potential for</w:t>
      </w:r>
      <w:r>
        <w:t xml:space="preserve"> conversion of farmland to </w:t>
      </w:r>
      <w:r w:rsidRPr="006376E6">
        <w:t xml:space="preserve">non-agricultural uses, conversion of </w:t>
      </w:r>
      <w:r w:rsidR="001C5D2E">
        <w:t>forest land</w:t>
      </w:r>
      <w:r w:rsidR="0051194E">
        <w:t xml:space="preserve"> to non-forest uses</w:t>
      </w:r>
      <w:r w:rsidRPr="006376E6">
        <w:t xml:space="preserve">, and conflicts with policies and regulations intended to protect farmland </w:t>
      </w:r>
      <w:r w:rsidRPr="002A348C">
        <w:t xml:space="preserve">and </w:t>
      </w:r>
      <w:r w:rsidR="00D5287A">
        <w:t>forest land</w:t>
      </w:r>
      <w:r w:rsidRPr="002A348C">
        <w:t xml:space="preserve">. </w:t>
      </w:r>
      <w:r w:rsidR="00D5287A">
        <w:t>S</w:t>
      </w:r>
      <w:r w:rsidR="00CA39F8" w:rsidRPr="00CA39F8">
        <w:t>ignificance</w:t>
      </w:r>
      <w:r w:rsidR="00D5287A">
        <w:t xml:space="preserve"> determinations account for the influence of relevant </w:t>
      </w:r>
      <w:r w:rsidR="0051194E">
        <w:t>SPRs</w:t>
      </w:r>
      <w:r w:rsidR="00D5287A">
        <w:t xml:space="preserve">, which </w:t>
      </w:r>
      <w:r w:rsidR="0051194E">
        <w:t xml:space="preserve">are incorporated into </w:t>
      </w:r>
      <w:r w:rsidR="007D7A16">
        <w:t>treatment design</w:t>
      </w:r>
      <w:r w:rsidR="0051194E">
        <w:t xml:space="preserve">. </w:t>
      </w:r>
    </w:p>
    <w:bookmarkEnd w:id="12"/>
    <w:p w14:paraId="742631A1" w14:textId="4D17BC96" w:rsidR="00435BC0" w:rsidRDefault="00EC3D39" w:rsidP="00435BC0">
      <w:pPr>
        <w:pStyle w:val="Heading4"/>
      </w:pPr>
      <w:r>
        <w:t xml:space="preserve">Thresholds of </w:t>
      </w:r>
      <w:r w:rsidR="00435BC0">
        <w:t>Significance</w:t>
      </w:r>
    </w:p>
    <w:p w14:paraId="08EDDBCD" w14:textId="641F7A5F" w:rsidR="00E325A0" w:rsidRPr="00D007BE" w:rsidRDefault="00E325A0" w:rsidP="00E325A0">
      <w:pPr>
        <w:pStyle w:val="BodyText"/>
      </w:pPr>
      <w:r w:rsidRPr="00E325A0">
        <w:t xml:space="preserve">Thresholds of significance are based on Appendix G of the </w:t>
      </w:r>
      <w:r w:rsidR="005B07D6">
        <w:t xml:space="preserve">2019 </w:t>
      </w:r>
      <w:r w:rsidR="00F467AC">
        <w:t>S</w:t>
      </w:r>
      <w:r w:rsidR="007065F3">
        <w:t>tate</w:t>
      </w:r>
      <w:r w:rsidRPr="00E325A0">
        <w:t xml:space="preserve"> CEQA Guidelines. </w:t>
      </w:r>
      <w:r w:rsidR="00233B46">
        <w:t>A treatment implemented under the proposed CalVTP</w:t>
      </w:r>
      <w:r w:rsidR="00233B46" w:rsidRPr="00E325A0">
        <w:t xml:space="preserve"> </w:t>
      </w:r>
      <w:r w:rsidRPr="00E325A0">
        <w:t xml:space="preserve">would result in a significant impact on agricultural and forest (including </w:t>
      </w:r>
      <w:r w:rsidRPr="00D007BE">
        <w:t>timber) resources if it would:</w:t>
      </w:r>
    </w:p>
    <w:p w14:paraId="57BF457F" w14:textId="02B4EC7E" w:rsidR="00B82BD6" w:rsidRPr="00561EF2" w:rsidRDefault="00124230" w:rsidP="00124230">
      <w:pPr>
        <w:pStyle w:val="Bullet1"/>
      </w:pPr>
      <w:r w:rsidRPr="00D007BE">
        <w:t xml:space="preserve">convert Prime Farmland, Unique Farmland, or Farmland of Statewide Importance (Farmland), as shown on the maps prepared pursuant to the Farmland Mapping and Monitoring Program of the California Resources Agency, </w:t>
      </w:r>
      <w:r w:rsidRPr="00561EF2">
        <w:t>to non-agricultural use;</w:t>
      </w:r>
    </w:p>
    <w:p w14:paraId="71E13D2A" w14:textId="6E66AEBD" w:rsidR="00124230" w:rsidRPr="00E31CF7" w:rsidRDefault="005E454D" w:rsidP="005E454D">
      <w:pPr>
        <w:pStyle w:val="Bullet1"/>
      </w:pPr>
      <w:r w:rsidRPr="00E31CF7">
        <w:t>conflict with existing zoning for agricultural use, or a Williamson Act contract;</w:t>
      </w:r>
    </w:p>
    <w:p w14:paraId="744A8BB5" w14:textId="41E0D618" w:rsidR="005E454D" w:rsidRPr="00E31CF7" w:rsidRDefault="00513DD4" w:rsidP="00513DD4">
      <w:pPr>
        <w:pStyle w:val="Bullet1"/>
      </w:pPr>
      <w:r w:rsidRPr="00E31CF7">
        <w:t>conflict with existing zoning for, or cause rezoning of, forest land (as defined in Public Resources Code section 12220(g)), timberland (as defined by Public Resources Code section 4526), or timberland zoned Timberland Production (as defined by Government Code section 51104(g));</w:t>
      </w:r>
    </w:p>
    <w:p w14:paraId="69821E46" w14:textId="72E1DE95" w:rsidR="00513DD4" w:rsidRPr="00540896" w:rsidRDefault="00513DD4" w:rsidP="00513DD4">
      <w:pPr>
        <w:pStyle w:val="Bullet1"/>
      </w:pPr>
      <w:r w:rsidRPr="00540896">
        <w:t xml:space="preserve">result in the loss of forest land or conversion of forest land to </w:t>
      </w:r>
      <w:r w:rsidR="00E31CF7">
        <w:t xml:space="preserve">a </w:t>
      </w:r>
      <w:r w:rsidRPr="00540896">
        <w:t>non-forest use;</w:t>
      </w:r>
    </w:p>
    <w:p w14:paraId="00E86BF7" w14:textId="3096D09C" w:rsidR="00513DD4" w:rsidRPr="00540896" w:rsidRDefault="00F43216" w:rsidP="00F43216">
      <w:pPr>
        <w:pStyle w:val="Bullet1"/>
      </w:pPr>
      <w:r w:rsidRPr="00540896">
        <w:t xml:space="preserve">involve other changes in the existing environment which, due to their location or nature, could result in conversion of Farmland, to non-agricultural use or conversion of forest land to non-forest use. </w:t>
      </w:r>
    </w:p>
    <w:p w14:paraId="6FC9691B" w14:textId="3F00EDF8" w:rsidR="00D158A8" w:rsidRDefault="00D158A8" w:rsidP="00D158A8">
      <w:pPr>
        <w:pStyle w:val="Heading4"/>
      </w:pPr>
      <w:r>
        <w:t xml:space="preserve">Issues Not </w:t>
      </w:r>
      <w:r w:rsidR="00DF2BED">
        <w:t>Evaluated</w:t>
      </w:r>
      <w:r>
        <w:t xml:space="preserve"> Further</w:t>
      </w:r>
    </w:p>
    <w:p w14:paraId="76FDF60A" w14:textId="38E97A26" w:rsidR="00C0223E" w:rsidRPr="00C35CF5" w:rsidRDefault="00467284" w:rsidP="00B0342A">
      <w:pPr>
        <w:pStyle w:val="BodyText"/>
        <w:keepLines/>
        <w:rPr>
          <w:spacing w:val="-1"/>
        </w:rPr>
      </w:pPr>
      <w:r w:rsidRPr="00C35CF5">
        <w:rPr>
          <w:spacing w:val="-1"/>
        </w:rPr>
        <w:t xml:space="preserve">Implementation of the CalVTP would consist of vegetation treatment activities that would modify portions of the treatable landscape to reduce </w:t>
      </w:r>
      <w:r w:rsidR="00DB1CBE" w:rsidRPr="00C35CF5">
        <w:rPr>
          <w:spacing w:val="-1"/>
        </w:rPr>
        <w:t>wildfire risk</w:t>
      </w:r>
      <w:r w:rsidRPr="00C35CF5">
        <w:rPr>
          <w:spacing w:val="-1"/>
        </w:rPr>
        <w:t xml:space="preserve">. </w:t>
      </w:r>
      <w:r w:rsidR="00013B3C" w:rsidRPr="00C35CF5">
        <w:rPr>
          <w:spacing w:val="-1"/>
        </w:rPr>
        <w:t xml:space="preserve">As discussed in </w:t>
      </w:r>
      <w:r w:rsidR="00DB1CBE" w:rsidRPr="00C35CF5">
        <w:rPr>
          <w:spacing w:val="-1"/>
        </w:rPr>
        <w:t xml:space="preserve">Section 2.4 of </w:t>
      </w:r>
      <w:r w:rsidR="00013B3C" w:rsidRPr="00C35CF5">
        <w:rPr>
          <w:spacing w:val="-1"/>
        </w:rPr>
        <w:t xml:space="preserve">Chapter 2, “Project Description,” </w:t>
      </w:r>
      <w:r w:rsidR="00DB1CBE" w:rsidRPr="00C35CF5">
        <w:rPr>
          <w:spacing w:val="-1"/>
        </w:rPr>
        <w:t>a</w:t>
      </w:r>
      <w:r w:rsidR="00333C13" w:rsidRPr="00C35CF5">
        <w:rPr>
          <w:spacing w:val="-1"/>
        </w:rPr>
        <w:t>gricultura</w:t>
      </w:r>
      <w:r w:rsidR="004C6B48" w:rsidRPr="00C35CF5">
        <w:rPr>
          <w:spacing w:val="-1"/>
        </w:rPr>
        <w:t>l</w:t>
      </w:r>
      <w:r w:rsidR="00333C13" w:rsidRPr="00C35CF5">
        <w:rPr>
          <w:spacing w:val="-1"/>
        </w:rPr>
        <w:t xml:space="preserve"> land </w:t>
      </w:r>
      <w:r w:rsidR="00DB1CBE" w:rsidRPr="00C35CF5">
        <w:rPr>
          <w:spacing w:val="-1"/>
        </w:rPr>
        <w:t xml:space="preserve">is </w:t>
      </w:r>
      <w:r w:rsidR="00333C13" w:rsidRPr="00C35CF5">
        <w:rPr>
          <w:spacing w:val="-1"/>
        </w:rPr>
        <w:t xml:space="preserve">excluded from the treatable landscape because </w:t>
      </w:r>
      <w:r w:rsidR="004C6B48" w:rsidRPr="00C35CF5">
        <w:rPr>
          <w:color w:val="000000"/>
          <w:spacing w:val="-1"/>
        </w:rPr>
        <w:t xml:space="preserve">wildfire risks within agricultural lands are considered negligible. </w:t>
      </w:r>
      <w:r w:rsidR="00834DF1" w:rsidRPr="00C35CF5">
        <w:rPr>
          <w:color w:val="000000"/>
          <w:spacing w:val="-1"/>
        </w:rPr>
        <w:t>Therefore,</w:t>
      </w:r>
      <w:r w:rsidR="00064C89" w:rsidRPr="00C35CF5">
        <w:rPr>
          <w:color w:val="000000"/>
          <w:spacing w:val="-1"/>
        </w:rPr>
        <w:t xml:space="preserve"> </w:t>
      </w:r>
      <w:r w:rsidR="00AC679C" w:rsidRPr="00C35CF5">
        <w:rPr>
          <w:color w:val="000000"/>
          <w:spacing w:val="-1"/>
        </w:rPr>
        <w:t xml:space="preserve">CAL FIRE, or </w:t>
      </w:r>
      <w:r w:rsidR="00DB1CBE" w:rsidRPr="00C35CF5">
        <w:rPr>
          <w:color w:val="000000"/>
          <w:spacing w:val="-1"/>
        </w:rPr>
        <w:t xml:space="preserve">other </w:t>
      </w:r>
      <w:r w:rsidR="00AC679C" w:rsidRPr="00C35CF5">
        <w:rPr>
          <w:color w:val="000000"/>
          <w:spacing w:val="-1"/>
        </w:rPr>
        <w:t xml:space="preserve">project proponent, would not implement </w:t>
      </w:r>
      <w:r w:rsidR="00654F5B" w:rsidRPr="00C35CF5">
        <w:rPr>
          <w:color w:val="000000"/>
          <w:spacing w:val="-1"/>
        </w:rPr>
        <w:t xml:space="preserve">treatment activities on </w:t>
      </w:r>
      <w:r w:rsidR="00B0545D" w:rsidRPr="00C35CF5">
        <w:rPr>
          <w:color w:val="000000"/>
          <w:spacing w:val="-1"/>
        </w:rPr>
        <w:t xml:space="preserve">land classified as </w:t>
      </w:r>
      <w:r w:rsidR="00B0545D" w:rsidRPr="00C35CF5">
        <w:rPr>
          <w:spacing w:val="-1"/>
        </w:rPr>
        <w:t>Prime Farmland, Unique Farmland, or Farmland of Statewide Importance</w:t>
      </w:r>
      <w:r w:rsidR="00654F5B" w:rsidRPr="00C35CF5">
        <w:rPr>
          <w:spacing w:val="-1"/>
        </w:rPr>
        <w:t>, and this issue is</w:t>
      </w:r>
      <w:r w:rsidR="00B0545D" w:rsidRPr="00C35CF5">
        <w:rPr>
          <w:spacing w:val="-1"/>
        </w:rPr>
        <w:t xml:space="preserve"> </w:t>
      </w:r>
      <w:r w:rsidR="00654F5B" w:rsidRPr="00C35CF5">
        <w:rPr>
          <w:spacing w:val="-1"/>
        </w:rPr>
        <w:t xml:space="preserve">not evaluated further. </w:t>
      </w:r>
    </w:p>
    <w:p w14:paraId="161FC87D" w14:textId="2BB880F9" w:rsidR="006B6CFD" w:rsidRPr="00A41F19" w:rsidRDefault="00C10102" w:rsidP="00467284">
      <w:pPr>
        <w:pStyle w:val="BodyText"/>
        <w:rPr>
          <w:color w:val="000000"/>
        </w:rPr>
      </w:pPr>
      <w:r>
        <w:lastRenderedPageBreak/>
        <w:t>As stated above, w</w:t>
      </w:r>
      <w:r w:rsidRPr="00E32BAB">
        <w:rPr>
          <w:color w:val="000000"/>
        </w:rPr>
        <w:t>ildfire risks within agricultural lands are considered negligible</w:t>
      </w:r>
      <w:r>
        <w:rPr>
          <w:color w:val="000000"/>
        </w:rPr>
        <w:t xml:space="preserve"> by CAL FIRE</w:t>
      </w:r>
      <w:r w:rsidRPr="00E32BAB">
        <w:rPr>
          <w:color w:val="000000"/>
        </w:rPr>
        <w:t xml:space="preserve"> and </w:t>
      </w:r>
      <w:r>
        <w:rPr>
          <w:color w:val="000000"/>
        </w:rPr>
        <w:t xml:space="preserve">agricultural vegetations types as designated by the </w:t>
      </w:r>
      <w:r w:rsidRPr="00B51A50">
        <w:t>California Wildlife Habitat Relationship (</w:t>
      </w:r>
      <w:r w:rsidRPr="00D5621E">
        <w:t>CWHR) system</w:t>
      </w:r>
      <w:r>
        <w:rPr>
          <w:color w:val="000000"/>
        </w:rPr>
        <w:t xml:space="preserve"> as </w:t>
      </w:r>
      <w:r w:rsidRPr="00E32BAB">
        <w:rPr>
          <w:color w:val="000000"/>
        </w:rPr>
        <w:t xml:space="preserve">are </w:t>
      </w:r>
      <w:r>
        <w:rPr>
          <w:color w:val="000000"/>
        </w:rPr>
        <w:t xml:space="preserve">generally </w:t>
      </w:r>
      <w:r w:rsidRPr="00E32BAB">
        <w:rPr>
          <w:color w:val="000000"/>
        </w:rPr>
        <w:t xml:space="preserve">excluded from the treatable landscape. </w:t>
      </w:r>
      <w:r>
        <w:rPr>
          <w:color w:val="000000"/>
        </w:rPr>
        <w:t xml:space="preserve">It is not expected that treatments would occur on land under active agricultural production (as wildfire risk is negligible). However, </w:t>
      </w:r>
      <w:r>
        <w:t>a</w:t>
      </w:r>
      <w:r w:rsidR="00AF2907">
        <w:t xml:space="preserve">s discussed in Section 3.3.1, “Environmental </w:t>
      </w:r>
      <w:r w:rsidR="00AF2907" w:rsidRPr="00E32BAB">
        <w:t>Setting,” the treatable landscape includes land enrolled under Williamson Act in each of the designated farmland categories</w:t>
      </w:r>
      <w:r w:rsidR="00DB1CBE">
        <w:t xml:space="preserve"> and may encompass areas zoned as agriculture</w:t>
      </w:r>
      <w:r>
        <w:t xml:space="preserve"> despite not being identified as an agricultural land type by CWHR and these designations do not necessarily indicate whether the land is under agricultural production. In these cases, if a treatment is implemented on land zoned as agriculture or under a Williamson act contract, the treatment would occur to existing vegetation and would not change the land use. Therefore</w:t>
      </w:r>
      <w:r w:rsidR="003A5772">
        <w:t>,</w:t>
      </w:r>
      <w:r>
        <w:t xml:space="preserve"> conflicts with zoning or </w:t>
      </w:r>
      <w:r w:rsidR="003F299B" w:rsidRPr="00A41F19">
        <w:rPr>
          <w:color w:val="000000"/>
        </w:rPr>
        <w:t>Williamson Act</w:t>
      </w:r>
      <w:r>
        <w:rPr>
          <w:color w:val="000000"/>
        </w:rPr>
        <w:t xml:space="preserve"> contracts are</w:t>
      </w:r>
      <w:r w:rsidR="003F299B" w:rsidRPr="00A41F19">
        <w:rPr>
          <w:color w:val="000000"/>
        </w:rPr>
        <w:t xml:space="preserve"> not evaluated further. </w:t>
      </w:r>
      <w:r w:rsidR="003A5772">
        <w:rPr>
          <w:color w:val="000000"/>
        </w:rPr>
        <w:t xml:space="preserve">Also, because there would be no change in land use there would be no conversion of agriculture to a </w:t>
      </w:r>
      <w:r w:rsidR="003A5772" w:rsidRPr="00E256F5">
        <w:t>non-agricultural use</w:t>
      </w:r>
      <w:r w:rsidR="003A5772">
        <w:t xml:space="preserve"> and this issue is not evaluated further.</w:t>
      </w:r>
    </w:p>
    <w:p w14:paraId="76F50AEE" w14:textId="65942872" w:rsidR="00A34BEB" w:rsidRDefault="006E35B5" w:rsidP="00467284">
      <w:pPr>
        <w:pStyle w:val="BodyText"/>
      </w:pPr>
      <w:r>
        <w:t xml:space="preserve">The treatable landscape is divided into three fuel types that exhibit similar fire behavior characteristics: grass, shrub, and tree. </w:t>
      </w:r>
      <w:r w:rsidR="00803E19">
        <w:t>Within these primary fuel types, the tree fuel type</w:t>
      </w:r>
      <w:r w:rsidR="00803E19" w:rsidRPr="005E376E">
        <w:t xml:space="preserve"> </w:t>
      </w:r>
      <w:r w:rsidR="00803E19">
        <w:t>encompasses</w:t>
      </w:r>
      <w:r w:rsidR="00803E19" w:rsidRPr="005E376E">
        <w:t xml:space="preserve"> approximately </w:t>
      </w:r>
      <w:r w:rsidR="00803E19">
        <w:t>40 percent</w:t>
      </w:r>
      <w:r w:rsidR="00803E19" w:rsidRPr="005E376E">
        <w:t xml:space="preserve"> of </w:t>
      </w:r>
      <w:r w:rsidR="00803E19">
        <w:t>the SRA</w:t>
      </w:r>
      <w:r w:rsidR="00803E19" w:rsidRPr="005E376E">
        <w:t xml:space="preserve"> and is the largest of the three </w:t>
      </w:r>
      <w:r w:rsidR="00C10102">
        <w:t>types</w:t>
      </w:r>
      <w:r w:rsidR="00803E19" w:rsidRPr="005E376E">
        <w:t>.</w:t>
      </w:r>
      <w:r w:rsidR="00803E19">
        <w:t xml:space="preserve"> </w:t>
      </w:r>
      <w:r w:rsidR="004C3342">
        <w:t xml:space="preserve">Treatment activities that could occur within </w:t>
      </w:r>
      <w:r w:rsidR="004A15E9">
        <w:t>tree fuel type</w:t>
      </w:r>
      <w:r w:rsidR="004C3342">
        <w:t xml:space="preserve"> include prescribed burning mechanical treatment, manual treatment, prescribed herbivory, and herbicide application. As</w:t>
      </w:r>
      <w:r w:rsidR="004A15E9">
        <w:t xml:space="preserve"> discussed in </w:t>
      </w:r>
      <w:r w:rsidR="00A41F19">
        <w:rPr>
          <w:color w:val="000000"/>
        </w:rPr>
        <w:t xml:space="preserve">Section </w:t>
      </w:r>
      <w:r w:rsidR="00A41F19">
        <w:t xml:space="preserve">3.3.1, “Environmental </w:t>
      </w:r>
      <w:r w:rsidR="00A41F19" w:rsidRPr="00E32BAB">
        <w:t>Setting,”</w:t>
      </w:r>
      <w:r w:rsidR="00A41F19">
        <w:t xml:space="preserve"> the treatable landscape includes 6 million acres</w:t>
      </w:r>
      <w:r w:rsidR="009F0A80">
        <w:t xml:space="preserve"> </w:t>
      </w:r>
      <w:r w:rsidR="00E078AC">
        <w:t>of</w:t>
      </w:r>
      <w:r w:rsidR="009F0A80">
        <w:t xml:space="preserve"> forest land</w:t>
      </w:r>
      <w:r w:rsidR="004F1EB3">
        <w:t xml:space="preserve"> and 7 million acres of timberland</w:t>
      </w:r>
      <w:r w:rsidR="004A15E9">
        <w:t xml:space="preserve">. </w:t>
      </w:r>
      <w:r w:rsidR="00950335">
        <w:t xml:space="preserve">CAL FIRE, or </w:t>
      </w:r>
      <w:r w:rsidR="001861A3">
        <w:t xml:space="preserve">other </w:t>
      </w:r>
      <w:r w:rsidR="00950335">
        <w:t xml:space="preserve">project proponent, </w:t>
      </w:r>
      <w:r w:rsidR="001861A3">
        <w:t>could</w:t>
      </w:r>
      <w:r w:rsidR="00950335">
        <w:t xml:space="preserve"> implement treatment activities on </w:t>
      </w:r>
      <w:r w:rsidR="004F1EB3">
        <w:t xml:space="preserve">land zoned for </w:t>
      </w:r>
      <w:r w:rsidR="00950335">
        <w:t xml:space="preserve">forest land </w:t>
      </w:r>
      <w:r w:rsidR="004F1EB3">
        <w:t xml:space="preserve">and/or timberland </w:t>
      </w:r>
      <w:r w:rsidR="00950335">
        <w:t>located within the SRA</w:t>
      </w:r>
      <w:r w:rsidR="00784474">
        <w:t xml:space="preserve">, which </w:t>
      </w:r>
      <w:r w:rsidR="001861A3">
        <w:t xml:space="preserve">are </w:t>
      </w:r>
      <w:r w:rsidR="00784474">
        <w:t>under CAL FIRE’s jurisdiction</w:t>
      </w:r>
      <w:r w:rsidR="00950335">
        <w:t xml:space="preserve">. </w:t>
      </w:r>
      <w:r w:rsidR="004F1EB3">
        <w:t xml:space="preserve">However, the </w:t>
      </w:r>
      <w:r w:rsidR="001861A3">
        <w:t xml:space="preserve">proposed </w:t>
      </w:r>
      <w:r w:rsidR="004F1EB3">
        <w:t xml:space="preserve">CalVTP does not include actions that would remove trees for commercial purposes. </w:t>
      </w:r>
      <w:r w:rsidR="00952B8C">
        <w:t>Additionally,</w:t>
      </w:r>
      <w:r w:rsidR="00D0686E">
        <w:t xml:space="preserve"> </w:t>
      </w:r>
      <w:r w:rsidR="00952B8C">
        <w:t xml:space="preserve">treatment activities </w:t>
      </w:r>
      <w:r w:rsidR="00D0686E">
        <w:t>would</w:t>
      </w:r>
      <w:r w:rsidR="001861A3">
        <w:t xml:space="preserve"> maintain the current use of the land </w:t>
      </w:r>
      <w:r w:rsidR="006C211D">
        <w:t xml:space="preserve">and </w:t>
      </w:r>
      <w:r w:rsidR="00A65F47">
        <w:t xml:space="preserve">would not </w:t>
      </w:r>
      <w:r w:rsidR="00D0686E">
        <w:t xml:space="preserve">require rezoning of forest land or timberland to another use. </w:t>
      </w:r>
      <w:r w:rsidR="00A65F47">
        <w:t xml:space="preserve">In addition, implementation of treatment activities </w:t>
      </w:r>
      <w:r w:rsidR="006C211D">
        <w:t xml:space="preserve">would not </w:t>
      </w:r>
      <w:r w:rsidR="006C211D" w:rsidRPr="009B64FC">
        <w:t xml:space="preserve">involve development </w:t>
      </w:r>
      <w:r w:rsidR="006C211D">
        <w:t xml:space="preserve">that would </w:t>
      </w:r>
      <w:r w:rsidR="007C36F8">
        <w:t xml:space="preserve">conflict with existing </w:t>
      </w:r>
      <w:r w:rsidR="00A65F47">
        <w:t>zoning for forest land</w:t>
      </w:r>
      <w:r w:rsidR="00D0686E">
        <w:t xml:space="preserve"> or timberland</w:t>
      </w:r>
      <w:r w:rsidR="00A65F47">
        <w:t xml:space="preserve">. Therefore, </w:t>
      </w:r>
      <w:r w:rsidR="00300C99">
        <w:t>implementation of the proposed CalVTP would not conflict with existing zoning for forest land</w:t>
      </w:r>
      <w:r w:rsidR="001861A3">
        <w:t xml:space="preserve"> or</w:t>
      </w:r>
      <w:r w:rsidR="00D0686E">
        <w:t xml:space="preserve"> timberland</w:t>
      </w:r>
      <w:r w:rsidR="00300C99">
        <w:t xml:space="preserve">, and this issue is not evaluated further. </w:t>
      </w:r>
    </w:p>
    <w:p w14:paraId="51180AAE" w14:textId="49FDFAEC" w:rsidR="00435BC0" w:rsidRDefault="00435BC0" w:rsidP="00435BC0">
      <w:pPr>
        <w:pStyle w:val="Heading4"/>
      </w:pPr>
      <w:r>
        <w:t>Impact</w:t>
      </w:r>
      <w:r w:rsidR="00DF2BED">
        <w:t xml:space="preserve"> Analysis</w:t>
      </w:r>
    </w:p>
    <w:p w14:paraId="4F90AE30" w14:textId="4FE437E0" w:rsidR="001D75BA" w:rsidRPr="00CC6793" w:rsidRDefault="001D75BA" w:rsidP="001D75BA">
      <w:pPr>
        <w:pStyle w:val="ImpactNo"/>
      </w:pPr>
      <w:bookmarkStart w:id="13" w:name="_Toc464034589"/>
      <w:r w:rsidRPr="00CC6793">
        <w:t xml:space="preserve">Impact </w:t>
      </w:r>
      <w:r w:rsidR="00DF2BED">
        <w:t>A</w:t>
      </w:r>
      <w:r w:rsidR="00D66324">
        <w:t>G</w:t>
      </w:r>
      <w:r>
        <w:t>-</w:t>
      </w:r>
      <w:r w:rsidR="00367BA5">
        <w:t>1</w:t>
      </w:r>
      <w:r w:rsidRPr="00CC6793">
        <w:t xml:space="preserve">: </w:t>
      </w:r>
      <w:r w:rsidR="00EE16F9">
        <w:t xml:space="preserve">Directly </w:t>
      </w:r>
      <w:r w:rsidR="00EC3D39">
        <w:t>R</w:t>
      </w:r>
      <w:r w:rsidR="00EC3D39" w:rsidRPr="00540896">
        <w:t>esult</w:t>
      </w:r>
      <w:r w:rsidR="00DB4CD6">
        <w:t xml:space="preserve"> </w:t>
      </w:r>
      <w:r w:rsidR="00EC3D39">
        <w:t>i</w:t>
      </w:r>
      <w:r w:rsidR="00EC3D39" w:rsidRPr="00540896">
        <w:t xml:space="preserve">n </w:t>
      </w:r>
      <w:r w:rsidR="00EC3D39">
        <w:t>t</w:t>
      </w:r>
      <w:r w:rsidR="00EC3D39" w:rsidRPr="00540896">
        <w:t xml:space="preserve">he Loss </w:t>
      </w:r>
      <w:r w:rsidR="00EC3D39">
        <w:t>o</w:t>
      </w:r>
      <w:r w:rsidR="00EC3D39" w:rsidRPr="00540896">
        <w:t xml:space="preserve">f Forest Land </w:t>
      </w:r>
      <w:r w:rsidR="00EC3D39">
        <w:t>o</w:t>
      </w:r>
      <w:r w:rsidR="00EC3D39" w:rsidRPr="00540896">
        <w:t xml:space="preserve">r Conversion </w:t>
      </w:r>
      <w:r w:rsidR="00EC3D39">
        <w:t>o</w:t>
      </w:r>
      <w:r w:rsidR="00EC3D39" w:rsidRPr="00540896">
        <w:t xml:space="preserve">f Forest Land </w:t>
      </w:r>
      <w:r w:rsidR="00EC3D39">
        <w:t>t</w:t>
      </w:r>
      <w:r w:rsidR="00EC3D39" w:rsidRPr="00540896">
        <w:t>o</w:t>
      </w:r>
      <w:r w:rsidR="00EC3D39">
        <w:t xml:space="preserve"> a</w:t>
      </w:r>
      <w:r w:rsidR="00EC3D39" w:rsidRPr="00540896">
        <w:t xml:space="preserve"> Non-Forest Use</w:t>
      </w:r>
      <w:r w:rsidR="00EC3D39">
        <w:t xml:space="preserve"> or Involve Other </w:t>
      </w:r>
      <w:r w:rsidR="00EC3D39" w:rsidRPr="00E256F5">
        <w:t xml:space="preserve">Changes </w:t>
      </w:r>
      <w:r w:rsidR="00EC3D39">
        <w:t>i</w:t>
      </w:r>
      <w:r w:rsidR="00EC3D39" w:rsidRPr="00E256F5">
        <w:t xml:space="preserve">n </w:t>
      </w:r>
      <w:r w:rsidR="00EC3D39">
        <w:t>t</w:t>
      </w:r>
      <w:r w:rsidR="00EC3D39" w:rsidRPr="00E256F5">
        <w:t xml:space="preserve">he Existing Environment Which, Due </w:t>
      </w:r>
      <w:r w:rsidR="00EC3D39">
        <w:t>t</w:t>
      </w:r>
      <w:r w:rsidR="00EC3D39" w:rsidRPr="00E256F5">
        <w:t xml:space="preserve">o Their Location </w:t>
      </w:r>
      <w:r w:rsidR="00EC3D39">
        <w:t>o</w:t>
      </w:r>
      <w:r w:rsidR="00EC3D39" w:rsidRPr="00E256F5">
        <w:t xml:space="preserve">r Nature, Could Result </w:t>
      </w:r>
      <w:r w:rsidR="00EC3D39">
        <w:t>i</w:t>
      </w:r>
      <w:r w:rsidR="00EC3D39" w:rsidRPr="00E256F5">
        <w:t xml:space="preserve">n Conversion </w:t>
      </w:r>
      <w:r w:rsidR="00EC3D39">
        <w:t>of Forest Land to Non-Forest Use</w:t>
      </w:r>
    </w:p>
    <w:p w14:paraId="4AEE44BD" w14:textId="5B4CA3A9" w:rsidR="00E56BAA" w:rsidRPr="00CC6793" w:rsidRDefault="0030006F" w:rsidP="00E56BAA">
      <w:pPr>
        <w:pStyle w:val="Impactdescription"/>
      </w:pPr>
      <w:r>
        <w:t xml:space="preserve">The WUI fuel reduction, ecological restoration and </w:t>
      </w:r>
      <w:r w:rsidRPr="007256D0">
        <w:rPr>
          <w:strike/>
        </w:rPr>
        <w:t>non-</w:t>
      </w:r>
      <w:r>
        <w:t xml:space="preserve">shaded fuel break treatment types would inherently retain some vegetation within treatment areas. Establishing a non-shaded fuel break would require complete removal of vegetation within the limited area of the fuel break. Untreated vegetation surrounding the fuel break within forest land would remain intact. Although, treatment activities would alter forest land through vegetation removal, the area would generally support 10 percent of native tree cover thereby maintaining consistency with the definition of forest land as defined by </w:t>
      </w:r>
      <w:r w:rsidRPr="00DC6AFA">
        <w:t>PRC Section 12220(g)</w:t>
      </w:r>
      <w:r>
        <w:t xml:space="preserve">. </w:t>
      </w:r>
      <w:r w:rsidR="00920479" w:rsidRPr="00920479">
        <w:t xml:space="preserve">Treatment activities </w:t>
      </w:r>
      <w:r>
        <w:t>under the CalVTP</w:t>
      </w:r>
      <w:r w:rsidR="00920479" w:rsidRPr="00920479">
        <w:t xml:space="preserve"> would </w:t>
      </w:r>
      <w:r>
        <w:t xml:space="preserve">not </w:t>
      </w:r>
      <w:r w:rsidR="00920479" w:rsidRPr="00920479">
        <w:t>result in</w:t>
      </w:r>
      <w:r w:rsidR="00E5046F">
        <w:t xml:space="preserve"> the loss of forest land or</w:t>
      </w:r>
      <w:r w:rsidR="00920479" w:rsidRPr="00920479">
        <w:t xml:space="preserve"> conversion of forest land to a non-forest use. </w:t>
      </w:r>
      <w:r>
        <w:t>Thi</w:t>
      </w:r>
      <w:r w:rsidR="003A5772">
        <w:t>s</w:t>
      </w:r>
      <w:r>
        <w:t xml:space="preserve"> impact would be</w:t>
      </w:r>
      <w:r w:rsidR="00920479">
        <w:t xml:space="preserve"> </w:t>
      </w:r>
      <w:r w:rsidR="00920479" w:rsidRPr="009B16FB">
        <w:rPr>
          <w:b/>
        </w:rPr>
        <w:t>less</w:t>
      </w:r>
      <w:r>
        <w:rPr>
          <w:b/>
        </w:rPr>
        <w:t xml:space="preserve"> </w:t>
      </w:r>
      <w:r w:rsidR="00920479" w:rsidRPr="009B16FB">
        <w:rPr>
          <w:b/>
        </w:rPr>
        <w:t>than</w:t>
      </w:r>
      <w:r>
        <w:rPr>
          <w:b/>
        </w:rPr>
        <w:t xml:space="preserve"> </w:t>
      </w:r>
      <w:r w:rsidR="00920479" w:rsidRPr="009B16FB">
        <w:rPr>
          <w:b/>
        </w:rPr>
        <w:t>significant</w:t>
      </w:r>
      <w:r w:rsidR="00920479" w:rsidRPr="00C35CF5">
        <w:t>.</w:t>
      </w:r>
    </w:p>
    <w:p w14:paraId="075E649B" w14:textId="3F70FE90" w:rsidR="00117CAD" w:rsidRPr="0039786B" w:rsidRDefault="00C50C19" w:rsidP="00837E94">
      <w:pPr>
        <w:pStyle w:val="BodyText"/>
      </w:pPr>
      <w:r>
        <w:t>T</w:t>
      </w:r>
      <w:r w:rsidR="00E31CF7" w:rsidRPr="00041382">
        <w:t>reatment</w:t>
      </w:r>
      <w:r w:rsidR="00E31CF7">
        <w:t xml:space="preserve"> </w:t>
      </w:r>
      <w:r w:rsidR="00E31CF7" w:rsidRPr="00041382">
        <w:t>activities</w:t>
      </w:r>
      <w:r w:rsidR="00E31CF7">
        <w:t xml:space="preserve"> would modify portions of the treatable </w:t>
      </w:r>
      <w:r w:rsidR="00E31CF7" w:rsidRPr="00457266">
        <w:t xml:space="preserve">landscape to reduce </w:t>
      </w:r>
      <w:r w:rsidR="00556BB9">
        <w:t>wildfire risk</w:t>
      </w:r>
      <w:r w:rsidR="00E31CF7" w:rsidRPr="00457266">
        <w:t xml:space="preserve">. </w:t>
      </w:r>
      <w:r w:rsidR="00D5415A">
        <w:t xml:space="preserve">As previously discussed, </w:t>
      </w:r>
      <w:r w:rsidR="00A033C9">
        <w:t>a</w:t>
      </w:r>
      <w:r w:rsidR="00A033C9" w:rsidRPr="00B51A50">
        <w:t xml:space="preserve">ppropriate areas within which to implement vegetation treatments were identified using the </w:t>
      </w:r>
      <w:r w:rsidR="00A033C9" w:rsidRPr="00D5621E">
        <w:t>CWHR</w:t>
      </w:r>
      <w:r w:rsidR="00A033C9">
        <w:t xml:space="preserve"> </w:t>
      </w:r>
      <w:r w:rsidR="00A033C9" w:rsidRPr="00D5621E">
        <w:t>system</w:t>
      </w:r>
      <w:r w:rsidR="00A033C9">
        <w:t xml:space="preserve"> and divided into three fuel types: grass, shrub, and tree.</w:t>
      </w:r>
      <w:r w:rsidR="00875CD6">
        <w:t xml:space="preserve"> Within these primary fuel types, the tree fuel type</w:t>
      </w:r>
      <w:r w:rsidR="00875CD6" w:rsidRPr="005E376E">
        <w:t xml:space="preserve"> </w:t>
      </w:r>
      <w:r w:rsidR="00875CD6">
        <w:t>encompasses</w:t>
      </w:r>
      <w:r w:rsidR="00875CD6" w:rsidRPr="005E376E">
        <w:t xml:space="preserve"> </w:t>
      </w:r>
      <w:r w:rsidR="00875CD6" w:rsidRPr="00DC6AFA">
        <w:t>approximately 40 percent of the SRA and is the largest of the three groups.</w:t>
      </w:r>
      <w:r w:rsidR="00556BB9" w:rsidRPr="00DC6AFA">
        <w:t xml:space="preserve"> The tree fuel type encompasses forest land as defined by </w:t>
      </w:r>
      <w:r w:rsidR="00BE1501" w:rsidRPr="00DC6AFA">
        <w:t>PRC Section 12220(g)</w:t>
      </w:r>
      <w:r w:rsidR="00556BB9">
        <w:t xml:space="preserve"> and considered in this analysis.</w:t>
      </w:r>
      <w:r w:rsidR="006F1F15">
        <w:t xml:space="preserve"> </w:t>
      </w:r>
      <w:r w:rsidR="0039786B">
        <w:t xml:space="preserve">Pursuant to, </w:t>
      </w:r>
      <w:r w:rsidR="0030006F">
        <w:t xml:space="preserve">PRC </w:t>
      </w:r>
      <w:r w:rsidR="006F1F15">
        <w:t xml:space="preserve">Section 12220(g). </w:t>
      </w:r>
      <w:r w:rsidR="006F1F15" w:rsidRPr="008964F6">
        <w:t xml:space="preserve">forest land </w:t>
      </w:r>
      <w:r w:rsidR="0039786B">
        <w:t>is defined as</w:t>
      </w:r>
      <w:r w:rsidR="006F1F15" w:rsidRPr="008964F6">
        <w:t xml:space="preserve"> land that can support 10 percent native tree cover of any species</w:t>
      </w:r>
      <w:r w:rsidR="0039786B">
        <w:t xml:space="preserve"> under natural conditions</w:t>
      </w:r>
      <w:r w:rsidR="006F1F15">
        <w:t>.</w:t>
      </w:r>
      <w:r w:rsidR="00875CD6">
        <w:t xml:space="preserve"> Treatment activities that could occur within </w:t>
      </w:r>
      <w:r w:rsidR="00556BB9">
        <w:t xml:space="preserve">the </w:t>
      </w:r>
      <w:r w:rsidR="00875CD6">
        <w:t>tree fuel type include prescribed burning, mechanical treatment, manual treatment, prescribed herbivory, and herbicide application.</w:t>
      </w:r>
      <w:r w:rsidR="00623460">
        <w:t xml:space="preserve"> </w:t>
      </w:r>
      <w:r w:rsidR="004A6D31">
        <w:t xml:space="preserve">As discussed in </w:t>
      </w:r>
      <w:r w:rsidR="004A6D31">
        <w:rPr>
          <w:color w:val="000000"/>
        </w:rPr>
        <w:t xml:space="preserve">Section </w:t>
      </w:r>
      <w:r w:rsidR="004A6D31">
        <w:t xml:space="preserve">3.3.1, “Environmental </w:t>
      </w:r>
      <w:r w:rsidR="004A6D31" w:rsidRPr="00E32BAB">
        <w:t>Setting,”</w:t>
      </w:r>
      <w:r w:rsidR="004A6D31">
        <w:t xml:space="preserve"> the treatable landscape includes 6 million acres </w:t>
      </w:r>
      <w:r w:rsidR="00E078AC">
        <w:t>of</w:t>
      </w:r>
      <w:r w:rsidR="004A6D31">
        <w:t xml:space="preserve"> forest land. Implementation of treatment activities </w:t>
      </w:r>
      <w:r w:rsidR="00E43882">
        <w:t>within</w:t>
      </w:r>
      <w:r w:rsidR="004A6D31">
        <w:t xml:space="preserve"> forest land </w:t>
      </w:r>
      <w:r w:rsidR="00E078AC">
        <w:t>would</w:t>
      </w:r>
      <w:r w:rsidR="004A6D31">
        <w:t xml:space="preserve"> involve </w:t>
      </w:r>
      <w:r w:rsidR="00545FF6">
        <w:t>vegetation</w:t>
      </w:r>
      <w:r w:rsidR="00E43882">
        <w:t xml:space="preserve"> removal</w:t>
      </w:r>
      <w:r w:rsidR="00FC516A">
        <w:t xml:space="preserve">, </w:t>
      </w:r>
      <w:r w:rsidR="0035187A">
        <w:t>such as trees, shrubs, and undergrowth</w:t>
      </w:r>
      <w:r w:rsidR="00545FF6">
        <w:t xml:space="preserve">. </w:t>
      </w:r>
      <w:r w:rsidR="00DC6AFA">
        <w:t xml:space="preserve">The WUI fuel </w:t>
      </w:r>
      <w:r w:rsidR="0030006F">
        <w:t>reduction</w:t>
      </w:r>
      <w:r w:rsidR="00DC6AFA">
        <w:t xml:space="preserve">, ecological restoration and </w:t>
      </w:r>
      <w:r w:rsidR="00DC6AFA" w:rsidRPr="007256D0">
        <w:rPr>
          <w:strike/>
        </w:rPr>
        <w:t>non-</w:t>
      </w:r>
      <w:r w:rsidR="00DC6AFA">
        <w:t>shaded fuel break treatment types would inherently retain some vegetation within treatment area</w:t>
      </w:r>
      <w:r w:rsidR="0030006F">
        <w:t>s</w:t>
      </w:r>
      <w:r w:rsidR="00DC6AFA">
        <w:t>.</w:t>
      </w:r>
      <w:r w:rsidR="00FA5665">
        <w:t xml:space="preserve"> </w:t>
      </w:r>
      <w:r w:rsidR="00DC0449">
        <w:t>Establishing a non-shaded fuel break would</w:t>
      </w:r>
      <w:r w:rsidR="006D7932">
        <w:t xml:space="preserve"> require complete removal of vegetation within the </w:t>
      </w:r>
      <w:r w:rsidR="006D7932">
        <w:lastRenderedPageBreak/>
        <w:t xml:space="preserve">limited area of the fuel break (typically </w:t>
      </w:r>
      <w:r w:rsidR="0030006F">
        <w:t>up to 300 feet wide but in some cases wider) to achieve the strategic and functional objectives of the fuel break. Untreated vegetation surrounding the fuel break within forest land would remain intact.</w:t>
      </w:r>
      <w:r w:rsidR="003A5772">
        <w:t xml:space="preserve"> </w:t>
      </w:r>
      <w:r w:rsidR="00151640">
        <w:t xml:space="preserve">Although, treatment activities would alter forest land through vegetation removal, </w:t>
      </w:r>
      <w:r w:rsidR="0039786B">
        <w:t>the area would generally support 10 percent of native tree cover</w:t>
      </w:r>
      <w:r w:rsidR="0030006F">
        <w:t xml:space="preserve"> thereby maintaining consistency with the definition of forest land as defined by </w:t>
      </w:r>
      <w:r w:rsidR="0030006F" w:rsidRPr="00DC6AFA">
        <w:t>PRC Section 12220(g)</w:t>
      </w:r>
      <w:r w:rsidR="0027456D">
        <w:t>.</w:t>
      </w:r>
      <w:r w:rsidR="00B50A30">
        <w:t xml:space="preserve"> </w:t>
      </w:r>
      <w:r w:rsidR="008A4775">
        <w:t xml:space="preserve">Therefore, </w:t>
      </w:r>
      <w:r w:rsidR="0079685F">
        <w:t xml:space="preserve">implementation of the CalVTP would not </w:t>
      </w:r>
      <w:r w:rsidR="00A227B0">
        <w:t xml:space="preserve">directly </w:t>
      </w:r>
      <w:r w:rsidR="0079685F">
        <w:t>result in the loss of forest land or convert forest land to a non-forest use</w:t>
      </w:r>
      <w:r w:rsidR="00A227B0">
        <w:t xml:space="preserve"> or i</w:t>
      </w:r>
      <w:r w:rsidR="00A227B0" w:rsidRPr="00E256F5">
        <w:t xml:space="preserve">nvolve other changes in the existing environment </w:t>
      </w:r>
      <w:r w:rsidR="00A227B0">
        <w:t xml:space="preserve">that </w:t>
      </w:r>
      <w:r w:rsidR="00A227B0" w:rsidRPr="00E256F5">
        <w:t>could result in conversion o</w:t>
      </w:r>
      <w:r w:rsidR="00A227B0">
        <w:t>f forest land to non-forest use</w:t>
      </w:r>
      <w:r w:rsidR="0079685F">
        <w:t xml:space="preserve">. This impact would be </w:t>
      </w:r>
      <w:r w:rsidR="0079685F" w:rsidRPr="0079685F">
        <w:rPr>
          <w:b/>
        </w:rPr>
        <w:t>less than significant</w:t>
      </w:r>
      <w:r w:rsidR="0079685F" w:rsidRPr="00C35CF5">
        <w:t>.</w:t>
      </w:r>
    </w:p>
    <w:p w14:paraId="36BD0400" w14:textId="77777777" w:rsidR="001861A3" w:rsidRDefault="001861A3" w:rsidP="001861A3">
      <w:pPr>
        <w:pStyle w:val="Heading5"/>
      </w:pPr>
      <w:r w:rsidRPr="009328EF">
        <w:t>Mitigation Measures</w:t>
      </w:r>
    </w:p>
    <w:p w14:paraId="70BF9BC3" w14:textId="4BF7911D" w:rsidR="001861A3" w:rsidRPr="001861A3" w:rsidRDefault="001861A3" w:rsidP="001861A3">
      <w:pPr>
        <w:pStyle w:val="Mitigationtext"/>
      </w:pPr>
      <w:r>
        <w:t xml:space="preserve">No mitigation is required for this impact. </w:t>
      </w:r>
    </w:p>
    <w:bookmarkEnd w:id="13"/>
    <w:sectPr w:rsidR="001861A3" w:rsidRPr="001861A3"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95FB" w14:textId="77777777" w:rsidR="00DC0449" w:rsidRDefault="00DC0449" w:rsidP="00B53904">
      <w:r>
        <w:separator/>
      </w:r>
    </w:p>
  </w:endnote>
  <w:endnote w:type="continuationSeparator" w:id="0">
    <w:p w14:paraId="2CE9A946" w14:textId="77777777" w:rsidR="00DC0449" w:rsidRDefault="00DC0449"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29CDF90D" w:rsidR="00DC0449" w:rsidRPr="00AE4D3F" w:rsidRDefault="00DC0449"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DC7F33">
      <w:rPr>
        <w:rFonts w:cs="Segoe UI Semilight"/>
        <w:noProof/>
      </w:rPr>
      <w:t>3.3-2</w:t>
    </w:r>
    <w:r w:rsidRPr="00AE4D3F">
      <w:rPr>
        <w:rFonts w:cs="Segoe UI Semilight"/>
        <w:noProof/>
      </w:rPr>
      <w:fldChar w:fldCharType="end"/>
    </w:r>
    <w:r>
      <w:rPr>
        <w:rFonts w:cs="Segoe UI Semilight"/>
        <w:noProof/>
      </w:rPr>
      <w:tab/>
    </w:r>
    <w:r w:rsidR="00607C98">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5923E299" w:rsidR="00DC0449" w:rsidRPr="00AE4D3F" w:rsidRDefault="00DC0449" w:rsidP="00E16BE3">
    <w:pPr>
      <w:pStyle w:val="Footer"/>
    </w:pPr>
    <w:r w:rsidRPr="00AE4D3F">
      <w:t>Board of Forestry and Fire Protection</w:t>
    </w:r>
    <w:r w:rsidRPr="00AE4D3F">
      <w:tab/>
    </w:r>
    <w:r>
      <w:br/>
    </w:r>
    <w:r w:rsidR="00607C98">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DC7F33">
      <w:rPr>
        <w:rFonts w:cs="Segoe UI Semilight"/>
        <w:noProof/>
      </w:rPr>
      <w:t>3.3-1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3F36" w14:textId="77777777" w:rsidR="00DC0449" w:rsidRDefault="00DC0449" w:rsidP="00B53904">
      <w:r>
        <w:separator/>
      </w:r>
    </w:p>
  </w:footnote>
  <w:footnote w:type="continuationSeparator" w:id="0">
    <w:p w14:paraId="0C837F49" w14:textId="77777777" w:rsidR="00DC0449" w:rsidRDefault="00DC0449"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1281CEC9" w:rsidR="00DC0449" w:rsidRPr="00D55292" w:rsidRDefault="00DC0449" w:rsidP="00E87AF0">
    <w:pPr>
      <w:pStyle w:val="Header"/>
      <w:tabs>
        <w:tab w:val="clear" w:pos="5040"/>
        <w:tab w:val="center" w:pos="5400"/>
      </w:tabs>
    </w:pPr>
    <w:r>
      <w:rPr>
        <w:rFonts w:eastAsia="Times New Roman" w:cs="Arial"/>
      </w:rPr>
      <w:t>Agriculture and Forestry Resources</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03D80D45" w:rsidR="00DC0449" w:rsidRPr="00D55292" w:rsidRDefault="00DC0449" w:rsidP="00E87AF0">
    <w:pPr>
      <w:pStyle w:val="Header"/>
      <w:tabs>
        <w:tab w:val="clear" w:pos="5040"/>
        <w:tab w:val="center" w:pos="4680"/>
      </w:tabs>
    </w:pPr>
    <w:r w:rsidRPr="00D55292">
      <w:t>Ascent Environmental</w:t>
    </w:r>
    <w:r w:rsidRPr="00D55292">
      <w:tab/>
    </w:r>
    <w:r w:rsidRPr="00D55292">
      <w:tab/>
    </w:r>
    <w:r>
      <w:rPr>
        <w:rFonts w:eastAsia="Times New Roman" w:cs="Arial"/>
      </w:rPr>
      <w:t>Agriculture and Forestry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DC0449" w:rsidRDefault="00DC0449" w:rsidP="00FA47AA">
    <w:pPr>
      <w:pStyle w:val="Header"/>
      <w:pBdr>
        <w:bottom w:val="none" w:sz="0" w:space="0" w:color="auto"/>
      </w:pBdr>
      <w:jc w:val="center"/>
    </w:pPr>
    <w:r w:rsidRPr="00B352A5">
      <w:t>Draft for Internal Review and Deliberation</w:t>
    </w:r>
  </w:p>
  <w:p w14:paraId="0A8F0FFA" w14:textId="77777777" w:rsidR="00DC0449" w:rsidRDefault="00DC0449"/>
  <w:p w14:paraId="2A53CF5F" w14:textId="77777777" w:rsidR="00DC0449" w:rsidRDefault="00DC0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A55E9A2A"/>
    <w:lvl w:ilvl="0">
      <w:start w:val="3"/>
      <w:numFmt w:val="decimal"/>
      <w:pStyle w:val="Heading1"/>
      <w:lvlText w:val="%1"/>
      <w:lvlJc w:val="center"/>
      <w:pPr>
        <w:ind w:left="0" w:firstLine="0"/>
      </w:pPr>
      <w:rPr>
        <w:rFonts w:hint="default"/>
        <w:specVanish w:val="0"/>
      </w:rPr>
    </w:lvl>
    <w:lvl w:ilvl="1">
      <w:start w:val="3"/>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5"/>
  </w:num>
  <w:num w:numId="6">
    <w:abstractNumId w:val="2"/>
  </w:num>
  <w:num w:numId="7">
    <w:abstractNumId w:val="7"/>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44l+N47rl71LHqAchPQFl/eJUAQxzYaLtnm8AtI7YTTLvEtjggKQgBsLSq9cr0CoixcLHi2ZI36gdd30cHoiTg==" w:salt="QIKXcD/qMlkvFHFV8o3BZQ=="/>
  <w:defaultTabStop w:val="720"/>
  <w:evenAndOddHeaders/>
  <w:drawingGridHorizontalSpacing w:val="110"/>
  <w:displayHorizontalDrawingGridEvery w:val="2"/>
  <w:displayVerticalDrawingGridEvery w:val="2"/>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139D"/>
    <w:rsid w:val="00001A56"/>
    <w:rsid w:val="00001BFE"/>
    <w:rsid w:val="00002A1D"/>
    <w:rsid w:val="000047F6"/>
    <w:rsid w:val="000055CA"/>
    <w:rsid w:val="00006315"/>
    <w:rsid w:val="0000641B"/>
    <w:rsid w:val="00006D45"/>
    <w:rsid w:val="0000770B"/>
    <w:rsid w:val="00011594"/>
    <w:rsid w:val="0001240E"/>
    <w:rsid w:val="00013162"/>
    <w:rsid w:val="0001328E"/>
    <w:rsid w:val="00013896"/>
    <w:rsid w:val="00013B3C"/>
    <w:rsid w:val="00013B48"/>
    <w:rsid w:val="00013E6A"/>
    <w:rsid w:val="000149E9"/>
    <w:rsid w:val="00014CA7"/>
    <w:rsid w:val="000159C7"/>
    <w:rsid w:val="00016301"/>
    <w:rsid w:val="00020851"/>
    <w:rsid w:val="00021028"/>
    <w:rsid w:val="00023266"/>
    <w:rsid w:val="0002376E"/>
    <w:rsid w:val="00026409"/>
    <w:rsid w:val="000264EA"/>
    <w:rsid w:val="00027CC4"/>
    <w:rsid w:val="00030618"/>
    <w:rsid w:val="00031F2B"/>
    <w:rsid w:val="000347E4"/>
    <w:rsid w:val="000366A3"/>
    <w:rsid w:val="000366DD"/>
    <w:rsid w:val="00036B93"/>
    <w:rsid w:val="0003726D"/>
    <w:rsid w:val="000372E8"/>
    <w:rsid w:val="00040CA0"/>
    <w:rsid w:val="0004163D"/>
    <w:rsid w:val="00042295"/>
    <w:rsid w:val="000426A3"/>
    <w:rsid w:val="00045FFE"/>
    <w:rsid w:val="0004600A"/>
    <w:rsid w:val="00046313"/>
    <w:rsid w:val="000468C6"/>
    <w:rsid w:val="00046DFA"/>
    <w:rsid w:val="0004752D"/>
    <w:rsid w:val="00047887"/>
    <w:rsid w:val="00050F7D"/>
    <w:rsid w:val="00054087"/>
    <w:rsid w:val="00054B80"/>
    <w:rsid w:val="00055058"/>
    <w:rsid w:val="00060A11"/>
    <w:rsid w:val="00061E40"/>
    <w:rsid w:val="00062DE3"/>
    <w:rsid w:val="00064C89"/>
    <w:rsid w:val="0006604D"/>
    <w:rsid w:val="000665B4"/>
    <w:rsid w:val="00071F71"/>
    <w:rsid w:val="00073392"/>
    <w:rsid w:val="00075482"/>
    <w:rsid w:val="00077D79"/>
    <w:rsid w:val="000815EB"/>
    <w:rsid w:val="00081B55"/>
    <w:rsid w:val="000826E4"/>
    <w:rsid w:val="00082B43"/>
    <w:rsid w:val="000832E6"/>
    <w:rsid w:val="000844E3"/>
    <w:rsid w:val="00086D00"/>
    <w:rsid w:val="0008704A"/>
    <w:rsid w:val="0008745E"/>
    <w:rsid w:val="00090C1A"/>
    <w:rsid w:val="00092547"/>
    <w:rsid w:val="00092F79"/>
    <w:rsid w:val="00092FEC"/>
    <w:rsid w:val="00094C43"/>
    <w:rsid w:val="000956AE"/>
    <w:rsid w:val="000978B8"/>
    <w:rsid w:val="000A0113"/>
    <w:rsid w:val="000A0E20"/>
    <w:rsid w:val="000A14EE"/>
    <w:rsid w:val="000A1C94"/>
    <w:rsid w:val="000A1E51"/>
    <w:rsid w:val="000A1E55"/>
    <w:rsid w:val="000A438F"/>
    <w:rsid w:val="000A4FB2"/>
    <w:rsid w:val="000A7014"/>
    <w:rsid w:val="000A7558"/>
    <w:rsid w:val="000A78AB"/>
    <w:rsid w:val="000B0145"/>
    <w:rsid w:val="000B0586"/>
    <w:rsid w:val="000B11E6"/>
    <w:rsid w:val="000B1394"/>
    <w:rsid w:val="000B185D"/>
    <w:rsid w:val="000B7DDB"/>
    <w:rsid w:val="000C0C81"/>
    <w:rsid w:val="000C2269"/>
    <w:rsid w:val="000C2E4F"/>
    <w:rsid w:val="000C3470"/>
    <w:rsid w:val="000C60E2"/>
    <w:rsid w:val="000C6708"/>
    <w:rsid w:val="000C7CB0"/>
    <w:rsid w:val="000D0574"/>
    <w:rsid w:val="000D0593"/>
    <w:rsid w:val="000D0792"/>
    <w:rsid w:val="000D2C79"/>
    <w:rsid w:val="000D2CE9"/>
    <w:rsid w:val="000D5BF2"/>
    <w:rsid w:val="000D77E2"/>
    <w:rsid w:val="000D792E"/>
    <w:rsid w:val="000D7E25"/>
    <w:rsid w:val="000E07B4"/>
    <w:rsid w:val="000E3A72"/>
    <w:rsid w:val="000E3BE1"/>
    <w:rsid w:val="000E3C33"/>
    <w:rsid w:val="000E3C96"/>
    <w:rsid w:val="000E418D"/>
    <w:rsid w:val="000E4305"/>
    <w:rsid w:val="000E438C"/>
    <w:rsid w:val="000E439C"/>
    <w:rsid w:val="000E4AF9"/>
    <w:rsid w:val="000E57AC"/>
    <w:rsid w:val="000E7284"/>
    <w:rsid w:val="000F0B63"/>
    <w:rsid w:val="000F1081"/>
    <w:rsid w:val="000F167B"/>
    <w:rsid w:val="000F2869"/>
    <w:rsid w:val="000F31CF"/>
    <w:rsid w:val="000F39FC"/>
    <w:rsid w:val="000F4113"/>
    <w:rsid w:val="000F4DFE"/>
    <w:rsid w:val="000F5280"/>
    <w:rsid w:val="000F5E63"/>
    <w:rsid w:val="000F61D1"/>
    <w:rsid w:val="000F6BFC"/>
    <w:rsid w:val="001007D3"/>
    <w:rsid w:val="00100CC0"/>
    <w:rsid w:val="00100CDF"/>
    <w:rsid w:val="00101232"/>
    <w:rsid w:val="00101BA6"/>
    <w:rsid w:val="001026CD"/>
    <w:rsid w:val="001035C7"/>
    <w:rsid w:val="001040F4"/>
    <w:rsid w:val="00105061"/>
    <w:rsid w:val="0010531E"/>
    <w:rsid w:val="0010550D"/>
    <w:rsid w:val="00105C5E"/>
    <w:rsid w:val="00106092"/>
    <w:rsid w:val="00106E0F"/>
    <w:rsid w:val="001078BF"/>
    <w:rsid w:val="00111F9D"/>
    <w:rsid w:val="00112134"/>
    <w:rsid w:val="00112E15"/>
    <w:rsid w:val="0011325F"/>
    <w:rsid w:val="00113A7E"/>
    <w:rsid w:val="00117CAD"/>
    <w:rsid w:val="0012059C"/>
    <w:rsid w:val="0012078C"/>
    <w:rsid w:val="00120C1D"/>
    <w:rsid w:val="00120FBF"/>
    <w:rsid w:val="00123E21"/>
    <w:rsid w:val="0012419A"/>
    <w:rsid w:val="00124230"/>
    <w:rsid w:val="001245ED"/>
    <w:rsid w:val="00124DE5"/>
    <w:rsid w:val="001252E1"/>
    <w:rsid w:val="0012554E"/>
    <w:rsid w:val="00126858"/>
    <w:rsid w:val="00126D0B"/>
    <w:rsid w:val="001272B3"/>
    <w:rsid w:val="00134E1E"/>
    <w:rsid w:val="00135902"/>
    <w:rsid w:val="0014044D"/>
    <w:rsid w:val="001406B8"/>
    <w:rsid w:val="00140E73"/>
    <w:rsid w:val="00142E30"/>
    <w:rsid w:val="00143301"/>
    <w:rsid w:val="001447BF"/>
    <w:rsid w:val="00145602"/>
    <w:rsid w:val="001459E5"/>
    <w:rsid w:val="00145C58"/>
    <w:rsid w:val="0014627E"/>
    <w:rsid w:val="00147EDF"/>
    <w:rsid w:val="0015003F"/>
    <w:rsid w:val="001504FE"/>
    <w:rsid w:val="001507CE"/>
    <w:rsid w:val="00151640"/>
    <w:rsid w:val="00151F6A"/>
    <w:rsid w:val="00152900"/>
    <w:rsid w:val="00152F70"/>
    <w:rsid w:val="0015434B"/>
    <w:rsid w:val="001546A5"/>
    <w:rsid w:val="00155D62"/>
    <w:rsid w:val="00155F1D"/>
    <w:rsid w:val="00156DCB"/>
    <w:rsid w:val="001575C3"/>
    <w:rsid w:val="00157D53"/>
    <w:rsid w:val="0016152D"/>
    <w:rsid w:val="00162136"/>
    <w:rsid w:val="0016522C"/>
    <w:rsid w:val="0016592B"/>
    <w:rsid w:val="00165CA4"/>
    <w:rsid w:val="00170808"/>
    <w:rsid w:val="00172275"/>
    <w:rsid w:val="001723B6"/>
    <w:rsid w:val="00172764"/>
    <w:rsid w:val="00175747"/>
    <w:rsid w:val="00175B37"/>
    <w:rsid w:val="001761DB"/>
    <w:rsid w:val="00177A3F"/>
    <w:rsid w:val="001809C4"/>
    <w:rsid w:val="00182B7C"/>
    <w:rsid w:val="001840F7"/>
    <w:rsid w:val="0018567B"/>
    <w:rsid w:val="001861A3"/>
    <w:rsid w:val="0018799D"/>
    <w:rsid w:val="00187E2E"/>
    <w:rsid w:val="00190501"/>
    <w:rsid w:val="00192084"/>
    <w:rsid w:val="00192AD4"/>
    <w:rsid w:val="00192FB2"/>
    <w:rsid w:val="00193A58"/>
    <w:rsid w:val="00195105"/>
    <w:rsid w:val="00195401"/>
    <w:rsid w:val="00195D58"/>
    <w:rsid w:val="00195F02"/>
    <w:rsid w:val="00195F31"/>
    <w:rsid w:val="00196A5F"/>
    <w:rsid w:val="00197AA2"/>
    <w:rsid w:val="001A112C"/>
    <w:rsid w:val="001A1A4A"/>
    <w:rsid w:val="001A1BB4"/>
    <w:rsid w:val="001A2E3D"/>
    <w:rsid w:val="001A3D26"/>
    <w:rsid w:val="001A4CC5"/>
    <w:rsid w:val="001A62B9"/>
    <w:rsid w:val="001B1248"/>
    <w:rsid w:val="001B2E6C"/>
    <w:rsid w:val="001B3F60"/>
    <w:rsid w:val="001B4387"/>
    <w:rsid w:val="001B6D5E"/>
    <w:rsid w:val="001B742F"/>
    <w:rsid w:val="001C033D"/>
    <w:rsid w:val="001C0E10"/>
    <w:rsid w:val="001C143D"/>
    <w:rsid w:val="001C1543"/>
    <w:rsid w:val="001C1671"/>
    <w:rsid w:val="001C1835"/>
    <w:rsid w:val="001C1985"/>
    <w:rsid w:val="001C32C3"/>
    <w:rsid w:val="001C387A"/>
    <w:rsid w:val="001C473E"/>
    <w:rsid w:val="001C5D2E"/>
    <w:rsid w:val="001C6967"/>
    <w:rsid w:val="001D0441"/>
    <w:rsid w:val="001D141E"/>
    <w:rsid w:val="001D5178"/>
    <w:rsid w:val="001D594F"/>
    <w:rsid w:val="001D75BA"/>
    <w:rsid w:val="001E07BF"/>
    <w:rsid w:val="001E1685"/>
    <w:rsid w:val="001E20E5"/>
    <w:rsid w:val="001E2C28"/>
    <w:rsid w:val="001E31F9"/>
    <w:rsid w:val="001E3818"/>
    <w:rsid w:val="001E3CD9"/>
    <w:rsid w:val="001E48D0"/>
    <w:rsid w:val="001E5FD3"/>
    <w:rsid w:val="001E7098"/>
    <w:rsid w:val="001E74C3"/>
    <w:rsid w:val="001F0D4A"/>
    <w:rsid w:val="001F1CB3"/>
    <w:rsid w:val="001F29B0"/>
    <w:rsid w:val="001F34D3"/>
    <w:rsid w:val="001F4004"/>
    <w:rsid w:val="001F436B"/>
    <w:rsid w:val="001F6C83"/>
    <w:rsid w:val="002015D3"/>
    <w:rsid w:val="00201754"/>
    <w:rsid w:val="00201994"/>
    <w:rsid w:val="0020249B"/>
    <w:rsid w:val="00202930"/>
    <w:rsid w:val="00202CB3"/>
    <w:rsid w:val="00202EAB"/>
    <w:rsid w:val="00205D14"/>
    <w:rsid w:val="00207F24"/>
    <w:rsid w:val="00210F20"/>
    <w:rsid w:val="002112EE"/>
    <w:rsid w:val="00211B36"/>
    <w:rsid w:val="00215ADE"/>
    <w:rsid w:val="00215D7E"/>
    <w:rsid w:val="00217355"/>
    <w:rsid w:val="002210BC"/>
    <w:rsid w:val="00222315"/>
    <w:rsid w:val="00222415"/>
    <w:rsid w:val="002228D2"/>
    <w:rsid w:val="00223D24"/>
    <w:rsid w:val="00223FD6"/>
    <w:rsid w:val="002252EC"/>
    <w:rsid w:val="002266E4"/>
    <w:rsid w:val="0023030C"/>
    <w:rsid w:val="002323FF"/>
    <w:rsid w:val="00233B46"/>
    <w:rsid w:val="00234303"/>
    <w:rsid w:val="0023495A"/>
    <w:rsid w:val="00234F24"/>
    <w:rsid w:val="0023587E"/>
    <w:rsid w:val="00236901"/>
    <w:rsid w:val="0023726F"/>
    <w:rsid w:val="00243FDF"/>
    <w:rsid w:val="00244597"/>
    <w:rsid w:val="00244A45"/>
    <w:rsid w:val="00244E18"/>
    <w:rsid w:val="00244ED8"/>
    <w:rsid w:val="0024541E"/>
    <w:rsid w:val="00245E5C"/>
    <w:rsid w:val="0024778A"/>
    <w:rsid w:val="00250249"/>
    <w:rsid w:val="00252980"/>
    <w:rsid w:val="002532DD"/>
    <w:rsid w:val="00253784"/>
    <w:rsid w:val="00254181"/>
    <w:rsid w:val="002553ED"/>
    <w:rsid w:val="002555DD"/>
    <w:rsid w:val="002563E2"/>
    <w:rsid w:val="00256779"/>
    <w:rsid w:val="00257478"/>
    <w:rsid w:val="0025796A"/>
    <w:rsid w:val="00257DE2"/>
    <w:rsid w:val="0026029A"/>
    <w:rsid w:val="00261D6E"/>
    <w:rsid w:val="00263AE5"/>
    <w:rsid w:val="00264835"/>
    <w:rsid w:val="00264BCC"/>
    <w:rsid w:val="00265D63"/>
    <w:rsid w:val="00266B90"/>
    <w:rsid w:val="002679F5"/>
    <w:rsid w:val="0027130A"/>
    <w:rsid w:val="00273736"/>
    <w:rsid w:val="00273796"/>
    <w:rsid w:val="002739C9"/>
    <w:rsid w:val="0027456D"/>
    <w:rsid w:val="002748F0"/>
    <w:rsid w:val="0027519D"/>
    <w:rsid w:val="00276D16"/>
    <w:rsid w:val="0027727A"/>
    <w:rsid w:val="002779B2"/>
    <w:rsid w:val="00277AD7"/>
    <w:rsid w:val="002800C9"/>
    <w:rsid w:val="002817E1"/>
    <w:rsid w:val="00281DFF"/>
    <w:rsid w:val="0028262C"/>
    <w:rsid w:val="00282FDD"/>
    <w:rsid w:val="00283608"/>
    <w:rsid w:val="00283AFB"/>
    <w:rsid w:val="002841AD"/>
    <w:rsid w:val="00285B3C"/>
    <w:rsid w:val="00286E2F"/>
    <w:rsid w:val="002926CA"/>
    <w:rsid w:val="00292E24"/>
    <w:rsid w:val="0029315B"/>
    <w:rsid w:val="00294F66"/>
    <w:rsid w:val="00295848"/>
    <w:rsid w:val="00295BE2"/>
    <w:rsid w:val="00297DD2"/>
    <w:rsid w:val="002A0D61"/>
    <w:rsid w:val="002A348C"/>
    <w:rsid w:val="002A48A4"/>
    <w:rsid w:val="002A554B"/>
    <w:rsid w:val="002A7BF0"/>
    <w:rsid w:val="002B1909"/>
    <w:rsid w:val="002B29E0"/>
    <w:rsid w:val="002B347F"/>
    <w:rsid w:val="002B379E"/>
    <w:rsid w:val="002B4254"/>
    <w:rsid w:val="002B5482"/>
    <w:rsid w:val="002B570C"/>
    <w:rsid w:val="002B6A6C"/>
    <w:rsid w:val="002B6AE3"/>
    <w:rsid w:val="002B743B"/>
    <w:rsid w:val="002B7CBC"/>
    <w:rsid w:val="002C0C64"/>
    <w:rsid w:val="002C1406"/>
    <w:rsid w:val="002C3CB7"/>
    <w:rsid w:val="002C45C1"/>
    <w:rsid w:val="002C465B"/>
    <w:rsid w:val="002C7099"/>
    <w:rsid w:val="002C73AC"/>
    <w:rsid w:val="002C7F04"/>
    <w:rsid w:val="002D061B"/>
    <w:rsid w:val="002D09C9"/>
    <w:rsid w:val="002D0B10"/>
    <w:rsid w:val="002D0FDE"/>
    <w:rsid w:val="002D12B9"/>
    <w:rsid w:val="002D432C"/>
    <w:rsid w:val="002D51B8"/>
    <w:rsid w:val="002D526E"/>
    <w:rsid w:val="002D64E3"/>
    <w:rsid w:val="002D6978"/>
    <w:rsid w:val="002D6FF0"/>
    <w:rsid w:val="002D7269"/>
    <w:rsid w:val="002D7A81"/>
    <w:rsid w:val="002E4741"/>
    <w:rsid w:val="002E4E02"/>
    <w:rsid w:val="002E68D1"/>
    <w:rsid w:val="002E6E1D"/>
    <w:rsid w:val="002F00DB"/>
    <w:rsid w:val="002F0CB7"/>
    <w:rsid w:val="002F1157"/>
    <w:rsid w:val="002F3165"/>
    <w:rsid w:val="002F3DEE"/>
    <w:rsid w:val="002F5734"/>
    <w:rsid w:val="002F7942"/>
    <w:rsid w:val="002F7E9F"/>
    <w:rsid w:val="0030006F"/>
    <w:rsid w:val="00300C99"/>
    <w:rsid w:val="00300FAA"/>
    <w:rsid w:val="003014F0"/>
    <w:rsid w:val="00301D1B"/>
    <w:rsid w:val="00304338"/>
    <w:rsid w:val="00305244"/>
    <w:rsid w:val="0030635C"/>
    <w:rsid w:val="00306C97"/>
    <w:rsid w:val="00307692"/>
    <w:rsid w:val="003105BC"/>
    <w:rsid w:val="00311890"/>
    <w:rsid w:val="00312714"/>
    <w:rsid w:val="00312EDD"/>
    <w:rsid w:val="00312FD6"/>
    <w:rsid w:val="00313F3C"/>
    <w:rsid w:val="00313FE4"/>
    <w:rsid w:val="00314F2C"/>
    <w:rsid w:val="00315FFA"/>
    <w:rsid w:val="0031654C"/>
    <w:rsid w:val="00316AA8"/>
    <w:rsid w:val="00317399"/>
    <w:rsid w:val="00317541"/>
    <w:rsid w:val="00321D6A"/>
    <w:rsid w:val="00322598"/>
    <w:rsid w:val="003231CF"/>
    <w:rsid w:val="00323A21"/>
    <w:rsid w:val="0032422D"/>
    <w:rsid w:val="00326C69"/>
    <w:rsid w:val="0032789B"/>
    <w:rsid w:val="00333C13"/>
    <w:rsid w:val="00334521"/>
    <w:rsid w:val="00334D40"/>
    <w:rsid w:val="003370D4"/>
    <w:rsid w:val="0033710D"/>
    <w:rsid w:val="00340EDC"/>
    <w:rsid w:val="00342C0D"/>
    <w:rsid w:val="00342CE7"/>
    <w:rsid w:val="003440E9"/>
    <w:rsid w:val="0034459E"/>
    <w:rsid w:val="00344C6D"/>
    <w:rsid w:val="00347C87"/>
    <w:rsid w:val="00347CA9"/>
    <w:rsid w:val="0035022C"/>
    <w:rsid w:val="0035088D"/>
    <w:rsid w:val="00350DB1"/>
    <w:rsid w:val="0035187A"/>
    <w:rsid w:val="00351DFB"/>
    <w:rsid w:val="0035223D"/>
    <w:rsid w:val="00353380"/>
    <w:rsid w:val="003541B3"/>
    <w:rsid w:val="00354B00"/>
    <w:rsid w:val="0035700A"/>
    <w:rsid w:val="00360A26"/>
    <w:rsid w:val="00360A7F"/>
    <w:rsid w:val="00361334"/>
    <w:rsid w:val="00361846"/>
    <w:rsid w:val="00362483"/>
    <w:rsid w:val="003628CE"/>
    <w:rsid w:val="00362C68"/>
    <w:rsid w:val="0036336E"/>
    <w:rsid w:val="003633E9"/>
    <w:rsid w:val="003634FB"/>
    <w:rsid w:val="0036470A"/>
    <w:rsid w:val="00365175"/>
    <w:rsid w:val="00367BA5"/>
    <w:rsid w:val="00371E9B"/>
    <w:rsid w:val="00372D99"/>
    <w:rsid w:val="00374A8E"/>
    <w:rsid w:val="00375622"/>
    <w:rsid w:val="00375722"/>
    <w:rsid w:val="00375A32"/>
    <w:rsid w:val="00380732"/>
    <w:rsid w:val="00382277"/>
    <w:rsid w:val="00383471"/>
    <w:rsid w:val="003837AB"/>
    <w:rsid w:val="00384D17"/>
    <w:rsid w:val="0038556B"/>
    <w:rsid w:val="00385AAF"/>
    <w:rsid w:val="00385CB4"/>
    <w:rsid w:val="003865EF"/>
    <w:rsid w:val="00387CCF"/>
    <w:rsid w:val="0039048E"/>
    <w:rsid w:val="00391E89"/>
    <w:rsid w:val="003924C0"/>
    <w:rsid w:val="00393659"/>
    <w:rsid w:val="003936ED"/>
    <w:rsid w:val="00395AEA"/>
    <w:rsid w:val="00395DD7"/>
    <w:rsid w:val="00396BB7"/>
    <w:rsid w:val="00397330"/>
    <w:rsid w:val="003976EA"/>
    <w:rsid w:val="0039786B"/>
    <w:rsid w:val="00397EE4"/>
    <w:rsid w:val="003A0038"/>
    <w:rsid w:val="003A10DF"/>
    <w:rsid w:val="003A16F5"/>
    <w:rsid w:val="003A1F01"/>
    <w:rsid w:val="003A2AC4"/>
    <w:rsid w:val="003A4256"/>
    <w:rsid w:val="003A54AE"/>
    <w:rsid w:val="003A5772"/>
    <w:rsid w:val="003B0E83"/>
    <w:rsid w:val="003B1AC6"/>
    <w:rsid w:val="003B1C81"/>
    <w:rsid w:val="003B21BD"/>
    <w:rsid w:val="003B268B"/>
    <w:rsid w:val="003B3DCB"/>
    <w:rsid w:val="003B50DE"/>
    <w:rsid w:val="003B6ECA"/>
    <w:rsid w:val="003B76D0"/>
    <w:rsid w:val="003B778E"/>
    <w:rsid w:val="003B798C"/>
    <w:rsid w:val="003C29A0"/>
    <w:rsid w:val="003C2CC6"/>
    <w:rsid w:val="003C3D98"/>
    <w:rsid w:val="003C4A92"/>
    <w:rsid w:val="003C4D91"/>
    <w:rsid w:val="003C5D43"/>
    <w:rsid w:val="003C7217"/>
    <w:rsid w:val="003D1684"/>
    <w:rsid w:val="003D3996"/>
    <w:rsid w:val="003D4F5A"/>
    <w:rsid w:val="003D7C71"/>
    <w:rsid w:val="003E0223"/>
    <w:rsid w:val="003E0CA1"/>
    <w:rsid w:val="003E10E8"/>
    <w:rsid w:val="003E2B2D"/>
    <w:rsid w:val="003E3AE1"/>
    <w:rsid w:val="003E3CCF"/>
    <w:rsid w:val="003E3DD5"/>
    <w:rsid w:val="003E50C2"/>
    <w:rsid w:val="003E5FAB"/>
    <w:rsid w:val="003E605E"/>
    <w:rsid w:val="003E69E6"/>
    <w:rsid w:val="003E6BE7"/>
    <w:rsid w:val="003E7208"/>
    <w:rsid w:val="003E7515"/>
    <w:rsid w:val="003E7A77"/>
    <w:rsid w:val="003F088B"/>
    <w:rsid w:val="003F0DC2"/>
    <w:rsid w:val="003F1DB0"/>
    <w:rsid w:val="003F299B"/>
    <w:rsid w:val="003F37AC"/>
    <w:rsid w:val="003F3AC6"/>
    <w:rsid w:val="003F4CBE"/>
    <w:rsid w:val="003F5A9F"/>
    <w:rsid w:val="003F5C28"/>
    <w:rsid w:val="003F6373"/>
    <w:rsid w:val="003F6564"/>
    <w:rsid w:val="003F6B29"/>
    <w:rsid w:val="00400DE0"/>
    <w:rsid w:val="00400F63"/>
    <w:rsid w:val="0040167D"/>
    <w:rsid w:val="0040217A"/>
    <w:rsid w:val="00403122"/>
    <w:rsid w:val="00403698"/>
    <w:rsid w:val="00403EEF"/>
    <w:rsid w:val="00404894"/>
    <w:rsid w:val="0041200D"/>
    <w:rsid w:val="00414DF7"/>
    <w:rsid w:val="004155E4"/>
    <w:rsid w:val="00415C0B"/>
    <w:rsid w:val="00416D5D"/>
    <w:rsid w:val="00420D53"/>
    <w:rsid w:val="00421D2D"/>
    <w:rsid w:val="00422460"/>
    <w:rsid w:val="004224FB"/>
    <w:rsid w:val="00422DFA"/>
    <w:rsid w:val="00423463"/>
    <w:rsid w:val="00423683"/>
    <w:rsid w:val="00425518"/>
    <w:rsid w:val="00425D0C"/>
    <w:rsid w:val="00425E13"/>
    <w:rsid w:val="00426E47"/>
    <w:rsid w:val="0042778F"/>
    <w:rsid w:val="0043135E"/>
    <w:rsid w:val="00432D2C"/>
    <w:rsid w:val="00435A90"/>
    <w:rsid w:val="00435BC0"/>
    <w:rsid w:val="00436C8F"/>
    <w:rsid w:val="00436D76"/>
    <w:rsid w:val="004372A1"/>
    <w:rsid w:val="004401E7"/>
    <w:rsid w:val="00440A3C"/>
    <w:rsid w:val="00443E17"/>
    <w:rsid w:val="004448F0"/>
    <w:rsid w:val="00445C58"/>
    <w:rsid w:val="00446C8D"/>
    <w:rsid w:val="004507C8"/>
    <w:rsid w:val="00450DE0"/>
    <w:rsid w:val="00450ED6"/>
    <w:rsid w:val="004515CC"/>
    <w:rsid w:val="00451744"/>
    <w:rsid w:val="00451D71"/>
    <w:rsid w:val="004525DD"/>
    <w:rsid w:val="00452E5C"/>
    <w:rsid w:val="00452ED7"/>
    <w:rsid w:val="00453AF1"/>
    <w:rsid w:val="00453CE6"/>
    <w:rsid w:val="00455BBB"/>
    <w:rsid w:val="00455F9D"/>
    <w:rsid w:val="00456FD0"/>
    <w:rsid w:val="0046024A"/>
    <w:rsid w:val="004624B4"/>
    <w:rsid w:val="004643F0"/>
    <w:rsid w:val="00466056"/>
    <w:rsid w:val="00467284"/>
    <w:rsid w:val="0047088B"/>
    <w:rsid w:val="0047099C"/>
    <w:rsid w:val="00471FFC"/>
    <w:rsid w:val="0047222F"/>
    <w:rsid w:val="00474B8C"/>
    <w:rsid w:val="00474D0E"/>
    <w:rsid w:val="004753A9"/>
    <w:rsid w:val="00475791"/>
    <w:rsid w:val="00475BF5"/>
    <w:rsid w:val="00477814"/>
    <w:rsid w:val="00480017"/>
    <w:rsid w:val="0048005D"/>
    <w:rsid w:val="00484137"/>
    <w:rsid w:val="00486255"/>
    <w:rsid w:val="00491404"/>
    <w:rsid w:val="00491732"/>
    <w:rsid w:val="004926C5"/>
    <w:rsid w:val="00495C34"/>
    <w:rsid w:val="00496382"/>
    <w:rsid w:val="00496ED1"/>
    <w:rsid w:val="004A15E9"/>
    <w:rsid w:val="004A1E4C"/>
    <w:rsid w:val="004A215C"/>
    <w:rsid w:val="004A348C"/>
    <w:rsid w:val="004A486A"/>
    <w:rsid w:val="004A547A"/>
    <w:rsid w:val="004A598D"/>
    <w:rsid w:val="004A5B92"/>
    <w:rsid w:val="004A6D31"/>
    <w:rsid w:val="004A753D"/>
    <w:rsid w:val="004B07E5"/>
    <w:rsid w:val="004B1BD4"/>
    <w:rsid w:val="004B4015"/>
    <w:rsid w:val="004B63E6"/>
    <w:rsid w:val="004B741B"/>
    <w:rsid w:val="004B7612"/>
    <w:rsid w:val="004C197F"/>
    <w:rsid w:val="004C1ECD"/>
    <w:rsid w:val="004C2262"/>
    <w:rsid w:val="004C3342"/>
    <w:rsid w:val="004C3B24"/>
    <w:rsid w:val="004C40E1"/>
    <w:rsid w:val="004C6049"/>
    <w:rsid w:val="004C6B48"/>
    <w:rsid w:val="004C76EF"/>
    <w:rsid w:val="004D132D"/>
    <w:rsid w:val="004D13EE"/>
    <w:rsid w:val="004D2389"/>
    <w:rsid w:val="004D2447"/>
    <w:rsid w:val="004D24FD"/>
    <w:rsid w:val="004D27DB"/>
    <w:rsid w:val="004D3452"/>
    <w:rsid w:val="004D3A28"/>
    <w:rsid w:val="004D4984"/>
    <w:rsid w:val="004D5D00"/>
    <w:rsid w:val="004D6FC6"/>
    <w:rsid w:val="004D79A1"/>
    <w:rsid w:val="004D7B29"/>
    <w:rsid w:val="004E25B5"/>
    <w:rsid w:val="004E4D68"/>
    <w:rsid w:val="004E5C8A"/>
    <w:rsid w:val="004E5DE9"/>
    <w:rsid w:val="004E7592"/>
    <w:rsid w:val="004E75F6"/>
    <w:rsid w:val="004E78F9"/>
    <w:rsid w:val="004E79A2"/>
    <w:rsid w:val="004F00D6"/>
    <w:rsid w:val="004F1920"/>
    <w:rsid w:val="004F1EB3"/>
    <w:rsid w:val="004F50B2"/>
    <w:rsid w:val="004F5C3C"/>
    <w:rsid w:val="004F6D22"/>
    <w:rsid w:val="004F799C"/>
    <w:rsid w:val="004F7BC9"/>
    <w:rsid w:val="004F7CC3"/>
    <w:rsid w:val="005001B2"/>
    <w:rsid w:val="0050076B"/>
    <w:rsid w:val="0050107B"/>
    <w:rsid w:val="00501F97"/>
    <w:rsid w:val="005020E7"/>
    <w:rsid w:val="005027A7"/>
    <w:rsid w:val="00502C3D"/>
    <w:rsid w:val="00503506"/>
    <w:rsid w:val="005036B2"/>
    <w:rsid w:val="0050375C"/>
    <w:rsid w:val="00504A91"/>
    <w:rsid w:val="00506DB3"/>
    <w:rsid w:val="00507278"/>
    <w:rsid w:val="00507B30"/>
    <w:rsid w:val="00511217"/>
    <w:rsid w:val="0051194E"/>
    <w:rsid w:val="005131D1"/>
    <w:rsid w:val="00513D9B"/>
    <w:rsid w:val="00513DD4"/>
    <w:rsid w:val="0051402D"/>
    <w:rsid w:val="0051475C"/>
    <w:rsid w:val="005149F7"/>
    <w:rsid w:val="00514AC4"/>
    <w:rsid w:val="00515461"/>
    <w:rsid w:val="0051602C"/>
    <w:rsid w:val="00516262"/>
    <w:rsid w:val="00516CB7"/>
    <w:rsid w:val="00517068"/>
    <w:rsid w:val="005171E4"/>
    <w:rsid w:val="0051778E"/>
    <w:rsid w:val="00521758"/>
    <w:rsid w:val="00521A53"/>
    <w:rsid w:val="00522B98"/>
    <w:rsid w:val="00522CF0"/>
    <w:rsid w:val="00523033"/>
    <w:rsid w:val="005236B1"/>
    <w:rsid w:val="00523CAF"/>
    <w:rsid w:val="00523D48"/>
    <w:rsid w:val="00524D41"/>
    <w:rsid w:val="00525318"/>
    <w:rsid w:val="00525419"/>
    <w:rsid w:val="005257A0"/>
    <w:rsid w:val="00525F39"/>
    <w:rsid w:val="00526741"/>
    <w:rsid w:val="00526E67"/>
    <w:rsid w:val="005274AC"/>
    <w:rsid w:val="00527C5E"/>
    <w:rsid w:val="00530492"/>
    <w:rsid w:val="00530865"/>
    <w:rsid w:val="0053135A"/>
    <w:rsid w:val="0053141E"/>
    <w:rsid w:val="0053146D"/>
    <w:rsid w:val="00532F3B"/>
    <w:rsid w:val="00533A70"/>
    <w:rsid w:val="00535C10"/>
    <w:rsid w:val="005363FD"/>
    <w:rsid w:val="00540896"/>
    <w:rsid w:val="005412BF"/>
    <w:rsid w:val="00542ABB"/>
    <w:rsid w:val="005440E5"/>
    <w:rsid w:val="00544B19"/>
    <w:rsid w:val="00544FC3"/>
    <w:rsid w:val="005454CF"/>
    <w:rsid w:val="00545A8D"/>
    <w:rsid w:val="00545DE3"/>
    <w:rsid w:val="00545FF6"/>
    <w:rsid w:val="0054644D"/>
    <w:rsid w:val="005470D5"/>
    <w:rsid w:val="00547C9E"/>
    <w:rsid w:val="005531B7"/>
    <w:rsid w:val="0055361B"/>
    <w:rsid w:val="00553B31"/>
    <w:rsid w:val="005542EE"/>
    <w:rsid w:val="0055449F"/>
    <w:rsid w:val="00554BD6"/>
    <w:rsid w:val="00554FEB"/>
    <w:rsid w:val="00556212"/>
    <w:rsid w:val="00556BB9"/>
    <w:rsid w:val="00557913"/>
    <w:rsid w:val="00557994"/>
    <w:rsid w:val="0056094F"/>
    <w:rsid w:val="005615FF"/>
    <w:rsid w:val="00561EF2"/>
    <w:rsid w:val="0056384F"/>
    <w:rsid w:val="00563B67"/>
    <w:rsid w:val="005646C4"/>
    <w:rsid w:val="00565212"/>
    <w:rsid w:val="0056592D"/>
    <w:rsid w:val="00565F76"/>
    <w:rsid w:val="00566343"/>
    <w:rsid w:val="005669DE"/>
    <w:rsid w:val="00570507"/>
    <w:rsid w:val="0057062D"/>
    <w:rsid w:val="00570F93"/>
    <w:rsid w:val="00570FE9"/>
    <w:rsid w:val="005717CD"/>
    <w:rsid w:val="005719A7"/>
    <w:rsid w:val="00573F43"/>
    <w:rsid w:val="005761DD"/>
    <w:rsid w:val="00577A3F"/>
    <w:rsid w:val="0058017D"/>
    <w:rsid w:val="00581DAC"/>
    <w:rsid w:val="0058308C"/>
    <w:rsid w:val="00583D5E"/>
    <w:rsid w:val="00584867"/>
    <w:rsid w:val="005856F6"/>
    <w:rsid w:val="0058638B"/>
    <w:rsid w:val="005909CD"/>
    <w:rsid w:val="00591058"/>
    <w:rsid w:val="005913CA"/>
    <w:rsid w:val="005917AE"/>
    <w:rsid w:val="005918A9"/>
    <w:rsid w:val="00592804"/>
    <w:rsid w:val="00592D5A"/>
    <w:rsid w:val="00592DAE"/>
    <w:rsid w:val="0059350E"/>
    <w:rsid w:val="00593D58"/>
    <w:rsid w:val="00594399"/>
    <w:rsid w:val="0059603D"/>
    <w:rsid w:val="005A0ABA"/>
    <w:rsid w:val="005A1A2B"/>
    <w:rsid w:val="005A1EAC"/>
    <w:rsid w:val="005A33DA"/>
    <w:rsid w:val="005A4155"/>
    <w:rsid w:val="005A41F6"/>
    <w:rsid w:val="005A47A2"/>
    <w:rsid w:val="005A5244"/>
    <w:rsid w:val="005A5B97"/>
    <w:rsid w:val="005A7131"/>
    <w:rsid w:val="005A7392"/>
    <w:rsid w:val="005B00A9"/>
    <w:rsid w:val="005B01B6"/>
    <w:rsid w:val="005B07D6"/>
    <w:rsid w:val="005B28CE"/>
    <w:rsid w:val="005B28E5"/>
    <w:rsid w:val="005B31FA"/>
    <w:rsid w:val="005B3C2E"/>
    <w:rsid w:val="005B3F1D"/>
    <w:rsid w:val="005B4043"/>
    <w:rsid w:val="005B50BC"/>
    <w:rsid w:val="005B68EE"/>
    <w:rsid w:val="005B6D69"/>
    <w:rsid w:val="005B7446"/>
    <w:rsid w:val="005B7E8E"/>
    <w:rsid w:val="005C00FB"/>
    <w:rsid w:val="005C13E0"/>
    <w:rsid w:val="005C3F59"/>
    <w:rsid w:val="005C4392"/>
    <w:rsid w:val="005C7C17"/>
    <w:rsid w:val="005D057C"/>
    <w:rsid w:val="005D1321"/>
    <w:rsid w:val="005D32DE"/>
    <w:rsid w:val="005D7099"/>
    <w:rsid w:val="005D7486"/>
    <w:rsid w:val="005E00C0"/>
    <w:rsid w:val="005E0C0B"/>
    <w:rsid w:val="005E1DF2"/>
    <w:rsid w:val="005E2047"/>
    <w:rsid w:val="005E20D3"/>
    <w:rsid w:val="005E218F"/>
    <w:rsid w:val="005E2AC0"/>
    <w:rsid w:val="005E38A1"/>
    <w:rsid w:val="005E4262"/>
    <w:rsid w:val="005E454D"/>
    <w:rsid w:val="005E73C1"/>
    <w:rsid w:val="005E78AC"/>
    <w:rsid w:val="005F0AE6"/>
    <w:rsid w:val="005F2036"/>
    <w:rsid w:val="005F527C"/>
    <w:rsid w:val="005F52E8"/>
    <w:rsid w:val="005F571F"/>
    <w:rsid w:val="005F676C"/>
    <w:rsid w:val="005F72E0"/>
    <w:rsid w:val="006001BD"/>
    <w:rsid w:val="00600507"/>
    <w:rsid w:val="006030F8"/>
    <w:rsid w:val="00603DE4"/>
    <w:rsid w:val="00604DA7"/>
    <w:rsid w:val="006069DE"/>
    <w:rsid w:val="0060770E"/>
    <w:rsid w:val="00607C98"/>
    <w:rsid w:val="00607E8F"/>
    <w:rsid w:val="0061151A"/>
    <w:rsid w:val="00612380"/>
    <w:rsid w:val="006123A9"/>
    <w:rsid w:val="00614D02"/>
    <w:rsid w:val="00615D31"/>
    <w:rsid w:val="00615D63"/>
    <w:rsid w:val="00615FAD"/>
    <w:rsid w:val="00616427"/>
    <w:rsid w:val="00617396"/>
    <w:rsid w:val="0061786C"/>
    <w:rsid w:val="00617A5F"/>
    <w:rsid w:val="006208DA"/>
    <w:rsid w:val="00621855"/>
    <w:rsid w:val="00623460"/>
    <w:rsid w:val="006236E2"/>
    <w:rsid w:val="00625140"/>
    <w:rsid w:val="006262A1"/>
    <w:rsid w:val="00626CFD"/>
    <w:rsid w:val="00626FB7"/>
    <w:rsid w:val="00631448"/>
    <w:rsid w:val="0063255E"/>
    <w:rsid w:val="00633BDE"/>
    <w:rsid w:val="00634350"/>
    <w:rsid w:val="00634539"/>
    <w:rsid w:val="00634EC7"/>
    <w:rsid w:val="00635041"/>
    <w:rsid w:val="006354BD"/>
    <w:rsid w:val="00635878"/>
    <w:rsid w:val="00635B2B"/>
    <w:rsid w:val="00635B48"/>
    <w:rsid w:val="00635D19"/>
    <w:rsid w:val="00637172"/>
    <w:rsid w:val="006376E6"/>
    <w:rsid w:val="006407CC"/>
    <w:rsid w:val="00640D7A"/>
    <w:rsid w:val="00640F60"/>
    <w:rsid w:val="006420A5"/>
    <w:rsid w:val="006429AF"/>
    <w:rsid w:val="00643E39"/>
    <w:rsid w:val="00646C14"/>
    <w:rsid w:val="00647821"/>
    <w:rsid w:val="006514AB"/>
    <w:rsid w:val="006521B7"/>
    <w:rsid w:val="00652642"/>
    <w:rsid w:val="006527A0"/>
    <w:rsid w:val="00654F5B"/>
    <w:rsid w:val="00655C00"/>
    <w:rsid w:val="006563EE"/>
    <w:rsid w:val="0065661C"/>
    <w:rsid w:val="00661718"/>
    <w:rsid w:val="00663166"/>
    <w:rsid w:val="00664F5F"/>
    <w:rsid w:val="00666B29"/>
    <w:rsid w:val="006679F3"/>
    <w:rsid w:val="00670B83"/>
    <w:rsid w:val="00670DEA"/>
    <w:rsid w:val="00671F3F"/>
    <w:rsid w:val="00673D33"/>
    <w:rsid w:val="00674212"/>
    <w:rsid w:val="0067427F"/>
    <w:rsid w:val="0067622C"/>
    <w:rsid w:val="006765A4"/>
    <w:rsid w:val="006769DE"/>
    <w:rsid w:val="00677091"/>
    <w:rsid w:val="006775F5"/>
    <w:rsid w:val="00677621"/>
    <w:rsid w:val="00681033"/>
    <w:rsid w:val="006813C4"/>
    <w:rsid w:val="00683728"/>
    <w:rsid w:val="00683F0C"/>
    <w:rsid w:val="00684C0D"/>
    <w:rsid w:val="006851C0"/>
    <w:rsid w:val="006869EB"/>
    <w:rsid w:val="00686DDB"/>
    <w:rsid w:val="0069127B"/>
    <w:rsid w:val="006919C7"/>
    <w:rsid w:val="00695C22"/>
    <w:rsid w:val="006A159D"/>
    <w:rsid w:val="006A20DD"/>
    <w:rsid w:val="006A2150"/>
    <w:rsid w:val="006A32FB"/>
    <w:rsid w:val="006A5278"/>
    <w:rsid w:val="006A5283"/>
    <w:rsid w:val="006A570E"/>
    <w:rsid w:val="006A5A3D"/>
    <w:rsid w:val="006A6F0F"/>
    <w:rsid w:val="006A71BF"/>
    <w:rsid w:val="006A76AA"/>
    <w:rsid w:val="006A7CB1"/>
    <w:rsid w:val="006B0788"/>
    <w:rsid w:val="006B08B3"/>
    <w:rsid w:val="006B14F3"/>
    <w:rsid w:val="006B1944"/>
    <w:rsid w:val="006B1D1B"/>
    <w:rsid w:val="006B1E47"/>
    <w:rsid w:val="006B24CF"/>
    <w:rsid w:val="006B253F"/>
    <w:rsid w:val="006B2D43"/>
    <w:rsid w:val="006B3396"/>
    <w:rsid w:val="006B380A"/>
    <w:rsid w:val="006B3CAE"/>
    <w:rsid w:val="006B6CFD"/>
    <w:rsid w:val="006B6F89"/>
    <w:rsid w:val="006C01DC"/>
    <w:rsid w:val="006C211D"/>
    <w:rsid w:val="006C32D0"/>
    <w:rsid w:val="006C5A4D"/>
    <w:rsid w:val="006D103F"/>
    <w:rsid w:val="006D3D0A"/>
    <w:rsid w:val="006D464B"/>
    <w:rsid w:val="006D57D0"/>
    <w:rsid w:val="006D7932"/>
    <w:rsid w:val="006E036E"/>
    <w:rsid w:val="006E1339"/>
    <w:rsid w:val="006E2508"/>
    <w:rsid w:val="006E35B5"/>
    <w:rsid w:val="006E5312"/>
    <w:rsid w:val="006E5B1B"/>
    <w:rsid w:val="006E6099"/>
    <w:rsid w:val="006E6C8A"/>
    <w:rsid w:val="006E706B"/>
    <w:rsid w:val="006E759F"/>
    <w:rsid w:val="006F0094"/>
    <w:rsid w:val="006F055F"/>
    <w:rsid w:val="006F08D0"/>
    <w:rsid w:val="006F09BF"/>
    <w:rsid w:val="006F1F15"/>
    <w:rsid w:val="006F2295"/>
    <w:rsid w:val="006F3019"/>
    <w:rsid w:val="00700385"/>
    <w:rsid w:val="00702D55"/>
    <w:rsid w:val="007046C8"/>
    <w:rsid w:val="00704B2E"/>
    <w:rsid w:val="00705BF3"/>
    <w:rsid w:val="007065F3"/>
    <w:rsid w:val="00706C24"/>
    <w:rsid w:val="00706D87"/>
    <w:rsid w:val="00706F49"/>
    <w:rsid w:val="007072D3"/>
    <w:rsid w:val="007079F3"/>
    <w:rsid w:val="00710125"/>
    <w:rsid w:val="007106B0"/>
    <w:rsid w:val="00710CC0"/>
    <w:rsid w:val="00711013"/>
    <w:rsid w:val="00711028"/>
    <w:rsid w:val="00711464"/>
    <w:rsid w:val="007116DB"/>
    <w:rsid w:val="0071176B"/>
    <w:rsid w:val="00711B61"/>
    <w:rsid w:val="00712ADB"/>
    <w:rsid w:val="0071363E"/>
    <w:rsid w:val="00714724"/>
    <w:rsid w:val="007155D5"/>
    <w:rsid w:val="0071588E"/>
    <w:rsid w:val="0071595A"/>
    <w:rsid w:val="007168B5"/>
    <w:rsid w:val="00716C74"/>
    <w:rsid w:val="00717500"/>
    <w:rsid w:val="00717966"/>
    <w:rsid w:val="0072146C"/>
    <w:rsid w:val="007256D0"/>
    <w:rsid w:val="00725FA9"/>
    <w:rsid w:val="00726C58"/>
    <w:rsid w:val="00726CE6"/>
    <w:rsid w:val="00726E40"/>
    <w:rsid w:val="0072710F"/>
    <w:rsid w:val="00730723"/>
    <w:rsid w:val="00732149"/>
    <w:rsid w:val="00732604"/>
    <w:rsid w:val="00732A05"/>
    <w:rsid w:val="00734ED3"/>
    <w:rsid w:val="00735BDA"/>
    <w:rsid w:val="00737238"/>
    <w:rsid w:val="00740C3B"/>
    <w:rsid w:val="007411A4"/>
    <w:rsid w:val="00741AC9"/>
    <w:rsid w:val="00741CC7"/>
    <w:rsid w:val="0074277B"/>
    <w:rsid w:val="00743688"/>
    <w:rsid w:val="00744A3F"/>
    <w:rsid w:val="00744EEC"/>
    <w:rsid w:val="00746D0E"/>
    <w:rsid w:val="00752BC1"/>
    <w:rsid w:val="00752E8A"/>
    <w:rsid w:val="00755370"/>
    <w:rsid w:val="00756B44"/>
    <w:rsid w:val="0075794F"/>
    <w:rsid w:val="00757B21"/>
    <w:rsid w:val="00760468"/>
    <w:rsid w:val="0076084A"/>
    <w:rsid w:val="00761373"/>
    <w:rsid w:val="00761413"/>
    <w:rsid w:val="00762653"/>
    <w:rsid w:val="00764364"/>
    <w:rsid w:val="00765073"/>
    <w:rsid w:val="007653EA"/>
    <w:rsid w:val="00765CA8"/>
    <w:rsid w:val="00765D81"/>
    <w:rsid w:val="007660EF"/>
    <w:rsid w:val="00770ECD"/>
    <w:rsid w:val="007726D2"/>
    <w:rsid w:val="0077299E"/>
    <w:rsid w:val="0077385C"/>
    <w:rsid w:val="00774362"/>
    <w:rsid w:val="0077475F"/>
    <w:rsid w:val="007759A4"/>
    <w:rsid w:val="00776B3F"/>
    <w:rsid w:val="00776EAE"/>
    <w:rsid w:val="007771D3"/>
    <w:rsid w:val="007779E9"/>
    <w:rsid w:val="00781531"/>
    <w:rsid w:val="00781555"/>
    <w:rsid w:val="007817E6"/>
    <w:rsid w:val="0078220A"/>
    <w:rsid w:val="00782AEE"/>
    <w:rsid w:val="0078339F"/>
    <w:rsid w:val="007833A8"/>
    <w:rsid w:val="00784474"/>
    <w:rsid w:val="00784879"/>
    <w:rsid w:val="00785B96"/>
    <w:rsid w:val="00785BE4"/>
    <w:rsid w:val="00785F42"/>
    <w:rsid w:val="00787AFA"/>
    <w:rsid w:val="007906D7"/>
    <w:rsid w:val="00790FE0"/>
    <w:rsid w:val="00793446"/>
    <w:rsid w:val="0079460E"/>
    <w:rsid w:val="0079461D"/>
    <w:rsid w:val="00795B53"/>
    <w:rsid w:val="007960DA"/>
    <w:rsid w:val="0079685F"/>
    <w:rsid w:val="007970B5"/>
    <w:rsid w:val="007A0E2E"/>
    <w:rsid w:val="007A22B5"/>
    <w:rsid w:val="007A2C27"/>
    <w:rsid w:val="007A3C0D"/>
    <w:rsid w:val="007A4A9E"/>
    <w:rsid w:val="007A5482"/>
    <w:rsid w:val="007A611F"/>
    <w:rsid w:val="007A79E9"/>
    <w:rsid w:val="007B1D2F"/>
    <w:rsid w:val="007B2D09"/>
    <w:rsid w:val="007B64A2"/>
    <w:rsid w:val="007B7917"/>
    <w:rsid w:val="007B7C51"/>
    <w:rsid w:val="007C0551"/>
    <w:rsid w:val="007C0F68"/>
    <w:rsid w:val="007C1FB3"/>
    <w:rsid w:val="007C36F8"/>
    <w:rsid w:val="007C3D14"/>
    <w:rsid w:val="007C429B"/>
    <w:rsid w:val="007C4B16"/>
    <w:rsid w:val="007D39C4"/>
    <w:rsid w:val="007D3BD5"/>
    <w:rsid w:val="007D404B"/>
    <w:rsid w:val="007D5CA0"/>
    <w:rsid w:val="007D65EE"/>
    <w:rsid w:val="007D7134"/>
    <w:rsid w:val="007D7A16"/>
    <w:rsid w:val="007E0172"/>
    <w:rsid w:val="007E0221"/>
    <w:rsid w:val="007E0550"/>
    <w:rsid w:val="007E08F7"/>
    <w:rsid w:val="007E0CF9"/>
    <w:rsid w:val="007E34B0"/>
    <w:rsid w:val="007E3B98"/>
    <w:rsid w:val="007E3BB6"/>
    <w:rsid w:val="007E3FCA"/>
    <w:rsid w:val="007E4686"/>
    <w:rsid w:val="007E4728"/>
    <w:rsid w:val="007E494B"/>
    <w:rsid w:val="007E4E74"/>
    <w:rsid w:val="007E5C2F"/>
    <w:rsid w:val="007E6708"/>
    <w:rsid w:val="007E6F2C"/>
    <w:rsid w:val="007E790A"/>
    <w:rsid w:val="007F03D9"/>
    <w:rsid w:val="007F44CD"/>
    <w:rsid w:val="007F4581"/>
    <w:rsid w:val="007F5113"/>
    <w:rsid w:val="007F7CD8"/>
    <w:rsid w:val="00803E19"/>
    <w:rsid w:val="00803E31"/>
    <w:rsid w:val="00805ABF"/>
    <w:rsid w:val="00807657"/>
    <w:rsid w:val="00810AFC"/>
    <w:rsid w:val="00811C8A"/>
    <w:rsid w:val="00812A38"/>
    <w:rsid w:val="0081376D"/>
    <w:rsid w:val="00813770"/>
    <w:rsid w:val="0081519A"/>
    <w:rsid w:val="008162CB"/>
    <w:rsid w:val="00816828"/>
    <w:rsid w:val="00816886"/>
    <w:rsid w:val="00820EDF"/>
    <w:rsid w:val="008213A3"/>
    <w:rsid w:val="0082373E"/>
    <w:rsid w:val="008245F0"/>
    <w:rsid w:val="00825FF2"/>
    <w:rsid w:val="008273F8"/>
    <w:rsid w:val="00830ECB"/>
    <w:rsid w:val="0083102D"/>
    <w:rsid w:val="00831322"/>
    <w:rsid w:val="0083159E"/>
    <w:rsid w:val="0083198E"/>
    <w:rsid w:val="00832DA1"/>
    <w:rsid w:val="00833282"/>
    <w:rsid w:val="008334BA"/>
    <w:rsid w:val="00833FB2"/>
    <w:rsid w:val="00834AF1"/>
    <w:rsid w:val="00834DF1"/>
    <w:rsid w:val="008370DB"/>
    <w:rsid w:val="00837E94"/>
    <w:rsid w:val="008403EF"/>
    <w:rsid w:val="0084048A"/>
    <w:rsid w:val="0084110E"/>
    <w:rsid w:val="00842226"/>
    <w:rsid w:val="00843EAE"/>
    <w:rsid w:val="00844032"/>
    <w:rsid w:val="00844B3E"/>
    <w:rsid w:val="00844F5A"/>
    <w:rsid w:val="0084560F"/>
    <w:rsid w:val="008456D2"/>
    <w:rsid w:val="0084711F"/>
    <w:rsid w:val="0084767C"/>
    <w:rsid w:val="00850C1F"/>
    <w:rsid w:val="008513CF"/>
    <w:rsid w:val="00851A4C"/>
    <w:rsid w:val="008523E5"/>
    <w:rsid w:val="008533C1"/>
    <w:rsid w:val="00853D0E"/>
    <w:rsid w:val="00854029"/>
    <w:rsid w:val="00854D0C"/>
    <w:rsid w:val="00855F3D"/>
    <w:rsid w:val="00856A69"/>
    <w:rsid w:val="008602B9"/>
    <w:rsid w:val="00861541"/>
    <w:rsid w:val="008620AF"/>
    <w:rsid w:val="00865333"/>
    <w:rsid w:val="008655ED"/>
    <w:rsid w:val="008658D8"/>
    <w:rsid w:val="00865B11"/>
    <w:rsid w:val="00871109"/>
    <w:rsid w:val="0087168E"/>
    <w:rsid w:val="00871AEB"/>
    <w:rsid w:val="00875CD6"/>
    <w:rsid w:val="008762AB"/>
    <w:rsid w:val="00877E85"/>
    <w:rsid w:val="00881710"/>
    <w:rsid w:val="00882ADB"/>
    <w:rsid w:val="00884010"/>
    <w:rsid w:val="0088419C"/>
    <w:rsid w:val="0088454E"/>
    <w:rsid w:val="008848ED"/>
    <w:rsid w:val="0088493D"/>
    <w:rsid w:val="00884A60"/>
    <w:rsid w:val="00885F9A"/>
    <w:rsid w:val="00886F6F"/>
    <w:rsid w:val="008879C6"/>
    <w:rsid w:val="00890B9B"/>
    <w:rsid w:val="00892E82"/>
    <w:rsid w:val="00893148"/>
    <w:rsid w:val="008937F7"/>
    <w:rsid w:val="00894361"/>
    <w:rsid w:val="008943A5"/>
    <w:rsid w:val="0089462F"/>
    <w:rsid w:val="00894CC4"/>
    <w:rsid w:val="00895C3D"/>
    <w:rsid w:val="00896178"/>
    <w:rsid w:val="008964F6"/>
    <w:rsid w:val="00897A95"/>
    <w:rsid w:val="00897E6B"/>
    <w:rsid w:val="008A0AB3"/>
    <w:rsid w:val="008A128A"/>
    <w:rsid w:val="008A1483"/>
    <w:rsid w:val="008A1B07"/>
    <w:rsid w:val="008A4775"/>
    <w:rsid w:val="008A5AE5"/>
    <w:rsid w:val="008A5CBD"/>
    <w:rsid w:val="008A6A08"/>
    <w:rsid w:val="008A7325"/>
    <w:rsid w:val="008A7A84"/>
    <w:rsid w:val="008A7D25"/>
    <w:rsid w:val="008B0B41"/>
    <w:rsid w:val="008B2738"/>
    <w:rsid w:val="008B458D"/>
    <w:rsid w:val="008B6CD1"/>
    <w:rsid w:val="008B72D8"/>
    <w:rsid w:val="008C1BBC"/>
    <w:rsid w:val="008C2F65"/>
    <w:rsid w:val="008C38B4"/>
    <w:rsid w:val="008D182A"/>
    <w:rsid w:val="008D203E"/>
    <w:rsid w:val="008D31C6"/>
    <w:rsid w:val="008D3799"/>
    <w:rsid w:val="008D58CF"/>
    <w:rsid w:val="008D650D"/>
    <w:rsid w:val="008D7AEE"/>
    <w:rsid w:val="008E21B6"/>
    <w:rsid w:val="008E37B7"/>
    <w:rsid w:val="008E5163"/>
    <w:rsid w:val="008E5ACA"/>
    <w:rsid w:val="008E63DC"/>
    <w:rsid w:val="008F0088"/>
    <w:rsid w:val="008F56D8"/>
    <w:rsid w:val="008F6E16"/>
    <w:rsid w:val="008F77A0"/>
    <w:rsid w:val="00902D38"/>
    <w:rsid w:val="00902EF0"/>
    <w:rsid w:val="00903467"/>
    <w:rsid w:val="009043BC"/>
    <w:rsid w:val="009062A3"/>
    <w:rsid w:val="00906C78"/>
    <w:rsid w:val="009073EE"/>
    <w:rsid w:val="00907D63"/>
    <w:rsid w:val="00907E8E"/>
    <w:rsid w:val="00910913"/>
    <w:rsid w:val="00911168"/>
    <w:rsid w:val="0091172D"/>
    <w:rsid w:val="00912978"/>
    <w:rsid w:val="00913890"/>
    <w:rsid w:val="009141D1"/>
    <w:rsid w:val="009150FA"/>
    <w:rsid w:val="00915A8A"/>
    <w:rsid w:val="00915BFA"/>
    <w:rsid w:val="00916A20"/>
    <w:rsid w:val="00920479"/>
    <w:rsid w:val="00923322"/>
    <w:rsid w:val="00923444"/>
    <w:rsid w:val="009240AA"/>
    <w:rsid w:val="00924DFF"/>
    <w:rsid w:val="00925E7F"/>
    <w:rsid w:val="00927F4C"/>
    <w:rsid w:val="00931818"/>
    <w:rsid w:val="009328EF"/>
    <w:rsid w:val="00933640"/>
    <w:rsid w:val="00934139"/>
    <w:rsid w:val="009345D4"/>
    <w:rsid w:val="00940692"/>
    <w:rsid w:val="00941FF8"/>
    <w:rsid w:val="00942237"/>
    <w:rsid w:val="00942742"/>
    <w:rsid w:val="009427C8"/>
    <w:rsid w:val="00943B72"/>
    <w:rsid w:val="0094426E"/>
    <w:rsid w:val="00944459"/>
    <w:rsid w:val="00950335"/>
    <w:rsid w:val="009511A0"/>
    <w:rsid w:val="00951AD0"/>
    <w:rsid w:val="00952B8C"/>
    <w:rsid w:val="00953A58"/>
    <w:rsid w:val="00953EEF"/>
    <w:rsid w:val="0095535F"/>
    <w:rsid w:val="00955681"/>
    <w:rsid w:val="009604FA"/>
    <w:rsid w:val="00960923"/>
    <w:rsid w:val="009611A2"/>
    <w:rsid w:val="009642BB"/>
    <w:rsid w:val="009650EF"/>
    <w:rsid w:val="00965356"/>
    <w:rsid w:val="00965C72"/>
    <w:rsid w:val="009663AB"/>
    <w:rsid w:val="00966C88"/>
    <w:rsid w:val="00970967"/>
    <w:rsid w:val="00970A90"/>
    <w:rsid w:val="00973A57"/>
    <w:rsid w:val="00973E83"/>
    <w:rsid w:val="00974BF8"/>
    <w:rsid w:val="00975C54"/>
    <w:rsid w:val="00976062"/>
    <w:rsid w:val="009760B4"/>
    <w:rsid w:val="00976FC3"/>
    <w:rsid w:val="00983607"/>
    <w:rsid w:val="009837FC"/>
    <w:rsid w:val="00983F6B"/>
    <w:rsid w:val="00984D79"/>
    <w:rsid w:val="00984DB0"/>
    <w:rsid w:val="009851E6"/>
    <w:rsid w:val="009852BE"/>
    <w:rsid w:val="00985C86"/>
    <w:rsid w:val="009860D0"/>
    <w:rsid w:val="00986E04"/>
    <w:rsid w:val="00991AB8"/>
    <w:rsid w:val="00993831"/>
    <w:rsid w:val="0099525B"/>
    <w:rsid w:val="009957A4"/>
    <w:rsid w:val="00997D38"/>
    <w:rsid w:val="009A0A19"/>
    <w:rsid w:val="009A0F30"/>
    <w:rsid w:val="009A1801"/>
    <w:rsid w:val="009A1A9D"/>
    <w:rsid w:val="009A1B65"/>
    <w:rsid w:val="009A2255"/>
    <w:rsid w:val="009A2EB4"/>
    <w:rsid w:val="009A3686"/>
    <w:rsid w:val="009A3ADC"/>
    <w:rsid w:val="009A76B2"/>
    <w:rsid w:val="009A7C96"/>
    <w:rsid w:val="009B1154"/>
    <w:rsid w:val="009B13B9"/>
    <w:rsid w:val="009B16FB"/>
    <w:rsid w:val="009B18C7"/>
    <w:rsid w:val="009B1A4D"/>
    <w:rsid w:val="009B3475"/>
    <w:rsid w:val="009B3B26"/>
    <w:rsid w:val="009B3B80"/>
    <w:rsid w:val="009B40BF"/>
    <w:rsid w:val="009B4658"/>
    <w:rsid w:val="009B5260"/>
    <w:rsid w:val="009B70FB"/>
    <w:rsid w:val="009B729E"/>
    <w:rsid w:val="009B742A"/>
    <w:rsid w:val="009B77AD"/>
    <w:rsid w:val="009B7B83"/>
    <w:rsid w:val="009C0830"/>
    <w:rsid w:val="009C19EB"/>
    <w:rsid w:val="009C27AF"/>
    <w:rsid w:val="009C2FB3"/>
    <w:rsid w:val="009C3479"/>
    <w:rsid w:val="009C457D"/>
    <w:rsid w:val="009C4773"/>
    <w:rsid w:val="009C53A0"/>
    <w:rsid w:val="009C5645"/>
    <w:rsid w:val="009C5F6B"/>
    <w:rsid w:val="009C6282"/>
    <w:rsid w:val="009C7121"/>
    <w:rsid w:val="009D09F0"/>
    <w:rsid w:val="009D2F9D"/>
    <w:rsid w:val="009D30AA"/>
    <w:rsid w:val="009D4E0B"/>
    <w:rsid w:val="009D62BD"/>
    <w:rsid w:val="009D662D"/>
    <w:rsid w:val="009E0419"/>
    <w:rsid w:val="009E05A6"/>
    <w:rsid w:val="009E07BD"/>
    <w:rsid w:val="009E2086"/>
    <w:rsid w:val="009E2408"/>
    <w:rsid w:val="009E25F8"/>
    <w:rsid w:val="009E2FD3"/>
    <w:rsid w:val="009E3150"/>
    <w:rsid w:val="009E343F"/>
    <w:rsid w:val="009E41BF"/>
    <w:rsid w:val="009E456A"/>
    <w:rsid w:val="009E567D"/>
    <w:rsid w:val="009E685B"/>
    <w:rsid w:val="009E779D"/>
    <w:rsid w:val="009F0A80"/>
    <w:rsid w:val="009F2B3E"/>
    <w:rsid w:val="009F37BE"/>
    <w:rsid w:val="009F3E1E"/>
    <w:rsid w:val="009F470A"/>
    <w:rsid w:val="009F5947"/>
    <w:rsid w:val="009F5D00"/>
    <w:rsid w:val="009F7799"/>
    <w:rsid w:val="009F7981"/>
    <w:rsid w:val="009F7991"/>
    <w:rsid w:val="00A002AC"/>
    <w:rsid w:val="00A0194D"/>
    <w:rsid w:val="00A033C9"/>
    <w:rsid w:val="00A04383"/>
    <w:rsid w:val="00A06222"/>
    <w:rsid w:val="00A07AA4"/>
    <w:rsid w:val="00A12C5F"/>
    <w:rsid w:val="00A132DB"/>
    <w:rsid w:val="00A13390"/>
    <w:rsid w:val="00A133D2"/>
    <w:rsid w:val="00A13E37"/>
    <w:rsid w:val="00A15AE7"/>
    <w:rsid w:val="00A17781"/>
    <w:rsid w:val="00A17B5D"/>
    <w:rsid w:val="00A215BE"/>
    <w:rsid w:val="00A22021"/>
    <w:rsid w:val="00A227B0"/>
    <w:rsid w:val="00A23729"/>
    <w:rsid w:val="00A255E6"/>
    <w:rsid w:val="00A26BFD"/>
    <w:rsid w:val="00A31418"/>
    <w:rsid w:val="00A31D8B"/>
    <w:rsid w:val="00A32CC1"/>
    <w:rsid w:val="00A34BEB"/>
    <w:rsid w:val="00A35790"/>
    <w:rsid w:val="00A35FF6"/>
    <w:rsid w:val="00A3646D"/>
    <w:rsid w:val="00A367FF"/>
    <w:rsid w:val="00A37B24"/>
    <w:rsid w:val="00A41F19"/>
    <w:rsid w:val="00A42F22"/>
    <w:rsid w:val="00A437DD"/>
    <w:rsid w:val="00A43AFE"/>
    <w:rsid w:val="00A447C0"/>
    <w:rsid w:val="00A44AEF"/>
    <w:rsid w:val="00A457CF"/>
    <w:rsid w:val="00A460B8"/>
    <w:rsid w:val="00A469AA"/>
    <w:rsid w:val="00A470F3"/>
    <w:rsid w:val="00A5055D"/>
    <w:rsid w:val="00A52FF1"/>
    <w:rsid w:val="00A5332B"/>
    <w:rsid w:val="00A568C1"/>
    <w:rsid w:val="00A56FE2"/>
    <w:rsid w:val="00A570B8"/>
    <w:rsid w:val="00A57922"/>
    <w:rsid w:val="00A61393"/>
    <w:rsid w:val="00A61BB1"/>
    <w:rsid w:val="00A625E6"/>
    <w:rsid w:val="00A62CA3"/>
    <w:rsid w:val="00A652B2"/>
    <w:rsid w:val="00A65F47"/>
    <w:rsid w:val="00A66D6B"/>
    <w:rsid w:val="00A66F2E"/>
    <w:rsid w:val="00A67371"/>
    <w:rsid w:val="00A70628"/>
    <w:rsid w:val="00A70EC2"/>
    <w:rsid w:val="00A719B3"/>
    <w:rsid w:val="00A720C3"/>
    <w:rsid w:val="00A728BA"/>
    <w:rsid w:val="00A73095"/>
    <w:rsid w:val="00A74130"/>
    <w:rsid w:val="00A7432D"/>
    <w:rsid w:val="00A74755"/>
    <w:rsid w:val="00A75C95"/>
    <w:rsid w:val="00A76817"/>
    <w:rsid w:val="00A769DB"/>
    <w:rsid w:val="00A7700D"/>
    <w:rsid w:val="00A77196"/>
    <w:rsid w:val="00A7773C"/>
    <w:rsid w:val="00A77975"/>
    <w:rsid w:val="00A81108"/>
    <w:rsid w:val="00A825AB"/>
    <w:rsid w:val="00A82A10"/>
    <w:rsid w:val="00A83348"/>
    <w:rsid w:val="00A83AA8"/>
    <w:rsid w:val="00A84FE4"/>
    <w:rsid w:val="00A852E6"/>
    <w:rsid w:val="00A876AE"/>
    <w:rsid w:val="00A904D9"/>
    <w:rsid w:val="00A90F8A"/>
    <w:rsid w:val="00A910A0"/>
    <w:rsid w:val="00A971F5"/>
    <w:rsid w:val="00A97884"/>
    <w:rsid w:val="00A9792E"/>
    <w:rsid w:val="00AA12BA"/>
    <w:rsid w:val="00AA14A9"/>
    <w:rsid w:val="00AA1666"/>
    <w:rsid w:val="00AA250A"/>
    <w:rsid w:val="00AA2E7C"/>
    <w:rsid w:val="00AA2EFC"/>
    <w:rsid w:val="00AA3CD6"/>
    <w:rsid w:val="00AA46C5"/>
    <w:rsid w:val="00AA4B4D"/>
    <w:rsid w:val="00AA74DC"/>
    <w:rsid w:val="00AA7B6B"/>
    <w:rsid w:val="00AB0CB3"/>
    <w:rsid w:val="00AB2476"/>
    <w:rsid w:val="00AB3073"/>
    <w:rsid w:val="00AB31B7"/>
    <w:rsid w:val="00AB6D00"/>
    <w:rsid w:val="00AB7692"/>
    <w:rsid w:val="00AB7C92"/>
    <w:rsid w:val="00AB7DAD"/>
    <w:rsid w:val="00AC054B"/>
    <w:rsid w:val="00AC09C1"/>
    <w:rsid w:val="00AC0AEE"/>
    <w:rsid w:val="00AC180B"/>
    <w:rsid w:val="00AC55C9"/>
    <w:rsid w:val="00AC6523"/>
    <w:rsid w:val="00AC679C"/>
    <w:rsid w:val="00AC7203"/>
    <w:rsid w:val="00AC7A20"/>
    <w:rsid w:val="00AD03FA"/>
    <w:rsid w:val="00AD0689"/>
    <w:rsid w:val="00AD19C2"/>
    <w:rsid w:val="00AD1A4F"/>
    <w:rsid w:val="00AD1D73"/>
    <w:rsid w:val="00AD2486"/>
    <w:rsid w:val="00AD2957"/>
    <w:rsid w:val="00AD2A87"/>
    <w:rsid w:val="00AD3D2A"/>
    <w:rsid w:val="00AD4538"/>
    <w:rsid w:val="00AD4675"/>
    <w:rsid w:val="00AD56E3"/>
    <w:rsid w:val="00AD58A8"/>
    <w:rsid w:val="00AD602E"/>
    <w:rsid w:val="00AD6D49"/>
    <w:rsid w:val="00AD7AB1"/>
    <w:rsid w:val="00AE1B90"/>
    <w:rsid w:val="00AE2029"/>
    <w:rsid w:val="00AE2B7C"/>
    <w:rsid w:val="00AE2F5E"/>
    <w:rsid w:val="00AE3702"/>
    <w:rsid w:val="00AE4AFF"/>
    <w:rsid w:val="00AE5C14"/>
    <w:rsid w:val="00AE5F90"/>
    <w:rsid w:val="00AE6D71"/>
    <w:rsid w:val="00AF058F"/>
    <w:rsid w:val="00AF14C1"/>
    <w:rsid w:val="00AF2907"/>
    <w:rsid w:val="00AF39F1"/>
    <w:rsid w:val="00AF46E8"/>
    <w:rsid w:val="00B0055D"/>
    <w:rsid w:val="00B02426"/>
    <w:rsid w:val="00B0342A"/>
    <w:rsid w:val="00B035B4"/>
    <w:rsid w:val="00B03C04"/>
    <w:rsid w:val="00B0464F"/>
    <w:rsid w:val="00B04EC6"/>
    <w:rsid w:val="00B0545D"/>
    <w:rsid w:val="00B05C2F"/>
    <w:rsid w:val="00B05DB9"/>
    <w:rsid w:val="00B05F4F"/>
    <w:rsid w:val="00B063AF"/>
    <w:rsid w:val="00B06636"/>
    <w:rsid w:val="00B07391"/>
    <w:rsid w:val="00B07C1F"/>
    <w:rsid w:val="00B10AE1"/>
    <w:rsid w:val="00B13A95"/>
    <w:rsid w:val="00B14598"/>
    <w:rsid w:val="00B15941"/>
    <w:rsid w:val="00B15F26"/>
    <w:rsid w:val="00B15F2F"/>
    <w:rsid w:val="00B17D13"/>
    <w:rsid w:val="00B17DCA"/>
    <w:rsid w:val="00B21A28"/>
    <w:rsid w:val="00B2295B"/>
    <w:rsid w:val="00B23A3B"/>
    <w:rsid w:val="00B25744"/>
    <w:rsid w:val="00B26122"/>
    <w:rsid w:val="00B264C7"/>
    <w:rsid w:val="00B30FD8"/>
    <w:rsid w:val="00B321D5"/>
    <w:rsid w:val="00B32C8A"/>
    <w:rsid w:val="00B32D40"/>
    <w:rsid w:val="00B333A3"/>
    <w:rsid w:val="00B33DA7"/>
    <w:rsid w:val="00B3667A"/>
    <w:rsid w:val="00B36C5F"/>
    <w:rsid w:val="00B37E9D"/>
    <w:rsid w:val="00B42089"/>
    <w:rsid w:val="00B42A22"/>
    <w:rsid w:val="00B42C08"/>
    <w:rsid w:val="00B42F4F"/>
    <w:rsid w:val="00B43280"/>
    <w:rsid w:val="00B43A7B"/>
    <w:rsid w:val="00B447F8"/>
    <w:rsid w:val="00B45E57"/>
    <w:rsid w:val="00B462E2"/>
    <w:rsid w:val="00B4677C"/>
    <w:rsid w:val="00B468B1"/>
    <w:rsid w:val="00B47BCC"/>
    <w:rsid w:val="00B50A30"/>
    <w:rsid w:val="00B51A50"/>
    <w:rsid w:val="00B52854"/>
    <w:rsid w:val="00B52C5B"/>
    <w:rsid w:val="00B53904"/>
    <w:rsid w:val="00B544BD"/>
    <w:rsid w:val="00B544FE"/>
    <w:rsid w:val="00B54ECA"/>
    <w:rsid w:val="00B56432"/>
    <w:rsid w:val="00B6517A"/>
    <w:rsid w:val="00B65A31"/>
    <w:rsid w:val="00B66E0B"/>
    <w:rsid w:val="00B709D2"/>
    <w:rsid w:val="00B72294"/>
    <w:rsid w:val="00B74507"/>
    <w:rsid w:val="00B760D3"/>
    <w:rsid w:val="00B77D76"/>
    <w:rsid w:val="00B80FD4"/>
    <w:rsid w:val="00B810A5"/>
    <w:rsid w:val="00B81678"/>
    <w:rsid w:val="00B823AB"/>
    <w:rsid w:val="00B82BD6"/>
    <w:rsid w:val="00B82CFD"/>
    <w:rsid w:val="00B8422F"/>
    <w:rsid w:val="00B85A86"/>
    <w:rsid w:val="00B87413"/>
    <w:rsid w:val="00B92D82"/>
    <w:rsid w:val="00B943CF"/>
    <w:rsid w:val="00B9512B"/>
    <w:rsid w:val="00B96987"/>
    <w:rsid w:val="00B96D0B"/>
    <w:rsid w:val="00B96F3A"/>
    <w:rsid w:val="00B97127"/>
    <w:rsid w:val="00B97EFE"/>
    <w:rsid w:val="00BA010F"/>
    <w:rsid w:val="00BA0810"/>
    <w:rsid w:val="00BA1650"/>
    <w:rsid w:val="00BA3CD0"/>
    <w:rsid w:val="00BA3CFF"/>
    <w:rsid w:val="00BA3F85"/>
    <w:rsid w:val="00BA4D4D"/>
    <w:rsid w:val="00BA506C"/>
    <w:rsid w:val="00BB098F"/>
    <w:rsid w:val="00BB15C2"/>
    <w:rsid w:val="00BB2F26"/>
    <w:rsid w:val="00BB3918"/>
    <w:rsid w:val="00BB4D8A"/>
    <w:rsid w:val="00BB712E"/>
    <w:rsid w:val="00BB72B0"/>
    <w:rsid w:val="00BB73CF"/>
    <w:rsid w:val="00BB785B"/>
    <w:rsid w:val="00BC0283"/>
    <w:rsid w:val="00BC0868"/>
    <w:rsid w:val="00BC1115"/>
    <w:rsid w:val="00BC1243"/>
    <w:rsid w:val="00BC1831"/>
    <w:rsid w:val="00BC1B90"/>
    <w:rsid w:val="00BC284B"/>
    <w:rsid w:val="00BC3FFA"/>
    <w:rsid w:val="00BC40A6"/>
    <w:rsid w:val="00BC53FC"/>
    <w:rsid w:val="00BC5D51"/>
    <w:rsid w:val="00BC5F8D"/>
    <w:rsid w:val="00BC6189"/>
    <w:rsid w:val="00BC7098"/>
    <w:rsid w:val="00BC76FB"/>
    <w:rsid w:val="00BD070C"/>
    <w:rsid w:val="00BD0EBC"/>
    <w:rsid w:val="00BD111E"/>
    <w:rsid w:val="00BD17D0"/>
    <w:rsid w:val="00BD1995"/>
    <w:rsid w:val="00BD5307"/>
    <w:rsid w:val="00BE1501"/>
    <w:rsid w:val="00BE2039"/>
    <w:rsid w:val="00BE2B51"/>
    <w:rsid w:val="00BE2B66"/>
    <w:rsid w:val="00BE37F8"/>
    <w:rsid w:val="00BE3F97"/>
    <w:rsid w:val="00BE5F4C"/>
    <w:rsid w:val="00BE65A3"/>
    <w:rsid w:val="00BE6C8A"/>
    <w:rsid w:val="00BE7F3E"/>
    <w:rsid w:val="00BF12F2"/>
    <w:rsid w:val="00BF237C"/>
    <w:rsid w:val="00BF2821"/>
    <w:rsid w:val="00BF391C"/>
    <w:rsid w:val="00BF3BE6"/>
    <w:rsid w:val="00BF509A"/>
    <w:rsid w:val="00BF5274"/>
    <w:rsid w:val="00BF6C9D"/>
    <w:rsid w:val="00BF6D9E"/>
    <w:rsid w:val="00BF74E1"/>
    <w:rsid w:val="00BF77FC"/>
    <w:rsid w:val="00BF7FB5"/>
    <w:rsid w:val="00C00968"/>
    <w:rsid w:val="00C013AF"/>
    <w:rsid w:val="00C0223E"/>
    <w:rsid w:val="00C05362"/>
    <w:rsid w:val="00C06017"/>
    <w:rsid w:val="00C078BE"/>
    <w:rsid w:val="00C10102"/>
    <w:rsid w:val="00C103EB"/>
    <w:rsid w:val="00C10505"/>
    <w:rsid w:val="00C1126F"/>
    <w:rsid w:val="00C116C0"/>
    <w:rsid w:val="00C12AAD"/>
    <w:rsid w:val="00C14519"/>
    <w:rsid w:val="00C159A6"/>
    <w:rsid w:val="00C164AB"/>
    <w:rsid w:val="00C2130F"/>
    <w:rsid w:val="00C21946"/>
    <w:rsid w:val="00C219C9"/>
    <w:rsid w:val="00C21A22"/>
    <w:rsid w:val="00C2374E"/>
    <w:rsid w:val="00C24AEC"/>
    <w:rsid w:val="00C25196"/>
    <w:rsid w:val="00C25695"/>
    <w:rsid w:val="00C26DDF"/>
    <w:rsid w:val="00C27AEE"/>
    <w:rsid w:val="00C27C2E"/>
    <w:rsid w:val="00C303CA"/>
    <w:rsid w:val="00C305D0"/>
    <w:rsid w:val="00C3112E"/>
    <w:rsid w:val="00C33190"/>
    <w:rsid w:val="00C33DF9"/>
    <w:rsid w:val="00C33F9F"/>
    <w:rsid w:val="00C340E2"/>
    <w:rsid w:val="00C34769"/>
    <w:rsid w:val="00C35CF5"/>
    <w:rsid w:val="00C360E1"/>
    <w:rsid w:val="00C36834"/>
    <w:rsid w:val="00C413DA"/>
    <w:rsid w:val="00C42C6A"/>
    <w:rsid w:val="00C4387E"/>
    <w:rsid w:val="00C43A34"/>
    <w:rsid w:val="00C43E9B"/>
    <w:rsid w:val="00C447BE"/>
    <w:rsid w:val="00C45686"/>
    <w:rsid w:val="00C45E43"/>
    <w:rsid w:val="00C504AF"/>
    <w:rsid w:val="00C50C19"/>
    <w:rsid w:val="00C50E48"/>
    <w:rsid w:val="00C51373"/>
    <w:rsid w:val="00C54571"/>
    <w:rsid w:val="00C55CF8"/>
    <w:rsid w:val="00C5787D"/>
    <w:rsid w:val="00C57B8B"/>
    <w:rsid w:val="00C60D69"/>
    <w:rsid w:val="00C61D20"/>
    <w:rsid w:val="00C63322"/>
    <w:rsid w:val="00C64037"/>
    <w:rsid w:val="00C64545"/>
    <w:rsid w:val="00C6650A"/>
    <w:rsid w:val="00C67562"/>
    <w:rsid w:val="00C70133"/>
    <w:rsid w:val="00C71CB9"/>
    <w:rsid w:val="00C71F9E"/>
    <w:rsid w:val="00C7282C"/>
    <w:rsid w:val="00C73BE0"/>
    <w:rsid w:val="00C75F9A"/>
    <w:rsid w:val="00C76D92"/>
    <w:rsid w:val="00C77877"/>
    <w:rsid w:val="00C832C8"/>
    <w:rsid w:val="00C85CE3"/>
    <w:rsid w:val="00C8613E"/>
    <w:rsid w:val="00C866A5"/>
    <w:rsid w:val="00C86E74"/>
    <w:rsid w:val="00C870B6"/>
    <w:rsid w:val="00C87422"/>
    <w:rsid w:val="00C87B12"/>
    <w:rsid w:val="00C90863"/>
    <w:rsid w:val="00C91F0C"/>
    <w:rsid w:val="00C94D63"/>
    <w:rsid w:val="00C9508A"/>
    <w:rsid w:val="00C9586A"/>
    <w:rsid w:val="00C978DA"/>
    <w:rsid w:val="00C97E1A"/>
    <w:rsid w:val="00CA10CB"/>
    <w:rsid w:val="00CA13D3"/>
    <w:rsid w:val="00CA1409"/>
    <w:rsid w:val="00CA3959"/>
    <w:rsid w:val="00CA39F8"/>
    <w:rsid w:val="00CA3CB9"/>
    <w:rsid w:val="00CA3EBE"/>
    <w:rsid w:val="00CA51F0"/>
    <w:rsid w:val="00CA5886"/>
    <w:rsid w:val="00CA722B"/>
    <w:rsid w:val="00CA752F"/>
    <w:rsid w:val="00CA7BC7"/>
    <w:rsid w:val="00CA7BD5"/>
    <w:rsid w:val="00CA7FA1"/>
    <w:rsid w:val="00CB1089"/>
    <w:rsid w:val="00CB1E21"/>
    <w:rsid w:val="00CB52FE"/>
    <w:rsid w:val="00CB5586"/>
    <w:rsid w:val="00CB719F"/>
    <w:rsid w:val="00CB7AF7"/>
    <w:rsid w:val="00CC0478"/>
    <w:rsid w:val="00CC04CD"/>
    <w:rsid w:val="00CC04D4"/>
    <w:rsid w:val="00CC0733"/>
    <w:rsid w:val="00CC3969"/>
    <w:rsid w:val="00CC49C8"/>
    <w:rsid w:val="00CC6290"/>
    <w:rsid w:val="00CC63FA"/>
    <w:rsid w:val="00CC6793"/>
    <w:rsid w:val="00CD1ACE"/>
    <w:rsid w:val="00CD265A"/>
    <w:rsid w:val="00CD2BA5"/>
    <w:rsid w:val="00CD2E12"/>
    <w:rsid w:val="00CD3550"/>
    <w:rsid w:val="00CD5844"/>
    <w:rsid w:val="00CD633F"/>
    <w:rsid w:val="00CD6488"/>
    <w:rsid w:val="00CD6DE2"/>
    <w:rsid w:val="00CD72DB"/>
    <w:rsid w:val="00CE085D"/>
    <w:rsid w:val="00CE2C30"/>
    <w:rsid w:val="00CE3654"/>
    <w:rsid w:val="00CE5360"/>
    <w:rsid w:val="00CE7F56"/>
    <w:rsid w:val="00CF06B2"/>
    <w:rsid w:val="00CF0DA7"/>
    <w:rsid w:val="00CF155B"/>
    <w:rsid w:val="00CF2857"/>
    <w:rsid w:val="00CF311A"/>
    <w:rsid w:val="00CF376E"/>
    <w:rsid w:val="00CF50FB"/>
    <w:rsid w:val="00CF5DE5"/>
    <w:rsid w:val="00CF7F92"/>
    <w:rsid w:val="00D007BE"/>
    <w:rsid w:val="00D01D19"/>
    <w:rsid w:val="00D02134"/>
    <w:rsid w:val="00D02B1F"/>
    <w:rsid w:val="00D03D5C"/>
    <w:rsid w:val="00D05339"/>
    <w:rsid w:val="00D05353"/>
    <w:rsid w:val="00D0686E"/>
    <w:rsid w:val="00D07F8F"/>
    <w:rsid w:val="00D10479"/>
    <w:rsid w:val="00D11085"/>
    <w:rsid w:val="00D12457"/>
    <w:rsid w:val="00D135B5"/>
    <w:rsid w:val="00D13ADB"/>
    <w:rsid w:val="00D13C85"/>
    <w:rsid w:val="00D14B4B"/>
    <w:rsid w:val="00D158A8"/>
    <w:rsid w:val="00D1686E"/>
    <w:rsid w:val="00D200CE"/>
    <w:rsid w:val="00D20FD1"/>
    <w:rsid w:val="00D21827"/>
    <w:rsid w:val="00D21D5A"/>
    <w:rsid w:val="00D23F4A"/>
    <w:rsid w:val="00D261A9"/>
    <w:rsid w:val="00D26692"/>
    <w:rsid w:val="00D277C3"/>
    <w:rsid w:val="00D30199"/>
    <w:rsid w:val="00D3024A"/>
    <w:rsid w:val="00D308F5"/>
    <w:rsid w:val="00D31398"/>
    <w:rsid w:val="00D3178A"/>
    <w:rsid w:val="00D32080"/>
    <w:rsid w:val="00D329E7"/>
    <w:rsid w:val="00D344BF"/>
    <w:rsid w:val="00D35240"/>
    <w:rsid w:val="00D3531D"/>
    <w:rsid w:val="00D3650F"/>
    <w:rsid w:val="00D40650"/>
    <w:rsid w:val="00D43EB8"/>
    <w:rsid w:val="00D43FA0"/>
    <w:rsid w:val="00D449BD"/>
    <w:rsid w:val="00D449C2"/>
    <w:rsid w:val="00D44ABC"/>
    <w:rsid w:val="00D44B25"/>
    <w:rsid w:val="00D47490"/>
    <w:rsid w:val="00D51B96"/>
    <w:rsid w:val="00D520BC"/>
    <w:rsid w:val="00D5287A"/>
    <w:rsid w:val="00D52E90"/>
    <w:rsid w:val="00D5415A"/>
    <w:rsid w:val="00D54521"/>
    <w:rsid w:val="00D54F96"/>
    <w:rsid w:val="00D5621E"/>
    <w:rsid w:val="00D5661B"/>
    <w:rsid w:val="00D5726A"/>
    <w:rsid w:val="00D5779C"/>
    <w:rsid w:val="00D60531"/>
    <w:rsid w:val="00D60AAF"/>
    <w:rsid w:val="00D63A17"/>
    <w:rsid w:val="00D64968"/>
    <w:rsid w:val="00D655C9"/>
    <w:rsid w:val="00D66324"/>
    <w:rsid w:val="00D701DD"/>
    <w:rsid w:val="00D71667"/>
    <w:rsid w:val="00D743D0"/>
    <w:rsid w:val="00D74E4F"/>
    <w:rsid w:val="00D75405"/>
    <w:rsid w:val="00D77DC7"/>
    <w:rsid w:val="00D80073"/>
    <w:rsid w:val="00D80270"/>
    <w:rsid w:val="00D817B4"/>
    <w:rsid w:val="00D81D2A"/>
    <w:rsid w:val="00D83DDC"/>
    <w:rsid w:val="00D84C10"/>
    <w:rsid w:val="00D85287"/>
    <w:rsid w:val="00D870CF"/>
    <w:rsid w:val="00D87442"/>
    <w:rsid w:val="00D91A12"/>
    <w:rsid w:val="00D93889"/>
    <w:rsid w:val="00D93D4A"/>
    <w:rsid w:val="00D94864"/>
    <w:rsid w:val="00D95E9E"/>
    <w:rsid w:val="00D95F3D"/>
    <w:rsid w:val="00D977B7"/>
    <w:rsid w:val="00D97B68"/>
    <w:rsid w:val="00D97C8B"/>
    <w:rsid w:val="00DA0666"/>
    <w:rsid w:val="00DA0C01"/>
    <w:rsid w:val="00DA143E"/>
    <w:rsid w:val="00DA3E6A"/>
    <w:rsid w:val="00DA41AA"/>
    <w:rsid w:val="00DA46F2"/>
    <w:rsid w:val="00DA5930"/>
    <w:rsid w:val="00DA65C1"/>
    <w:rsid w:val="00DA6FDF"/>
    <w:rsid w:val="00DA7326"/>
    <w:rsid w:val="00DA74E1"/>
    <w:rsid w:val="00DB007F"/>
    <w:rsid w:val="00DB0850"/>
    <w:rsid w:val="00DB0A47"/>
    <w:rsid w:val="00DB1CBE"/>
    <w:rsid w:val="00DB4CD6"/>
    <w:rsid w:val="00DB4DB8"/>
    <w:rsid w:val="00DB6379"/>
    <w:rsid w:val="00DB63C4"/>
    <w:rsid w:val="00DC0449"/>
    <w:rsid w:val="00DC11D6"/>
    <w:rsid w:val="00DC3186"/>
    <w:rsid w:val="00DC6569"/>
    <w:rsid w:val="00DC6AFA"/>
    <w:rsid w:val="00DC74F0"/>
    <w:rsid w:val="00DC7A32"/>
    <w:rsid w:val="00DC7F33"/>
    <w:rsid w:val="00DD033A"/>
    <w:rsid w:val="00DD0A48"/>
    <w:rsid w:val="00DD0D4A"/>
    <w:rsid w:val="00DD223B"/>
    <w:rsid w:val="00DD25DB"/>
    <w:rsid w:val="00DD2B56"/>
    <w:rsid w:val="00DD399A"/>
    <w:rsid w:val="00DD5308"/>
    <w:rsid w:val="00DD56B9"/>
    <w:rsid w:val="00DD6500"/>
    <w:rsid w:val="00DD6AD2"/>
    <w:rsid w:val="00DE0BDD"/>
    <w:rsid w:val="00DE2535"/>
    <w:rsid w:val="00DE317A"/>
    <w:rsid w:val="00DE3B1B"/>
    <w:rsid w:val="00DE62F2"/>
    <w:rsid w:val="00DE64AE"/>
    <w:rsid w:val="00DE6A91"/>
    <w:rsid w:val="00DE7484"/>
    <w:rsid w:val="00DF21D9"/>
    <w:rsid w:val="00DF285A"/>
    <w:rsid w:val="00DF2BED"/>
    <w:rsid w:val="00DF56C2"/>
    <w:rsid w:val="00DF57FC"/>
    <w:rsid w:val="00DF5AA0"/>
    <w:rsid w:val="00DF71FB"/>
    <w:rsid w:val="00E000D6"/>
    <w:rsid w:val="00E020F8"/>
    <w:rsid w:val="00E02250"/>
    <w:rsid w:val="00E02A30"/>
    <w:rsid w:val="00E04305"/>
    <w:rsid w:val="00E0671B"/>
    <w:rsid w:val="00E0712A"/>
    <w:rsid w:val="00E078AC"/>
    <w:rsid w:val="00E07BF3"/>
    <w:rsid w:val="00E07FF7"/>
    <w:rsid w:val="00E11BDA"/>
    <w:rsid w:val="00E12194"/>
    <w:rsid w:val="00E12AA1"/>
    <w:rsid w:val="00E12D24"/>
    <w:rsid w:val="00E12EC4"/>
    <w:rsid w:val="00E13039"/>
    <w:rsid w:val="00E14772"/>
    <w:rsid w:val="00E14DB8"/>
    <w:rsid w:val="00E152DA"/>
    <w:rsid w:val="00E1588E"/>
    <w:rsid w:val="00E16750"/>
    <w:rsid w:val="00E16BE3"/>
    <w:rsid w:val="00E174FA"/>
    <w:rsid w:val="00E175D7"/>
    <w:rsid w:val="00E2183C"/>
    <w:rsid w:val="00E22C16"/>
    <w:rsid w:val="00E23703"/>
    <w:rsid w:val="00E23CA9"/>
    <w:rsid w:val="00E247A1"/>
    <w:rsid w:val="00E24CF7"/>
    <w:rsid w:val="00E24ED0"/>
    <w:rsid w:val="00E256F5"/>
    <w:rsid w:val="00E25910"/>
    <w:rsid w:val="00E26434"/>
    <w:rsid w:val="00E26AA0"/>
    <w:rsid w:val="00E26FE2"/>
    <w:rsid w:val="00E26FF1"/>
    <w:rsid w:val="00E30463"/>
    <w:rsid w:val="00E30500"/>
    <w:rsid w:val="00E31431"/>
    <w:rsid w:val="00E31CF7"/>
    <w:rsid w:val="00E322A2"/>
    <w:rsid w:val="00E325A0"/>
    <w:rsid w:val="00E32B5B"/>
    <w:rsid w:val="00E32BAB"/>
    <w:rsid w:val="00E33395"/>
    <w:rsid w:val="00E33735"/>
    <w:rsid w:val="00E33DC7"/>
    <w:rsid w:val="00E34055"/>
    <w:rsid w:val="00E34C09"/>
    <w:rsid w:val="00E35C22"/>
    <w:rsid w:val="00E35EA9"/>
    <w:rsid w:val="00E36488"/>
    <w:rsid w:val="00E3662E"/>
    <w:rsid w:val="00E3689C"/>
    <w:rsid w:val="00E36F06"/>
    <w:rsid w:val="00E371B4"/>
    <w:rsid w:val="00E37590"/>
    <w:rsid w:val="00E375B0"/>
    <w:rsid w:val="00E37CCF"/>
    <w:rsid w:val="00E42157"/>
    <w:rsid w:val="00E42658"/>
    <w:rsid w:val="00E43882"/>
    <w:rsid w:val="00E44752"/>
    <w:rsid w:val="00E45477"/>
    <w:rsid w:val="00E45894"/>
    <w:rsid w:val="00E4594F"/>
    <w:rsid w:val="00E459EF"/>
    <w:rsid w:val="00E46E74"/>
    <w:rsid w:val="00E5046F"/>
    <w:rsid w:val="00E50C3F"/>
    <w:rsid w:val="00E52EFC"/>
    <w:rsid w:val="00E535C2"/>
    <w:rsid w:val="00E53F88"/>
    <w:rsid w:val="00E54E60"/>
    <w:rsid w:val="00E5554B"/>
    <w:rsid w:val="00E563BC"/>
    <w:rsid w:val="00E56BAA"/>
    <w:rsid w:val="00E57673"/>
    <w:rsid w:val="00E57767"/>
    <w:rsid w:val="00E609C0"/>
    <w:rsid w:val="00E64F5C"/>
    <w:rsid w:val="00E65BE8"/>
    <w:rsid w:val="00E665A4"/>
    <w:rsid w:val="00E66CC7"/>
    <w:rsid w:val="00E67C16"/>
    <w:rsid w:val="00E700B2"/>
    <w:rsid w:val="00E70DDF"/>
    <w:rsid w:val="00E71234"/>
    <w:rsid w:val="00E71267"/>
    <w:rsid w:val="00E71CE7"/>
    <w:rsid w:val="00E723A5"/>
    <w:rsid w:val="00E730E4"/>
    <w:rsid w:val="00E748DD"/>
    <w:rsid w:val="00E77841"/>
    <w:rsid w:val="00E80181"/>
    <w:rsid w:val="00E8305A"/>
    <w:rsid w:val="00E841C9"/>
    <w:rsid w:val="00E85159"/>
    <w:rsid w:val="00E866A8"/>
    <w:rsid w:val="00E86948"/>
    <w:rsid w:val="00E86B8B"/>
    <w:rsid w:val="00E87A28"/>
    <w:rsid w:val="00E87AF0"/>
    <w:rsid w:val="00E90554"/>
    <w:rsid w:val="00E949B1"/>
    <w:rsid w:val="00E94A39"/>
    <w:rsid w:val="00E950B2"/>
    <w:rsid w:val="00E96B56"/>
    <w:rsid w:val="00EA26D3"/>
    <w:rsid w:val="00EA335A"/>
    <w:rsid w:val="00EA413B"/>
    <w:rsid w:val="00EA4424"/>
    <w:rsid w:val="00EA4BFB"/>
    <w:rsid w:val="00EA4FA6"/>
    <w:rsid w:val="00EA54B1"/>
    <w:rsid w:val="00EA5ED8"/>
    <w:rsid w:val="00EA6D00"/>
    <w:rsid w:val="00EA7C59"/>
    <w:rsid w:val="00EB0EF2"/>
    <w:rsid w:val="00EB27AD"/>
    <w:rsid w:val="00EB2B82"/>
    <w:rsid w:val="00EB4450"/>
    <w:rsid w:val="00EB4760"/>
    <w:rsid w:val="00EB4AD0"/>
    <w:rsid w:val="00EB4FC4"/>
    <w:rsid w:val="00EB50C4"/>
    <w:rsid w:val="00EB5375"/>
    <w:rsid w:val="00EB54C7"/>
    <w:rsid w:val="00EB5C2C"/>
    <w:rsid w:val="00EB6E6C"/>
    <w:rsid w:val="00EC09CE"/>
    <w:rsid w:val="00EC0A1D"/>
    <w:rsid w:val="00EC226C"/>
    <w:rsid w:val="00EC2C46"/>
    <w:rsid w:val="00EC3D39"/>
    <w:rsid w:val="00EC48FC"/>
    <w:rsid w:val="00EC4BC7"/>
    <w:rsid w:val="00EC64B3"/>
    <w:rsid w:val="00EC6ABB"/>
    <w:rsid w:val="00EC6E2F"/>
    <w:rsid w:val="00EC7FBF"/>
    <w:rsid w:val="00ED097F"/>
    <w:rsid w:val="00ED190B"/>
    <w:rsid w:val="00ED1C10"/>
    <w:rsid w:val="00ED3A0B"/>
    <w:rsid w:val="00ED663A"/>
    <w:rsid w:val="00ED690C"/>
    <w:rsid w:val="00ED6C43"/>
    <w:rsid w:val="00ED6C71"/>
    <w:rsid w:val="00ED6E60"/>
    <w:rsid w:val="00ED7591"/>
    <w:rsid w:val="00ED7F92"/>
    <w:rsid w:val="00EE027B"/>
    <w:rsid w:val="00EE16F9"/>
    <w:rsid w:val="00EE1C01"/>
    <w:rsid w:val="00EE2C03"/>
    <w:rsid w:val="00EE3522"/>
    <w:rsid w:val="00EE37F3"/>
    <w:rsid w:val="00EE502E"/>
    <w:rsid w:val="00EE54B3"/>
    <w:rsid w:val="00EE5A37"/>
    <w:rsid w:val="00EE6924"/>
    <w:rsid w:val="00EE7778"/>
    <w:rsid w:val="00EF2180"/>
    <w:rsid w:val="00EF378E"/>
    <w:rsid w:val="00EF401D"/>
    <w:rsid w:val="00EF4F96"/>
    <w:rsid w:val="00EF5354"/>
    <w:rsid w:val="00EF6853"/>
    <w:rsid w:val="00EF6861"/>
    <w:rsid w:val="00EF7AEA"/>
    <w:rsid w:val="00EF7CC7"/>
    <w:rsid w:val="00F00A05"/>
    <w:rsid w:val="00F01E37"/>
    <w:rsid w:val="00F03E08"/>
    <w:rsid w:val="00F03F01"/>
    <w:rsid w:val="00F05989"/>
    <w:rsid w:val="00F05D3C"/>
    <w:rsid w:val="00F07340"/>
    <w:rsid w:val="00F07BE3"/>
    <w:rsid w:val="00F1307E"/>
    <w:rsid w:val="00F131B1"/>
    <w:rsid w:val="00F14C29"/>
    <w:rsid w:val="00F14C4B"/>
    <w:rsid w:val="00F16ACB"/>
    <w:rsid w:val="00F16B4F"/>
    <w:rsid w:val="00F20E26"/>
    <w:rsid w:val="00F21897"/>
    <w:rsid w:val="00F22244"/>
    <w:rsid w:val="00F2263E"/>
    <w:rsid w:val="00F22CAB"/>
    <w:rsid w:val="00F22E10"/>
    <w:rsid w:val="00F22EEC"/>
    <w:rsid w:val="00F246ED"/>
    <w:rsid w:val="00F24921"/>
    <w:rsid w:val="00F24D3C"/>
    <w:rsid w:val="00F257D8"/>
    <w:rsid w:val="00F25B8E"/>
    <w:rsid w:val="00F26542"/>
    <w:rsid w:val="00F3013E"/>
    <w:rsid w:val="00F304D2"/>
    <w:rsid w:val="00F3098D"/>
    <w:rsid w:val="00F318B0"/>
    <w:rsid w:val="00F322C2"/>
    <w:rsid w:val="00F32D8B"/>
    <w:rsid w:val="00F356B1"/>
    <w:rsid w:val="00F3651E"/>
    <w:rsid w:val="00F36EC4"/>
    <w:rsid w:val="00F372E3"/>
    <w:rsid w:val="00F3778C"/>
    <w:rsid w:val="00F37E4C"/>
    <w:rsid w:val="00F40F0C"/>
    <w:rsid w:val="00F426F7"/>
    <w:rsid w:val="00F4277E"/>
    <w:rsid w:val="00F43216"/>
    <w:rsid w:val="00F44BCB"/>
    <w:rsid w:val="00F467AC"/>
    <w:rsid w:val="00F504C3"/>
    <w:rsid w:val="00F50C89"/>
    <w:rsid w:val="00F510C5"/>
    <w:rsid w:val="00F51B3B"/>
    <w:rsid w:val="00F52C09"/>
    <w:rsid w:val="00F54396"/>
    <w:rsid w:val="00F54CF3"/>
    <w:rsid w:val="00F55B38"/>
    <w:rsid w:val="00F55E8E"/>
    <w:rsid w:val="00F55EEE"/>
    <w:rsid w:val="00F57802"/>
    <w:rsid w:val="00F610CE"/>
    <w:rsid w:val="00F613F7"/>
    <w:rsid w:val="00F63DEC"/>
    <w:rsid w:val="00F660A1"/>
    <w:rsid w:val="00F6721D"/>
    <w:rsid w:val="00F706F4"/>
    <w:rsid w:val="00F720A6"/>
    <w:rsid w:val="00F73869"/>
    <w:rsid w:val="00F7594C"/>
    <w:rsid w:val="00F77749"/>
    <w:rsid w:val="00F805AE"/>
    <w:rsid w:val="00F8094D"/>
    <w:rsid w:val="00F81BD4"/>
    <w:rsid w:val="00F844CF"/>
    <w:rsid w:val="00F850B1"/>
    <w:rsid w:val="00F87208"/>
    <w:rsid w:val="00F90BBD"/>
    <w:rsid w:val="00F90E9E"/>
    <w:rsid w:val="00F92EDD"/>
    <w:rsid w:val="00F93B0A"/>
    <w:rsid w:val="00F94895"/>
    <w:rsid w:val="00F948BF"/>
    <w:rsid w:val="00F94A99"/>
    <w:rsid w:val="00F95AAE"/>
    <w:rsid w:val="00F95AD2"/>
    <w:rsid w:val="00F96285"/>
    <w:rsid w:val="00F97733"/>
    <w:rsid w:val="00FA0CD5"/>
    <w:rsid w:val="00FA1F6A"/>
    <w:rsid w:val="00FA47AA"/>
    <w:rsid w:val="00FA5665"/>
    <w:rsid w:val="00FA59EF"/>
    <w:rsid w:val="00FA6BE0"/>
    <w:rsid w:val="00FA7706"/>
    <w:rsid w:val="00FB03D3"/>
    <w:rsid w:val="00FB0CA6"/>
    <w:rsid w:val="00FB2AB7"/>
    <w:rsid w:val="00FB3D24"/>
    <w:rsid w:val="00FB6DF9"/>
    <w:rsid w:val="00FC0A31"/>
    <w:rsid w:val="00FC196B"/>
    <w:rsid w:val="00FC1C89"/>
    <w:rsid w:val="00FC24D0"/>
    <w:rsid w:val="00FC3621"/>
    <w:rsid w:val="00FC516A"/>
    <w:rsid w:val="00FC5394"/>
    <w:rsid w:val="00FC6265"/>
    <w:rsid w:val="00FC6F81"/>
    <w:rsid w:val="00FC72C3"/>
    <w:rsid w:val="00FC7622"/>
    <w:rsid w:val="00FD0367"/>
    <w:rsid w:val="00FD302D"/>
    <w:rsid w:val="00FD5037"/>
    <w:rsid w:val="00FD5123"/>
    <w:rsid w:val="00FD64BB"/>
    <w:rsid w:val="00FD6C68"/>
    <w:rsid w:val="00FD6F11"/>
    <w:rsid w:val="00FE1190"/>
    <w:rsid w:val="00FE132C"/>
    <w:rsid w:val="00FE35E5"/>
    <w:rsid w:val="00FE3AA5"/>
    <w:rsid w:val="00FE3AF8"/>
    <w:rsid w:val="00FE40CA"/>
    <w:rsid w:val="00FE4ADA"/>
    <w:rsid w:val="00FE5F66"/>
    <w:rsid w:val="00FE601F"/>
    <w:rsid w:val="00FE62D6"/>
    <w:rsid w:val="00FE68FA"/>
    <w:rsid w:val="00FE78A2"/>
    <w:rsid w:val="00FF0258"/>
    <w:rsid w:val="00FF0DBB"/>
    <w:rsid w:val="00FF0F82"/>
    <w:rsid w:val="00FF2A0C"/>
    <w:rsid w:val="00FF4BD3"/>
    <w:rsid w:val="00FF6243"/>
    <w:rsid w:val="00FF6E9E"/>
    <w:rsid w:val="00FF6F77"/>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2EE0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58"/>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character" w:customStyle="1" w:styleId="BalloonTextChar1">
    <w:name w:val="Balloon Text Char1"/>
    <w:basedOn w:val="DefaultParagraphFon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customStyle="1" w:styleId="ExhibitSourcePortrait">
    <w:name w:val="ExhibitSource_Portrait"/>
    <w:basedOn w:val="Normal"/>
    <w:qFormat/>
    <w:rsid w:val="00912978"/>
    <w:pPr>
      <w:spacing w:before="12600" w:after="120"/>
    </w:pPr>
    <w:rPr>
      <w:i/>
      <w:sz w:val="16"/>
    </w:rPr>
  </w:style>
  <w:style w:type="paragraph" w:customStyle="1" w:styleId="ExhibitSource11x17">
    <w:name w:val="ExhibitSource_11x17"/>
    <w:basedOn w:val="ExhibitSourcePortrait"/>
    <w:qFormat/>
    <w:rsid w:val="00912978"/>
  </w:style>
  <w:style w:type="paragraph" w:customStyle="1" w:styleId="ExhibitSourceLandscape">
    <w:name w:val="ExhibitSource_Landscape"/>
    <w:basedOn w:val="ExhibitSourcePortrait"/>
    <w:qFormat/>
    <w:rsid w:val="00912978"/>
    <w:pPr>
      <w:spacing w:before="9120"/>
      <w:ind w:left="187" w:right="2160"/>
    </w:pPr>
  </w:style>
  <w:style w:type="paragraph" w:customStyle="1" w:styleId="ExhibitTitlePortrait">
    <w:name w:val="ExhibitTitle_Portrait"/>
    <w:basedOn w:val="Normal"/>
    <w:qFormat/>
    <w:rsid w:val="00912978"/>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912978"/>
    <w:pPr>
      <w:tabs>
        <w:tab w:val="clear" w:pos="8640"/>
        <w:tab w:val="right" w:pos="12240"/>
      </w:tabs>
    </w:pPr>
  </w:style>
  <w:style w:type="paragraph" w:customStyle="1" w:styleId="ExhibitTitle11x17">
    <w:name w:val="ExhibitTitle11x17"/>
    <w:basedOn w:val="Normal"/>
    <w:qFormat/>
    <w:rsid w:val="00912978"/>
    <w:pPr>
      <w:tabs>
        <w:tab w:val="right" w:pos="20520"/>
      </w:tabs>
      <w:ind w:right="1440"/>
    </w:pPr>
    <w:rPr>
      <w:rFonts w:ascii="Franklin Gothic Demi" w:hAnsi="Franklin Gothic Demi"/>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table" w:styleId="LightShading">
    <w:name w:val="Light Shading"/>
    <w:basedOn w:val="TableNormal"/>
    <w:uiPriority w:val="60"/>
    <w:rsid w:val="00E4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OCHEAD">
    <w:name w:val="TOCHEAD"/>
    <w:basedOn w:val="Heading1"/>
    <w:qFormat/>
    <w:rsid w:val="00E42658"/>
    <w:pPr>
      <w:numPr>
        <w:numId w:val="0"/>
      </w:numPr>
    </w:pPr>
  </w:style>
  <w:style w:type="table" w:styleId="TableGrid">
    <w:name w:val="Table Grid"/>
    <w:basedOn w:val="TableNormal"/>
    <w:uiPriority w:val="59"/>
    <w:rsid w:val="00E4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912978"/>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table" w:styleId="TableGrid1">
    <w:name w:val="Table Grid 1"/>
    <w:basedOn w:val="TableNormal"/>
    <w:uiPriority w:val="99"/>
    <w:semiHidden/>
    <w:unhideWhenUsed/>
    <w:rsid w:val="00E4265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nospace">
    <w:name w:val="Bullet 1_no space"/>
    <w:basedOn w:val="Bullet1"/>
    <w:qFormat/>
    <w:rsid w:val="00912978"/>
    <w:pPr>
      <w:spacing w:after="0"/>
    </w:pPr>
  </w:style>
  <w:style w:type="paragraph" w:customStyle="1" w:styleId="Bullet2nospace">
    <w:name w:val="Bullet 2_no space"/>
    <w:basedOn w:val="Bullet2"/>
    <w:qFormat/>
    <w:rsid w:val="00912978"/>
    <w:pPr>
      <w:spacing w:after="0"/>
    </w:pPr>
  </w:style>
  <w:style w:type="paragraph" w:customStyle="1" w:styleId="Bullet3nospace">
    <w:name w:val="Bullet 3_no space"/>
    <w:basedOn w:val="Bullet3"/>
    <w:qFormat/>
    <w:rsid w:val="00912978"/>
    <w:pPr>
      <w:spacing w:after="0"/>
    </w:pPr>
  </w:style>
  <w:style w:type="paragraph" w:customStyle="1" w:styleId="TableBullet2">
    <w:name w:val="Table Bullet 2"/>
    <w:basedOn w:val="TableBullet1"/>
    <w:qFormat/>
    <w:rsid w:val="00E42658"/>
    <w:pPr>
      <w:numPr>
        <w:numId w:val="7"/>
      </w:numPr>
      <w:ind w:left="374" w:hanging="187"/>
    </w:pPr>
  </w:style>
  <w:style w:type="paragraph" w:customStyle="1" w:styleId="MMBullet1nospace">
    <w:name w:val="MM Bullet 1_no space"/>
    <w:basedOn w:val="MMBullet1"/>
    <w:qFormat/>
    <w:rsid w:val="00912978"/>
    <w:pPr>
      <w:spacing w:after="0"/>
    </w:pPr>
  </w:style>
  <w:style w:type="paragraph" w:customStyle="1" w:styleId="MMBullet2nospace">
    <w:name w:val="MM Bullet 2_no space"/>
    <w:basedOn w:val="MMBullet2"/>
    <w:qFormat/>
    <w:rsid w:val="00912978"/>
    <w:pPr>
      <w:spacing w:after="0"/>
    </w:pPr>
  </w:style>
  <w:style w:type="paragraph" w:customStyle="1" w:styleId="MMBullet3">
    <w:name w:val="MM Bullet 3"/>
    <w:basedOn w:val="BodyText"/>
    <w:qFormat/>
    <w:rsid w:val="00E42658"/>
    <w:pPr>
      <w:numPr>
        <w:numId w:val="8"/>
      </w:numPr>
    </w:pPr>
  </w:style>
  <w:style w:type="paragraph" w:customStyle="1" w:styleId="MMBullet3nospace">
    <w:name w:val="MM Bullet 3_no space"/>
    <w:basedOn w:val="MMBullet3"/>
    <w:qFormat/>
    <w:rsid w:val="00912978"/>
    <w:pPr>
      <w:spacing w:after="0"/>
    </w:pPr>
  </w:style>
  <w:style w:type="paragraph" w:customStyle="1" w:styleId="AppendixLetter">
    <w:name w:val="AppendixLetter"/>
    <w:basedOn w:val="Normal"/>
    <w:qFormat/>
    <w:rsid w:val="00E426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E426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E42658"/>
    <w:pPr>
      <w:spacing w:after="200" w:line="276" w:lineRule="auto"/>
      <w:jc w:val="center"/>
    </w:pPr>
    <w:rPr>
      <w:sz w:val="24"/>
      <w:szCs w:val="28"/>
    </w:rPr>
  </w:style>
  <w:style w:type="paragraph" w:customStyle="1" w:styleId="TitleDate">
    <w:name w:val="Title_Date"/>
    <w:basedOn w:val="Normal"/>
    <w:qFormat/>
    <w:rsid w:val="00E42658"/>
    <w:pPr>
      <w:spacing w:before="2640" w:after="200" w:line="276" w:lineRule="auto"/>
      <w:jc w:val="center"/>
    </w:pPr>
    <w:rPr>
      <w:rFonts w:ascii="Trebuchet MS" w:hAnsi="Trebuchet MS"/>
      <w:sz w:val="32"/>
      <w:szCs w:val="28"/>
    </w:rPr>
  </w:style>
  <w:style w:type="paragraph" w:customStyle="1" w:styleId="TitlePN">
    <w:name w:val="Title_PN"/>
    <w:basedOn w:val="Normal"/>
    <w:qFormat/>
    <w:rsid w:val="00E42658"/>
    <w:rPr>
      <w:rFonts w:ascii="Trebuchet MS" w:hAnsi="Trebuchet MS"/>
      <w:sz w:val="16"/>
      <w:szCs w:val="16"/>
    </w:rPr>
  </w:style>
  <w:style w:type="paragraph" w:customStyle="1" w:styleId="TitlePreparedFor">
    <w:name w:val="Title_PreparedFor"/>
    <w:basedOn w:val="Normal"/>
    <w:qFormat/>
    <w:rsid w:val="00E42658"/>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E42658"/>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E42658"/>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912978"/>
    <w:pPr>
      <w:spacing w:before="120" w:after="120" w:line="276" w:lineRule="auto"/>
      <w:jc w:val="center"/>
    </w:pPr>
    <w:rPr>
      <w:rFonts w:ascii="Franklin Gothic Medium" w:hAnsi="Franklin Gothic Medium"/>
      <w:sz w:val="28"/>
      <w:szCs w:val="24"/>
    </w:r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customStyle="1" w:styleId="BodyText12ptBefore">
    <w:name w:val="Body Text_12pt_Before"/>
    <w:basedOn w:val="BodyText"/>
    <w:link w:val="BodyText12ptBeforeChar"/>
    <w:qFormat/>
    <w:rsid w:val="009A1A9D"/>
    <w:pPr>
      <w:spacing w:before="240"/>
    </w:pPr>
    <w:rPr>
      <w:rFonts w:ascii="Calibri" w:eastAsia="Times New Roman" w:hAnsi="Calibri" w:cs="Times New Roman"/>
      <w:szCs w:val="24"/>
    </w:rPr>
  </w:style>
  <w:style w:type="paragraph" w:customStyle="1" w:styleId="Bullet112ptAfter">
    <w:name w:val="Bullet 1_12pt_After"/>
    <w:basedOn w:val="Normal"/>
    <w:qFormat/>
    <w:rsid w:val="00A825AB"/>
    <w:pPr>
      <w:spacing w:after="240"/>
      <w:ind w:left="360" w:hanging="360"/>
    </w:pPr>
    <w:rPr>
      <w:rFonts w:ascii="Calibri" w:eastAsia="Times New Roman" w:hAnsi="Calibri" w:cs="Times New Roman"/>
      <w:bCs/>
      <w:szCs w:val="24"/>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0">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Reference">
    <w:name w:val="Body Text_Reference"/>
    <w:basedOn w:val="BodyText"/>
    <w:link w:val="BodyTextReferenceChar"/>
    <w:qFormat/>
    <w:rsid w:val="00A570B8"/>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A570B8"/>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AgendaDetails">
    <w:name w:val="Agenda_Details"/>
    <w:basedOn w:val="Normal"/>
    <w:uiPriority w:val="99"/>
    <w:qFormat/>
    <w:rsid w:val="00912978"/>
    <w:pPr>
      <w:spacing w:before="240" w:after="240"/>
      <w:jc w:val="center"/>
    </w:pPr>
    <w:rPr>
      <w:rFonts w:ascii="Franklin Gothic Medium" w:hAnsi="Franklin Gothic Medium"/>
      <w:sz w:val="28"/>
      <w:szCs w:val="28"/>
    </w:rPr>
  </w:style>
  <w:style w:type="paragraph" w:styleId="ListParagraph">
    <w:name w:val="List Paragraph"/>
    <w:basedOn w:val="Normal"/>
    <w:uiPriority w:val="34"/>
    <w:qFormat/>
    <w:rsid w:val="00853D0E"/>
    <w:pPr>
      <w:ind w:left="720"/>
      <w:contextualSpacing/>
    </w:pPr>
    <w:rPr>
      <w:rFonts w:ascii="Cambria" w:eastAsia="MS Mincho" w:hAnsi="Cambria" w:cs="Times New Roman"/>
      <w:sz w:val="24"/>
      <w:szCs w:val="24"/>
    </w:rPr>
  </w:style>
  <w:style w:type="paragraph" w:customStyle="1" w:styleId="Exhibit">
    <w:name w:val="Exhibit"/>
    <w:basedOn w:val="Normal"/>
    <w:qFormat/>
    <w:rsid w:val="00E42658"/>
    <w:pPr>
      <w:keepNext/>
      <w:jc w:val="center"/>
    </w:pPr>
  </w:style>
  <w:style w:type="paragraph" w:customStyle="1" w:styleId="ExhibitSource">
    <w:name w:val="ExhibitSource"/>
    <w:basedOn w:val="Normal"/>
    <w:qFormat/>
    <w:rsid w:val="00E42658"/>
    <w:pPr>
      <w:keepNext/>
      <w:spacing w:after="120"/>
    </w:pPr>
    <w:rPr>
      <w:sz w:val="16"/>
    </w:rPr>
  </w:style>
  <w:style w:type="paragraph" w:customStyle="1" w:styleId="ExhibitTitle">
    <w:name w:val="ExhibitTitle"/>
    <w:basedOn w:val="Normal"/>
    <w:qFormat/>
    <w:rsid w:val="00E42658"/>
    <w:pPr>
      <w:spacing w:before="360"/>
    </w:pPr>
    <w:rPr>
      <w:b/>
    </w:rPr>
  </w:style>
  <w:style w:type="character" w:customStyle="1" w:styleId="A8">
    <w:name w:val="A8"/>
    <w:uiPriority w:val="99"/>
    <w:rsid w:val="00F03E08"/>
    <w:rPr>
      <w:rFonts w:cs="FrutigerLight"/>
      <w:color w:val="211D1E"/>
      <w:sz w:val="19"/>
      <w:szCs w:val="19"/>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DE7484"/>
    <w:rPr>
      <w:color w:val="2B579A"/>
      <w:shd w:val="clear" w:color="auto" w:fill="E6E6E6"/>
    </w:rPr>
  </w:style>
  <w:style w:type="character" w:customStyle="1" w:styleId="BodyText12ptBeforeChar">
    <w:name w:val="Body Text_12pt_Before Char"/>
    <w:basedOn w:val="DefaultParagraphFont"/>
    <w:link w:val="BodyText12ptBefore"/>
    <w:rsid w:val="003936ED"/>
    <w:rPr>
      <w:rFonts w:ascii="Calibri" w:eastAsia="Times New Roman" w:hAnsi="Calibri" w:cs="Times New Roman"/>
      <w:szCs w:val="24"/>
    </w:rPr>
  </w:style>
  <w:style w:type="paragraph" w:styleId="Caption">
    <w:name w:val="caption"/>
    <w:basedOn w:val="Normal"/>
    <w:next w:val="Normal"/>
    <w:uiPriority w:val="35"/>
    <w:unhideWhenUsed/>
    <w:qFormat/>
    <w:rsid w:val="00E42658"/>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E42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0">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CoverReportType">
    <w:name w:val="Cover_Report Type"/>
    <w:basedOn w:val="Normal"/>
    <w:qFormat/>
    <w:rsid w:val="00E426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E426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E42658"/>
    <w:pPr>
      <w:spacing w:before="5520"/>
      <w:jc w:val="right"/>
    </w:pPr>
    <w:rPr>
      <w:rFonts w:ascii="Trebuchet MS" w:hAnsi="Trebuchet MS"/>
      <w:color w:val="FFFFFF" w:themeColor="background1"/>
      <w:sz w:val="22"/>
    </w:rPr>
  </w:style>
  <w:style w:type="paragraph" w:customStyle="1" w:styleId="CoverDate">
    <w:name w:val="Cover_Date"/>
    <w:basedOn w:val="Normal"/>
    <w:qFormat/>
    <w:rsid w:val="00E42658"/>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459038890">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812167855">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2120485500">
      <w:bodyDiv w:val="1"/>
      <w:marLeft w:val="0"/>
      <w:marRight w:val="0"/>
      <w:marTop w:val="0"/>
      <w:marBottom w:val="0"/>
      <w:divBdr>
        <w:top w:val="none" w:sz="0" w:space="0" w:color="auto"/>
        <w:left w:val="none" w:sz="0" w:space="0" w:color="auto"/>
        <w:bottom w:val="none" w:sz="0" w:space="0" w:color="auto"/>
        <w:right w:val="none" w:sz="0" w:space="0" w:color="auto"/>
      </w:divBdr>
      <w:divsChild>
        <w:div w:id="600841956">
          <w:marLeft w:val="0"/>
          <w:marRight w:val="0"/>
          <w:marTop w:val="0"/>
          <w:marBottom w:val="0"/>
          <w:divBdr>
            <w:top w:val="none" w:sz="0" w:space="0" w:color="auto"/>
            <w:left w:val="none" w:sz="0" w:space="0" w:color="auto"/>
            <w:bottom w:val="none" w:sz="0" w:space="0" w:color="auto"/>
            <w:right w:val="none" w:sz="0" w:space="0" w:color="auto"/>
          </w:divBdr>
        </w:div>
        <w:div w:id="1522469535">
          <w:marLeft w:val="0"/>
          <w:marRight w:val="0"/>
          <w:marTop w:val="240"/>
          <w:marBottom w:val="0"/>
          <w:divBdr>
            <w:top w:val="none" w:sz="0" w:space="0" w:color="auto"/>
            <w:left w:val="none" w:sz="0" w:space="0" w:color="auto"/>
            <w:bottom w:val="none" w:sz="0" w:space="0" w:color="auto"/>
            <w:right w:val="none" w:sz="0" w:space="0" w:color="auto"/>
          </w:divBdr>
          <w:divsChild>
            <w:div w:id="366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4124-A017-4CAD-8B4E-01286C3A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3785</Words>
  <Characters>21576</Characters>
  <Application>Microsoft Office Word</Application>
  <DocSecurity>8</DocSecurity>
  <PresentationFormat/>
  <Lines>179</Lines>
  <Paragraphs>50</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Manager/>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
  <cp:keywords>California Vegetation Treatment Program, CAL FIRE, Board of Forestry, VTP</cp:keywords>
  <cp:lastModifiedBy/>
  <cp:revision>1</cp:revision>
  <dcterms:created xsi:type="dcterms:W3CDTF">2019-11-25T20:22:00Z</dcterms:created>
  <dcterms:modified xsi:type="dcterms:W3CDTF">2019-11-27T16:56:00Z</dcterms:modified>
</cp:coreProperties>
</file>