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8C71D" w14:textId="77777777" w:rsidR="00600A0A" w:rsidRDefault="00600A0A" w:rsidP="00600A0A">
      <w:pPr>
        <w:rPr>
          <w:color w:val="FFFFFF" w:themeColor="background1"/>
        </w:rPr>
      </w:pPr>
      <w:bookmarkStart w:id="0" w:name="_Toc181443213"/>
      <w:bookmarkStart w:id="1" w:name="_Toc264634110"/>
      <w:bookmarkStart w:id="2" w:name="_Toc264635170"/>
      <w:bookmarkStart w:id="3" w:name="_Toc296933524"/>
      <w:bookmarkStart w:id="4" w:name="_Toc330916530"/>
      <w:bookmarkStart w:id="5" w:name="_Toc476843368"/>
      <w:bookmarkStart w:id="6" w:name="_Toc485893327"/>
      <w:bookmarkStart w:id="7" w:name="_Toc11231773"/>
      <w:bookmarkStart w:id="8" w:name="_GoBack"/>
      <w:bookmarkEnd w:id="8"/>
      <w:r>
        <w:rPr>
          <w:color w:val="FFFFFF" w:themeColor="background1"/>
        </w:rPr>
        <w:t>Please adjust your screen reader settings to recognize underline and strikethrough text.</w:t>
      </w:r>
    </w:p>
    <w:p w14:paraId="2663D001" w14:textId="1897765A" w:rsidR="00DF378E" w:rsidRPr="001764B7" w:rsidRDefault="00DF378E" w:rsidP="00A24378">
      <w:pPr>
        <w:pStyle w:val="Heading2"/>
      </w:pPr>
      <w:r w:rsidRPr="001764B7">
        <w:t>Air</w:t>
      </w:r>
      <w:r w:rsidR="00891D49" w:rsidRPr="001764B7">
        <w:t xml:space="preserve"> </w:t>
      </w:r>
      <w:r w:rsidRPr="001764B7">
        <w:t>Quality</w:t>
      </w:r>
      <w:bookmarkEnd w:id="0"/>
      <w:bookmarkEnd w:id="1"/>
      <w:bookmarkEnd w:id="2"/>
      <w:bookmarkEnd w:id="3"/>
      <w:bookmarkEnd w:id="4"/>
      <w:bookmarkEnd w:id="5"/>
      <w:bookmarkEnd w:id="6"/>
      <w:bookmarkEnd w:id="7"/>
    </w:p>
    <w:p w14:paraId="599DA430" w14:textId="64D1B1C6" w:rsidR="0098190F" w:rsidRDefault="00DC712E" w:rsidP="00DE277A">
      <w:pPr>
        <w:pStyle w:val="BodyText"/>
      </w:pPr>
      <w:bookmarkStart w:id="9" w:name="_Toc296933525"/>
      <w:bookmarkStart w:id="10" w:name="_Toc330916540"/>
      <w:bookmarkStart w:id="11" w:name="_Toc296933532"/>
      <w:bookmarkStart w:id="12" w:name="_Toc330916531"/>
      <w:r w:rsidRPr="001764B7">
        <w:t xml:space="preserve">This section </w:t>
      </w:r>
      <w:r>
        <w:t>describes</w:t>
      </w:r>
      <w:r w:rsidRPr="001764B7">
        <w:t xml:space="preserve"> existing air quality conditions</w:t>
      </w:r>
      <w:r>
        <w:t xml:space="preserve"> within the treatable landscape and identifies </w:t>
      </w:r>
      <w:r w:rsidRPr="001764B7">
        <w:t>regulations</w:t>
      </w:r>
      <w:r>
        <w:t xml:space="preserve"> applicable to the types of emissions-generating activities that could occur in the CalVTP</w:t>
      </w:r>
      <w:r w:rsidR="007971D1">
        <w:t>. It presents</w:t>
      </w:r>
      <w:r w:rsidR="0098190F" w:rsidRPr="001764B7">
        <w:t xml:space="preserve"> an analysis of potential air quality impacts </w:t>
      </w:r>
      <w:r w:rsidR="00B153F1">
        <w:t>associated with implementation of</w:t>
      </w:r>
      <w:r w:rsidR="0098190F" w:rsidRPr="001764B7">
        <w:t xml:space="preserve"> the </w:t>
      </w:r>
      <w:r w:rsidR="001764B7" w:rsidRPr="001764B7">
        <w:t>CalVTP</w:t>
      </w:r>
      <w:r w:rsidR="007971D1">
        <w:t xml:space="preserve"> and describes </w:t>
      </w:r>
      <w:r w:rsidR="0098199F">
        <w:t xml:space="preserve">feasible </w:t>
      </w:r>
      <w:r w:rsidR="007971D1" w:rsidRPr="001764B7">
        <w:t>mitigation</w:t>
      </w:r>
      <w:r w:rsidR="0098190F" w:rsidRPr="001764B7">
        <w:t xml:space="preserve"> </w:t>
      </w:r>
      <w:r w:rsidR="0098199F">
        <w:t xml:space="preserve">measures </w:t>
      </w:r>
      <w:r w:rsidR="0098190F" w:rsidRPr="001764B7">
        <w:t xml:space="preserve">to reduce </w:t>
      </w:r>
      <w:r w:rsidR="0098199F">
        <w:t xml:space="preserve">potentially </w:t>
      </w:r>
      <w:r w:rsidR="0098190F" w:rsidRPr="001764B7">
        <w:t xml:space="preserve">significant </w:t>
      </w:r>
      <w:r>
        <w:t>impacts to air quality</w:t>
      </w:r>
      <w:r w:rsidR="0098190F" w:rsidRPr="001764B7">
        <w:t>.</w:t>
      </w:r>
    </w:p>
    <w:p w14:paraId="5D26E4DE" w14:textId="114940A1" w:rsidR="007971D1" w:rsidRPr="007971D1" w:rsidRDefault="00AF505B" w:rsidP="0098190F">
      <w:pPr>
        <w:pStyle w:val="BodyText"/>
      </w:pPr>
      <w:bookmarkStart w:id="13" w:name="_Hlk3031701"/>
      <w:r w:rsidRPr="004F3124">
        <w:t>Comments on the Notice of Preparation related to air quality included concerns about cumulative</w:t>
      </w:r>
      <w:r w:rsidR="00DC712E">
        <w:t xml:space="preserve"> impacts to</w:t>
      </w:r>
      <w:r w:rsidRPr="004F3124">
        <w:t xml:space="preserve"> air quality and smoke impacts from prescribed </w:t>
      </w:r>
      <w:r w:rsidR="0098199F">
        <w:t>burning</w:t>
      </w:r>
      <w:r w:rsidRPr="004F3124">
        <w:t xml:space="preserve"> (see Appendix A). These </w:t>
      </w:r>
      <w:r w:rsidR="0098199F">
        <w:t xml:space="preserve">topics </w:t>
      </w:r>
      <w:r w:rsidRPr="004F3124">
        <w:t xml:space="preserve">are addressed in Section 3.4.3, </w:t>
      </w:r>
      <w:r w:rsidR="00670EB0">
        <w:t>“</w:t>
      </w:r>
      <w:r w:rsidRPr="004F3124">
        <w:t>Environmental Impacts and Mitigation Measures.</w:t>
      </w:r>
      <w:r w:rsidR="00670EB0">
        <w:t>”</w:t>
      </w:r>
      <w:r>
        <w:t xml:space="preserve"> Cumulative air quality impacts are addressed in Impacts</w:t>
      </w:r>
      <w:r w:rsidR="00986BB6">
        <w:t xml:space="preserve"> </w:t>
      </w:r>
      <w:r>
        <w:t>AQ-</w:t>
      </w:r>
      <w:r w:rsidR="008B13C9">
        <w:t>1</w:t>
      </w:r>
      <w:r>
        <w:t xml:space="preserve"> and AQ-</w:t>
      </w:r>
      <w:r w:rsidR="008B13C9">
        <w:t>2</w:t>
      </w:r>
      <w:r>
        <w:t xml:space="preserve">; and smoke impacts from prescribed </w:t>
      </w:r>
      <w:r w:rsidR="0098199F">
        <w:t>burning</w:t>
      </w:r>
      <w:r>
        <w:t xml:space="preserve"> are addressed in Impacts AQ-</w:t>
      </w:r>
      <w:r w:rsidR="008B13C9">
        <w:t>2</w:t>
      </w:r>
      <w:r>
        <w:t xml:space="preserve"> and AQ-</w:t>
      </w:r>
      <w:r w:rsidR="008B13C9">
        <w:t>3</w:t>
      </w:r>
      <w:r>
        <w:t>.</w:t>
      </w:r>
      <w:r w:rsidR="007971D1">
        <w:t xml:space="preserve"> </w:t>
      </w:r>
      <w:bookmarkEnd w:id="13"/>
    </w:p>
    <w:p w14:paraId="1866F1B0" w14:textId="41EDE5ED" w:rsidR="00324FC8" w:rsidRPr="00B35182" w:rsidRDefault="00324FC8" w:rsidP="00324FC8">
      <w:pPr>
        <w:pStyle w:val="Heading3"/>
      </w:pPr>
      <w:r w:rsidRPr="00B35182">
        <w:t xml:space="preserve">Regulatory </w:t>
      </w:r>
      <w:r w:rsidR="00A1297D" w:rsidRPr="00B35182">
        <w:t>Setting</w:t>
      </w:r>
    </w:p>
    <w:p w14:paraId="4052BACA" w14:textId="73158539" w:rsidR="00324FC8" w:rsidRPr="00B35182" w:rsidRDefault="00324FC8" w:rsidP="00324FC8">
      <w:pPr>
        <w:pStyle w:val="BodyText"/>
      </w:pPr>
      <w:bookmarkStart w:id="14" w:name="_Hlk498094340"/>
      <w:bookmarkStart w:id="15" w:name="_Toc330916541"/>
      <w:bookmarkStart w:id="16" w:name="_Toc296933526"/>
      <w:r w:rsidRPr="00B35182">
        <w:t xml:space="preserve">Air quality in </w:t>
      </w:r>
      <w:r w:rsidR="00B153F1">
        <w:t xml:space="preserve">California, including </w:t>
      </w:r>
      <w:r w:rsidR="0098199F">
        <w:t xml:space="preserve">within </w:t>
      </w:r>
      <w:r w:rsidRPr="00B35182">
        <w:t>the treatable landscape</w:t>
      </w:r>
      <w:r w:rsidR="00B153F1">
        <w:t>,</w:t>
      </w:r>
      <w:r w:rsidRPr="00B35182">
        <w:t xml:space="preserve"> is regulated </w:t>
      </w:r>
      <w:r w:rsidR="0098199F">
        <w:t xml:space="preserve">by </w:t>
      </w:r>
      <w:r w:rsidRPr="00B35182">
        <w:t xml:space="preserve">federal, </w:t>
      </w:r>
      <w:r w:rsidR="0098199F">
        <w:t>s</w:t>
      </w:r>
      <w:r w:rsidRPr="00B35182">
        <w:t>tate, regional, and local government agencies. These agencies work</w:t>
      </w:r>
      <w:r w:rsidR="0098199F">
        <w:t xml:space="preserve"> </w:t>
      </w:r>
      <w:r w:rsidRPr="00B35182">
        <w:t xml:space="preserve">to improve air quality through legislation, planning, policy-making, education, and a variety of programs. The </w:t>
      </w:r>
      <w:r w:rsidR="0098199F">
        <w:t xml:space="preserve">regulations of the </w:t>
      </w:r>
      <w:r w:rsidRPr="00B35182">
        <w:t xml:space="preserve">agencies responsible for improving air quality </w:t>
      </w:r>
      <w:r w:rsidR="00CC6658">
        <w:t>in</w:t>
      </w:r>
      <w:r w:rsidR="007971D1">
        <w:t xml:space="preserve"> the treatable landscape</w:t>
      </w:r>
      <w:r w:rsidR="00CC6658">
        <w:t xml:space="preserve"> </w:t>
      </w:r>
      <w:r w:rsidRPr="00B35182">
        <w:t>are discussed below.</w:t>
      </w:r>
      <w:r w:rsidR="00AF505B" w:rsidRPr="00AF505B">
        <w:t xml:space="preserve"> </w:t>
      </w:r>
    </w:p>
    <w:bookmarkEnd w:id="14"/>
    <w:p w14:paraId="40D4A6A8" w14:textId="77777777" w:rsidR="00324FC8" w:rsidRPr="00324FC8" w:rsidRDefault="00324FC8" w:rsidP="00324FC8">
      <w:pPr>
        <w:pStyle w:val="Heading4"/>
      </w:pPr>
      <w:r w:rsidRPr="00324FC8">
        <w:t>Federal</w:t>
      </w:r>
      <w:bookmarkEnd w:id="15"/>
      <w:bookmarkEnd w:id="16"/>
    </w:p>
    <w:p w14:paraId="390A5B9D" w14:textId="04778FD7" w:rsidR="00324FC8" w:rsidRPr="00324FC8" w:rsidRDefault="007E3816" w:rsidP="00324FC8">
      <w:pPr>
        <w:pStyle w:val="Heading5"/>
      </w:pPr>
      <w:r>
        <w:t>Clean Air Act</w:t>
      </w:r>
    </w:p>
    <w:p w14:paraId="5D69750B" w14:textId="01BEA244" w:rsidR="00324FC8" w:rsidRPr="00E611EC" w:rsidRDefault="00324FC8" w:rsidP="00E611EC">
      <w:pPr>
        <w:pStyle w:val="BodyText"/>
      </w:pPr>
      <w:r w:rsidRPr="00E611EC">
        <w:t xml:space="preserve">The U.S. Environmental Protection Agency (EPA) </w:t>
      </w:r>
      <w:r w:rsidR="00CC6658" w:rsidRPr="00E611EC">
        <w:t xml:space="preserve">is responsible </w:t>
      </w:r>
      <w:r w:rsidRPr="00E611EC">
        <w:t>implementing national air quality programs. EPA</w:t>
      </w:r>
      <w:r w:rsidR="00670EB0">
        <w:t>’</w:t>
      </w:r>
      <w:r w:rsidRPr="00E611EC">
        <w:t>s air quality mandates draw primarily from the federal Clean Air Act (CAA), which was enacted in 1970</w:t>
      </w:r>
      <w:r w:rsidR="00DC712E">
        <w:t xml:space="preserve">, and the major </w:t>
      </w:r>
      <w:r w:rsidRPr="00E611EC">
        <w:t>amendments made by Congress in 1990. EPA</w:t>
      </w:r>
      <w:r w:rsidR="00670EB0">
        <w:t>’</w:t>
      </w:r>
      <w:r w:rsidRPr="00E611EC">
        <w:t>s air quality efforts address both criteria air pollutants and hazardous air pollutants (HAPs). EPA regulations concerning criteria air pollutants and HAPs are presented in greater detail below.</w:t>
      </w:r>
      <w:r w:rsidR="004A1828">
        <w:t xml:space="preserve"> The CAA is</w:t>
      </w:r>
      <w:r w:rsidR="004A1828" w:rsidRPr="004A1828">
        <w:t xml:space="preserve"> applicable to the CalVTP, because treatment activities have the potential to generate </w:t>
      </w:r>
      <w:r w:rsidR="004A1828">
        <w:t xml:space="preserve">criteria </w:t>
      </w:r>
      <w:r w:rsidR="004A1828" w:rsidRPr="004A1828">
        <w:t xml:space="preserve">air pollutant </w:t>
      </w:r>
      <w:r w:rsidR="004A1828">
        <w:t xml:space="preserve">and HAP </w:t>
      </w:r>
      <w:r w:rsidR="004A1828" w:rsidRPr="004A1828">
        <w:t xml:space="preserve">emissions through use of </w:t>
      </w:r>
      <w:r w:rsidR="004A1828">
        <w:t>off-road</w:t>
      </w:r>
      <w:r w:rsidR="004A1828" w:rsidRPr="004A1828">
        <w:t xml:space="preserve"> equipment, </w:t>
      </w:r>
      <w:r w:rsidR="004A1828">
        <w:t>machine-powered hand tools, helicopters, vehicles for</w:t>
      </w:r>
      <w:r w:rsidR="004A1828" w:rsidRPr="004A1828">
        <w:t xml:space="preserve"> worker commute, </w:t>
      </w:r>
      <w:r w:rsidR="004A1828">
        <w:t xml:space="preserve">trucks for materials delivery and hauling, </w:t>
      </w:r>
      <w:r w:rsidR="004A1828" w:rsidRPr="004A1828">
        <w:t>and prescribed burning.</w:t>
      </w:r>
    </w:p>
    <w:p w14:paraId="31BC0D20" w14:textId="77777777" w:rsidR="00324FC8" w:rsidRPr="00324FC8" w:rsidRDefault="00324FC8" w:rsidP="00324FC8">
      <w:pPr>
        <w:pStyle w:val="Heading6"/>
      </w:pPr>
      <w:r w:rsidRPr="00324FC8">
        <w:t>Criteria Air Pollutants</w:t>
      </w:r>
    </w:p>
    <w:p w14:paraId="21D508F8" w14:textId="29DBE4CB" w:rsidR="00324FC8" w:rsidRDefault="00DC712E" w:rsidP="001B7A2C">
      <w:pPr>
        <w:pStyle w:val="BodyText"/>
      </w:pPr>
      <w:bookmarkStart w:id="17" w:name="_Toc431910524"/>
      <w:r w:rsidRPr="00324FC8">
        <w:t xml:space="preserve">The CAA required EPA to establish </w:t>
      </w:r>
      <w:r>
        <w:t>n</w:t>
      </w:r>
      <w:r w:rsidRPr="00324FC8">
        <w:t xml:space="preserve">ational </w:t>
      </w:r>
      <w:r>
        <w:t>a</w:t>
      </w:r>
      <w:r w:rsidRPr="00324FC8">
        <w:t xml:space="preserve">mbient </w:t>
      </w:r>
      <w:r>
        <w:t>a</w:t>
      </w:r>
      <w:r w:rsidRPr="00324FC8">
        <w:t xml:space="preserve">ir </w:t>
      </w:r>
      <w:r>
        <w:t>q</w:t>
      </w:r>
      <w:r w:rsidRPr="00324FC8">
        <w:t xml:space="preserve">uality </w:t>
      </w:r>
      <w:r>
        <w:t>s</w:t>
      </w:r>
      <w:r w:rsidRPr="00324FC8">
        <w:t>tandards (NAAQS) for six common air pollutants found all over the U.S.</w:t>
      </w:r>
      <w:r>
        <w:t>,</w:t>
      </w:r>
      <w:r w:rsidRPr="00324FC8">
        <w:t xml:space="preserve"> referred to as criteria air pollutants. EPA has established primary and secondary NAAQS for the following criteria air pollutants: ozone, carbon monoxide (CO), nitrogen dioxide (NO</w:t>
      </w:r>
      <w:r w:rsidRPr="00324FC8">
        <w:rPr>
          <w:vertAlign w:val="subscript"/>
        </w:rPr>
        <w:t>2</w:t>
      </w:r>
      <w:r w:rsidRPr="00324FC8">
        <w:t>), sulfur dioxide (SO</w:t>
      </w:r>
      <w:r w:rsidRPr="00324FC8">
        <w:rPr>
          <w:vertAlign w:val="subscript"/>
        </w:rPr>
        <w:t>2</w:t>
      </w:r>
      <w:r w:rsidRPr="00324FC8">
        <w:t xml:space="preserve">), respirable </w:t>
      </w:r>
      <w:bookmarkStart w:id="18" w:name="_Hlk523307005"/>
      <w:r w:rsidRPr="00324FC8">
        <w:t>particulate matter with aerodynamic diameter of 10 micrometers or less (PM</w:t>
      </w:r>
      <w:r w:rsidRPr="00324FC8">
        <w:rPr>
          <w:vertAlign w:val="subscript"/>
        </w:rPr>
        <w:t>10</w:t>
      </w:r>
      <w:r w:rsidRPr="00324FC8">
        <w:t xml:space="preserve">) </w:t>
      </w:r>
      <w:bookmarkEnd w:id="18"/>
      <w:r w:rsidRPr="00324FC8">
        <w:t xml:space="preserve">and fine particulate matter </w:t>
      </w:r>
      <w:bookmarkStart w:id="19" w:name="_Hlk523307016"/>
      <w:r w:rsidRPr="00324FC8">
        <w:t xml:space="preserve">with aerodynamic diameter of 2.5 micrometers or less </w:t>
      </w:r>
      <w:bookmarkEnd w:id="19"/>
      <w:r w:rsidRPr="00324FC8">
        <w:t>(PM</w:t>
      </w:r>
      <w:r w:rsidRPr="00324FC8">
        <w:rPr>
          <w:vertAlign w:val="subscript"/>
        </w:rPr>
        <w:t>2.5</w:t>
      </w:r>
      <w:r w:rsidRPr="00324FC8">
        <w:t>), and lead.</w:t>
      </w:r>
      <w:r w:rsidR="00D14C44">
        <w:t xml:space="preserve"> Criteria air pollutants (or precursors) would be generated by treatment activity implemented under the CalVTP.</w:t>
      </w:r>
      <w:r w:rsidRPr="00324FC8">
        <w:t xml:space="preserve"> The NAAQS are shown in Table 3.</w:t>
      </w:r>
      <w:r>
        <w:t>4</w:t>
      </w:r>
      <w:r w:rsidRPr="00324FC8">
        <w:t xml:space="preserve">-1. The primary standards protect public health and the secondary standards protect public welfare. The CAA also required each state to prepare a State Implementation Plan (SIP) for attaining and maintaining the NAAQS. The federal Clean Air Act Amendments </w:t>
      </w:r>
      <w:r w:rsidR="00DE3F66" w:rsidRPr="00D11F03">
        <w:rPr>
          <w:u w:val="single"/>
        </w:rPr>
        <w:t>(CAA</w:t>
      </w:r>
      <w:r w:rsidR="00134957" w:rsidRPr="00D11F03">
        <w:rPr>
          <w:u w:val="single"/>
        </w:rPr>
        <w:t>A</w:t>
      </w:r>
      <w:r w:rsidR="00DE3F66" w:rsidRPr="00D11F03">
        <w:rPr>
          <w:u w:val="single"/>
        </w:rPr>
        <w:t xml:space="preserve">) </w:t>
      </w:r>
      <w:r w:rsidRPr="00324FC8">
        <w:t>of 1990 added requirements for states with nonattainment areas to revise their SIPs to incorporate additional control measures to reduce air pollution. California</w:t>
      </w:r>
      <w:r w:rsidR="00670EB0">
        <w:t>’</w:t>
      </w:r>
      <w:r w:rsidRPr="00324FC8">
        <w:t xml:space="preserve">s SIP is modified periodically to reflect the latest emissions inventories, planning documents, and rules and regulations of the air basins as reported by their jurisdictional agencies. </w:t>
      </w:r>
      <w:r w:rsidR="002452E7">
        <w:t xml:space="preserve">The map in </w:t>
      </w:r>
      <w:r w:rsidR="00DA4D7B">
        <w:t>Figure</w:t>
      </w:r>
      <w:r w:rsidR="002452E7">
        <w:t xml:space="preserve"> </w:t>
      </w:r>
      <w:r w:rsidR="004F7F1C">
        <w:t>3.4-1 sho</w:t>
      </w:r>
      <w:r w:rsidR="00FE14ED">
        <w:t>w</w:t>
      </w:r>
      <w:r w:rsidR="004F7F1C">
        <w:t xml:space="preserve">s the locations of </w:t>
      </w:r>
      <w:r w:rsidR="002452E7">
        <w:t xml:space="preserve">air basins in California. </w:t>
      </w:r>
      <w:r w:rsidRPr="00324FC8">
        <w:t>EPA is responsible for reviewing all SIPs to determine whether they conform to the mandates of the CAA and its amendments, and whether implementation will achieve air quality goals. If EPA determines a SIP to be inadequate, EPA may prepare a federal implementation plan that imposes additional control measures. If an approvable SIP is not submitted or implemented within the mandated time frame, sanctions may be applied to transportation funding and stationary air pollution sources in the air basin.</w:t>
      </w:r>
    </w:p>
    <w:p w14:paraId="73E5038E" w14:textId="0DAF319C" w:rsidR="00583B3A" w:rsidRPr="00DC712E" w:rsidRDefault="00583B3A" w:rsidP="00583B3A">
      <w:pPr>
        <w:pStyle w:val="TableHeader"/>
      </w:pPr>
      <w:bookmarkStart w:id="20" w:name="_Toc480183190"/>
      <w:bookmarkStart w:id="21" w:name="_Toc23834431"/>
      <w:r w:rsidRPr="00324FC8">
        <w:lastRenderedPageBreak/>
        <w:t>Table 3.4-1</w:t>
      </w:r>
      <w:r w:rsidRPr="00324FC8">
        <w:tab/>
        <w:t>National and California Ambient Air Quality Standards</w:t>
      </w:r>
      <w:bookmarkEnd w:id="20"/>
      <w:bookmarkEnd w:id="21"/>
    </w:p>
    <w:tbl>
      <w:tblPr>
        <w:tblW w:w="10080" w:type="dxa"/>
        <w:jc w:val="center"/>
        <w:tblBorders>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1710"/>
        <w:gridCol w:w="1974"/>
        <w:gridCol w:w="2034"/>
        <w:gridCol w:w="2058"/>
        <w:gridCol w:w="2304"/>
      </w:tblGrid>
      <w:tr w:rsidR="00583B3A" w:rsidRPr="00FE4B42" w14:paraId="5FEACB22" w14:textId="77777777" w:rsidTr="00583B3A">
        <w:trPr>
          <w:trHeight w:val="20"/>
          <w:tblHeader/>
          <w:jc w:val="center"/>
        </w:trPr>
        <w:tc>
          <w:tcPr>
            <w:tcW w:w="1710" w:type="dxa"/>
            <w:tcBorders>
              <w:top w:val="single" w:sz="4" w:space="0" w:color="auto"/>
              <w:bottom w:val="single" w:sz="4" w:space="0" w:color="auto"/>
            </w:tcBorders>
            <w:shd w:val="clear" w:color="auto" w:fill="D9D9D9" w:themeFill="background1" w:themeFillShade="D9"/>
            <w:vAlign w:val="center"/>
          </w:tcPr>
          <w:bookmarkEnd w:id="17"/>
          <w:p w14:paraId="41FCBFC7" w14:textId="77777777" w:rsidR="00583B3A" w:rsidRPr="00324FC8" w:rsidRDefault="00583B3A" w:rsidP="001C586A">
            <w:pPr>
              <w:pStyle w:val="TableColumn"/>
            </w:pPr>
            <w:r w:rsidRPr="00324FC8">
              <w:t>Pollutant</w:t>
            </w:r>
          </w:p>
        </w:tc>
        <w:tc>
          <w:tcPr>
            <w:tcW w:w="1974" w:type="dxa"/>
            <w:tcBorders>
              <w:top w:val="single" w:sz="4" w:space="0" w:color="auto"/>
            </w:tcBorders>
            <w:shd w:val="clear" w:color="auto" w:fill="D9D9D9" w:themeFill="background1" w:themeFillShade="D9"/>
            <w:vAlign w:val="center"/>
          </w:tcPr>
          <w:p w14:paraId="1856167A" w14:textId="77777777" w:rsidR="00583B3A" w:rsidRPr="00324FC8" w:rsidRDefault="00583B3A" w:rsidP="001C586A">
            <w:pPr>
              <w:pStyle w:val="TableColumn"/>
            </w:pPr>
            <w:r w:rsidRPr="00324FC8">
              <w:t>Averaging Time</w:t>
            </w:r>
          </w:p>
        </w:tc>
        <w:tc>
          <w:tcPr>
            <w:tcW w:w="2034" w:type="dxa"/>
            <w:tcBorders>
              <w:top w:val="single" w:sz="4" w:space="0" w:color="auto"/>
            </w:tcBorders>
            <w:shd w:val="clear" w:color="auto" w:fill="D9D9D9" w:themeFill="background1" w:themeFillShade="D9"/>
            <w:vAlign w:val="center"/>
          </w:tcPr>
          <w:p w14:paraId="39A9105A" w14:textId="6E4566FC" w:rsidR="00583B3A" w:rsidRPr="00324FC8" w:rsidRDefault="00583B3A" w:rsidP="001C586A">
            <w:pPr>
              <w:pStyle w:val="TableColumn"/>
            </w:pPr>
            <w:r w:rsidRPr="00324FC8">
              <w:t>California (CAAQS)</w:t>
            </w:r>
            <w:r>
              <w:t xml:space="preserve"> </w:t>
            </w:r>
            <w:r w:rsidRPr="00324FC8">
              <w:rPr>
                <w:vertAlign w:val="superscript"/>
              </w:rPr>
              <w:t>a, b</w:t>
            </w:r>
          </w:p>
        </w:tc>
        <w:tc>
          <w:tcPr>
            <w:tcW w:w="2058" w:type="dxa"/>
            <w:tcBorders>
              <w:top w:val="single" w:sz="4" w:space="0" w:color="auto"/>
            </w:tcBorders>
            <w:shd w:val="clear" w:color="auto" w:fill="D9D9D9" w:themeFill="background1" w:themeFillShade="D9"/>
            <w:vAlign w:val="center"/>
          </w:tcPr>
          <w:p w14:paraId="6779B385" w14:textId="241E2E23" w:rsidR="00583B3A" w:rsidRPr="00324FC8" w:rsidRDefault="00583B3A" w:rsidP="001C586A">
            <w:pPr>
              <w:pStyle w:val="TableColumn"/>
            </w:pPr>
            <w:r w:rsidRPr="00324FC8">
              <w:t>National (NAAQS)</w:t>
            </w:r>
            <w:r w:rsidRPr="00324FC8">
              <w:rPr>
                <w:vertAlign w:val="superscript"/>
              </w:rPr>
              <w:t>c</w:t>
            </w:r>
            <w:r w:rsidRPr="00324FC8">
              <w:t xml:space="preserve"> </w:t>
            </w:r>
            <w:r>
              <w:br/>
            </w:r>
            <w:r w:rsidRPr="00324FC8">
              <w:t>Primary</w:t>
            </w:r>
            <w:r>
              <w:t xml:space="preserve"> </w:t>
            </w:r>
            <w:proofErr w:type="spellStart"/>
            <w:r w:rsidRPr="00324FC8">
              <w:rPr>
                <w:vertAlign w:val="superscript"/>
              </w:rPr>
              <w:t>b,d</w:t>
            </w:r>
            <w:proofErr w:type="spellEnd"/>
          </w:p>
        </w:tc>
        <w:tc>
          <w:tcPr>
            <w:tcW w:w="2304" w:type="dxa"/>
            <w:tcBorders>
              <w:top w:val="single" w:sz="4" w:space="0" w:color="auto"/>
              <w:bottom w:val="single" w:sz="4" w:space="0" w:color="auto"/>
            </w:tcBorders>
            <w:shd w:val="clear" w:color="auto" w:fill="D9D9D9" w:themeFill="background1" w:themeFillShade="D9"/>
            <w:vAlign w:val="center"/>
          </w:tcPr>
          <w:p w14:paraId="25E511DB" w14:textId="3FFAE631" w:rsidR="00583B3A" w:rsidRPr="00324FC8" w:rsidRDefault="00583B3A" w:rsidP="001C586A">
            <w:pPr>
              <w:pStyle w:val="TableColumn"/>
            </w:pPr>
            <w:r w:rsidRPr="00324FC8">
              <w:t>National (NAAQS)</w:t>
            </w:r>
            <w:r w:rsidRPr="00324FC8">
              <w:rPr>
                <w:vertAlign w:val="superscript"/>
              </w:rPr>
              <w:t>c</w:t>
            </w:r>
            <w:r w:rsidRPr="00324FC8">
              <w:t xml:space="preserve"> </w:t>
            </w:r>
            <w:r>
              <w:br/>
            </w:r>
            <w:r w:rsidRPr="00324FC8">
              <w:t>Secondary</w:t>
            </w:r>
            <w:r>
              <w:t xml:space="preserve"> </w:t>
            </w:r>
            <w:proofErr w:type="spellStart"/>
            <w:r w:rsidRPr="00324FC8">
              <w:rPr>
                <w:vertAlign w:val="superscript"/>
              </w:rPr>
              <w:t>b,e</w:t>
            </w:r>
            <w:proofErr w:type="spellEnd"/>
          </w:p>
        </w:tc>
      </w:tr>
      <w:tr w:rsidR="00324FC8" w:rsidRPr="00FE4B42" w14:paraId="34DFC71A" w14:textId="77777777" w:rsidTr="00583B3A">
        <w:trPr>
          <w:trHeight w:val="20"/>
          <w:jc w:val="center"/>
        </w:trPr>
        <w:tc>
          <w:tcPr>
            <w:tcW w:w="1710" w:type="dxa"/>
            <w:tcBorders>
              <w:top w:val="single" w:sz="4" w:space="0" w:color="auto"/>
              <w:bottom w:val="nil"/>
            </w:tcBorders>
            <w:shd w:val="clear" w:color="auto" w:fill="auto"/>
            <w:vAlign w:val="center"/>
          </w:tcPr>
          <w:p w14:paraId="5424D862" w14:textId="77777777" w:rsidR="00324FC8" w:rsidRPr="00324FC8" w:rsidRDefault="00324FC8" w:rsidP="001C586A">
            <w:pPr>
              <w:pStyle w:val="TableText"/>
            </w:pPr>
            <w:r w:rsidRPr="00324FC8">
              <w:t>Ozone</w:t>
            </w:r>
          </w:p>
        </w:tc>
        <w:tc>
          <w:tcPr>
            <w:tcW w:w="1974" w:type="dxa"/>
            <w:shd w:val="clear" w:color="auto" w:fill="auto"/>
            <w:vAlign w:val="center"/>
          </w:tcPr>
          <w:p w14:paraId="248E0A6F" w14:textId="77777777" w:rsidR="00324FC8" w:rsidRPr="00324FC8" w:rsidRDefault="00324FC8" w:rsidP="001C586A">
            <w:pPr>
              <w:pStyle w:val="TableText"/>
            </w:pPr>
            <w:r w:rsidRPr="00324FC8">
              <w:t>1-hour</w:t>
            </w:r>
          </w:p>
        </w:tc>
        <w:tc>
          <w:tcPr>
            <w:tcW w:w="2034" w:type="dxa"/>
            <w:shd w:val="clear" w:color="auto" w:fill="auto"/>
            <w:vAlign w:val="center"/>
          </w:tcPr>
          <w:p w14:paraId="78330E33" w14:textId="77777777" w:rsidR="00324FC8" w:rsidRPr="00324FC8" w:rsidRDefault="00324FC8" w:rsidP="001C586A">
            <w:pPr>
              <w:pStyle w:val="TableText"/>
            </w:pPr>
            <w:r w:rsidRPr="00324FC8">
              <w:t xml:space="preserve">0.09 ppm (180 </w:t>
            </w:r>
            <w:proofErr w:type="spellStart"/>
            <w:r w:rsidRPr="00324FC8">
              <w:t>μg</w:t>
            </w:r>
            <w:proofErr w:type="spellEnd"/>
            <w:r w:rsidRPr="00324FC8">
              <w:t>/m</w:t>
            </w:r>
            <w:r w:rsidRPr="00324FC8">
              <w:rPr>
                <w:vertAlign w:val="superscript"/>
              </w:rPr>
              <w:t>3</w:t>
            </w:r>
            <w:r w:rsidRPr="00324FC8">
              <w:t>)</w:t>
            </w:r>
          </w:p>
        </w:tc>
        <w:tc>
          <w:tcPr>
            <w:tcW w:w="2058" w:type="dxa"/>
            <w:shd w:val="clear" w:color="auto" w:fill="auto"/>
            <w:vAlign w:val="center"/>
          </w:tcPr>
          <w:p w14:paraId="59B4BE7A" w14:textId="77777777" w:rsidR="00324FC8" w:rsidRPr="00324FC8" w:rsidRDefault="00324FC8" w:rsidP="001C586A">
            <w:pPr>
              <w:pStyle w:val="TableText"/>
            </w:pPr>
            <w:r w:rsidRPr="00324FC8">
              <w:t>–</w:t>
            </w:r>
            <w:r w:rsidRPr="00324FC8">
              <w:rPr>
                <w:vertAlign w:val="superscript"/>
              </w:rPr>
              <w:t>e</w:t>
            </w:r>
          </w:p>
        </w:tc>
        <w:tc>
          <w:tcPr>
            <w:tcW w:w="2304" w:type="dxa"/>
            <w:tcBorders>
              <w:top w:val="single" w:sz="4" w:space="0" w:color="auto"/>
              <w:bottom w:val="nil"/>
            </w:tcBorders>
            <w:shd w:val="clear" w:color="auto" w:fill="auto"/>
            <w:vAlign w:val="center"/>
          </w:tcPr>
          <w:p w14:paraId="05FC2338" w14:textId="77777777" w:rsidR="00324FC8" w:rsidRPr="00324FC8" w:rsidRDefault="00324FC8" w:rsidP="001C586A">
            <w:pPr>
              <w:pStyle w:val="TableText"/>
            </w:pPr>
            <w:r w:rsidRPr="00324FC8">
              <w:t>Same as primary standard</w:t>
            </w:r>
          </w:p>
        </w:tc>
      </w:tr>
      <w:tr w:rsidR="00324FC8" w:rsidRPr="00FE4B42" w14:paraId="73798AD7" w14:textId="77777777" w:rsidTr="00583B3A">
        <w:trPr>
          <w:trHeight w:val="20"/>
          <w:jc w:val="center"/>
        </w:trPr>
        <w:tc>
          <w:tcPr>
            <w:tcW w:w="1710" w:type="dxa"/>
            <w:tcBorders>
              <w:top w:val="nil"/>
              <w:bottom w:val="single" w:sz="4" w:space="0" w:color="auto"/>
            </w:tcBorders>
            <w:shd w:val="clear" w:color="auto" w:fill="auto"/>
            <w:vAlign w:val="center"/>
          </w:tcPr>
          <w:p w14:paraId="07E60D49" w14:textId="77777777" w:rsidR="00324FC8" w:rsidRPr="00324FC8" w:rsidRDefault="00324FC8" w:rsidP="001C586A">
            <w:pPr>
              <w:pStyle w:val="TableText"/>
            </w:pPr>
          </w:p>
        </w:tc>
        <w:tc>
          <w:tcPr>
            <w:tcW w:w="1974" w:type="dxa"/>
            <w:shd w:val="clear" w:color="auto" w:fill="auto"/>
            <w:vAlign w:val="center"/>
          </w:tcPr>
          <w:p w14:paraId="1F985F05" w14:textId="77777777" w:rsidR="00324FC8" w:rsidRPr="00324FC8" w:rsidRDefault="00324FC8" w:rsidP="001C586A">
            <w:pPr>
              <w:pStyle w:val="TableText"/>
            </w:pPr>
            <w:r w:rsidRPr="00324FC8">
              <w:t>8-hour</w:t>
            </w:r>
          </w:p>
        </w:tc>
        <w:tc>
          <w:tcPr>
            <w:tcW w:w="2034" w:type="dxa"/>
            <w:shd w:val="clear" w:color="auto" w:fill="auto"/>
            <w:vAlign w:val="center"/>
          </w:tcPr>
          <w:p w14:paraId="338210D1" w14:textId="77777777" w:rsidR="00324FC8" w:rsidRPr="00324FC8" w:rsidRDefault="00324FC8" w:rsidP="001C586A">
            <w:pPr>
              <w:pStyle w:val="TableText"/>
            </w:pPr>
            <w:r w:rsidRPr="00324FC8">
              <w:t xml:space="preserve">0.070 ppm (137 </w:t>
            </w:r>
            <w:proofErr w:type="spellStart"/>
            <w:r w:rsidRPr="00324FC8">
              <w:t>μg</w:t>
            </w:r>
            <w:proofErr w:type="spellEnd"/>
            <w:r w:rsidRPr="00324FC8">
              <w:t>/m</w:t>
            </w:r>
            <w:r w:rsidRPr="00324FC8">
              <w:rPr>
                <w:vertAlign w:val="superscript"/>
              </w:rPr>
              <w:t>3</w:t>
            </w:r>
            <w:r w:rsidRPr="00324FC8">
              <w:t>)</w:t>
            </w:r>
          </w:p>
        </w:tc>
        <w:tc>
          <w:tcPr>
            <w:tcW w:w="2058" w:type="dxa"/>
            <w:shd w:val="clear" w:color="auto" w:fill="auto"/>
            <w:vAlign w:val="center"/>
          </w:tcPr>
          <w:p w14:paraId="1FCBFF24" w14:textId="77777777" w:rsidR="00324FC8" w:rsidRPr="00324FC8" w:rsidRDefault="00324FC8" w:rsidP="001C586A">
            <w:pPr>
              <w:pStyle w:val="TableText"/>
            </w:pPr>
            <w:r w:rsidRPr="00324FC8">
              <w:t xml:space="preserve">0.070 ppm (147 </w:t>
            </w:r>
            <w:proofErr w:type="spellStart"/>
            <w:r w:rsidRPr="00324FC8">
              <w:t>μg</w:t>
            </w:r>
            <w:proofErr w:type="spellEnd"/>
            <w:r w:rsidRPr="00324FC8">
              <w:t>/m</w:t>
            </w:r>
            <w:r w:rsidRPr="00324FC8">
              <w:rPr>
                <w:vertAlign w:val="superscript"/>
              </w:rPr>
              <w:t>3</w:t>
            </w:r>
            <w:r w:rsidRPr="00324FC8">
              <w:t>)</w:t>
            </w:r>
          </w:p>
        </w:tc>
        <w:tc>
          <w:tcPr>
            <w:tcW w:w="2304" w:type="dxa"/>
            <w:tcBorders>
              <w:top w:val="nil"/>
              <w:bottom w:val="single" w:sz="4" w:space="0" w:color="auto"/>
            </w:tcBorders>
            <w:shd w:val="clear" w:color="auto" w:fill="auto"/>
            <w:vAlign w:val="center"/>
          </w:tcPr>
          <w:p w14:paraId="7007BA0D" w14:textId="77777777" w:rsidR="00324FC8" w:rsidRPr="00324FC8" w:rsidRDefault="00324FC8" w:rsidP="001C586A">
            <w:pPr>
              <w:pStyle w:val="TableText"/>
            </w:pPr>
          </w:p>
        </w:tc>
      </w:tr>
      <w:tr w:rsidR="00324FC8" w:rsidRPr="00FE4B42" w14:paraId="2CA73CC7" w14:textId="77777777" w:rsidTr="00583B3A">
        <w:trPr>
          <w:trHeight w:val="20"/>
          <w:jc w:val="center"/>
        </w:trPr>
        <w:tc>
          <w:tcPr>
            <w:tcW w:w="1710" w:type="dxa"/>
            <w:tcBorders>
              <w:top w:val="single" w:sz="4" w:space="0" w:color="auto"/>
              <w:bottom w:val="nil"/>
            </w:tcBorders>
            <w:shd w:val="clear" w:color="auto" w:fill="auto"/>
            <w:vAlign w:val="center"/>
          </w:tcPr>
          <w:p w14:paraId="18D05FB5" w14:textId="77777777" w:rsidR="00324FC8" w:rsidRPr="00324FC8" w:rsidRDefault="00324FC8" w:rsidP="001C586A">
            <w:pPr>
              <w:pStyle w:val="TableText"/>
            </w:pPr>
            <w:r w:rsidRPr="00324FC8">
              <w:t>Carbon monoxide (CO)</w:t>
            </w:r>
          </w:p>
        </w:tc>
        <w:tc>
          <w:tcPr>
            <w:tcW w:w="1974" w:type="dxa"/>
            <w:shd w:val="clear" w:color="auto" w:fill="auto"/>
            <w:vAlign w:val="center"/>
          </w:tcPr>
          <w:p w14:paraId="0CF45123" w14:textId="77777777" w:rsidR="00324FC8" w:rsidRPr="00324FC8" w:rsidRDefault="00324FC8" w:rsidP="001C586A">
            <w:pPr>
              <w:pStyle w:val="TableText"/>
            </w:pPr>
            <w:r w:rsidRPr="00324FC8">
              <w:t>1-hour</w:t>
            </w:r>
          </w:p>
        </w:tc>
        <w:tc>
          <w:tcPr>
            <w:tcW w:w="2034" w:type="dxa"/>
            <w:shd w:val="clear" w:color="auto" w:fill="auto"/>
            <w:vAlign w:val="center"/>
          </w:tcPr>
          <w:p w14:paraId="13D96FE7" w14:textId="77777777" w:rsidR="00324FC8" w:rsidRPr="00324FC8" w:rsidRDefault="00324FC8" w:rsidP="001C586A">
            <w:pPr>
              <w:pStyle w:val="TableText"/>
            </w:pPr>
            <w:r w:rsidRPr="00324FC8">
              <w:t>20 ppm (23 mg/m</w:t>
            </w:r>
            <w:r w:rsidRPr="00324FC8">
              <w:rPr>
                <w:vertAlign w:val="superscript"/>
              </w:rPr>
              <w:t>3</w:t>
            </w:r>
            <w:r w:rsidRPr="00324FC8">
              <w:t>)</w:t>
            </w:r>
          </w:p>
        </w:tc>
        <w:tc>
          <w:tcPr>
            <w:tcW w:w="2058" w:type="dxa"/>
            <w:shd w:val="clear" w:color="auto" w:fill="auto"/>
            <w:vAlign w:val="center"/>
          </w:tcPr>
          <w:p w14:paraId="17A6AFA3" w14:textId="77777777" w:rsidR="00324FC8" w:rsidRPr="00324FC8" w:rsidRDefault="00324FC8" w:rsidP="001C586A">
            <w:pPr>
              <w:pStyle w:val="TableText"/>
            </w:pPr>
            <w:r w:rsidRPr="00324FC8">
              <w:t>35 ppm (40 mg/m</w:t>
            </w:r>
            <w:r w:rsidRPr="00324FC8">
              <w:rPr>
                <w:vertAlign w:val="superscript"/>
              </w:rPr>
              <w:t>3</w:t>
            </w:r>
            <w:r w:rsidRPr="00324FC8">
              <w:t>)</w:t>
            </w:r>
          </w:p>
        </w:tc>
        <w:tc>
          <w:tcPr>
            <w:tcW w:w="2304" w:type="dxa"/>
            <w:tcBorders>
              <w:top w:val="single" w:sz="4" w:space="0" w:color="auto"/>
              <w:bottom w:val="nil"/>
            </w:tcBorders>
            <w:shd w:val="clear" w:color="auto" w:fill="auto"/>
            <w:vAlign w:val="center"/>
          </w:tcPr>
          <w:p w14:paraId="70ACB4F6" w14:textId="77777777" w:rsidR="00324FC8" w:rsidRPr="00324FC8" w:rsidRDefault="00324FC8" w:rsidP="001C586A">
            <w:pPr>
              <w:pStyle w:val="TableText"/>
            </w:pPr>
            <w:r w:rsidRPr="00324FC8">
              <w:t>Same as primary standard</w:t>
            </w:r>
          </w:p>
        </w:tc>
      </w:tr>
      <w:tr w:rsidR="00324FC8" w:rsidRPr="00FE4B42" w14:paraId="597F4886" w14:textId="77777777" w:rsidTr="00583B3A">
        <w:trPr>
          <w:trHeight w:val="20"/>
          <w:jc w:val="center"/>
        </w:trPr>
        <w:tc>
          <w:tcPr>
            <w:tcW w:w="1710" w:type="dxa"/>
            <w:tcBorders>
              <w:top w:val="nil"/>
              <w:bottom w:val="single" w:sz="4" w:space="0" w:color="auto"/>
            </w:tcBorders>
            <w:shd w:val="clear" w:color="auto" w:fill="auto"/>
            <w:vAlign w:val="center"/>
          </w:tcPr>
          <w:p w14:paraId="26D35811" w14:textId="77777777" w:rsidR="00324FC8" w:rsidRPr="00324FC8" w:rsidRDefault="00324FC8" w:rsidP="001C586A">
            <w:pPr>
              <w:pStyle w:val="TableText"/>
            </w:pPr>
          </w:p>
        </w:tc>
        <w:tc>
          <w:tcPr>
            <w:tcW w:w="1974" w:type="dxa"/>
            <w:shd w:val="clear" w:color="auto" w:fill="auto"/>
            <w:vAlign w:val="center"/>
          </w:tcPr>
          <w:p w14:paraId="14E63961" w14:textId="77777777" w:rsidR="00324FC8" w:rsidRPr="00324FC8" w:rsidRDefault="00324FC8" w:rsidP="001C586A">
            <w:pPr>
              <w:pStyle w:val="TableText"/>
            </w:pPr>
            <w:r w:rsidRPr="00324FC8">
              <w:t>8-hour</w:t>
            </w:r>
          </w:p>
        </w:tc>
        <w:tc>
          <w:tcPr>
            <w:tcW w:w="2034" w:type="dxa"/>
            <w:shd w:val="clear" w:color="auto" w:fill="auto"/>
            <w:vAlign w:val="center"/>
          </w:tcPr>
          <w:p w14:paraId="5F33F05D" w14:textId="77777777" w:rsidR="00324FC8" w:rsidRPr="00324FC8" w:rsidRDefault="00324FC8" w:rsidP="001C586A">
            <w:pPr>
              <w:pStyle w:val="TableText"/>
            </w:pPr>
            <w:r w:rsidRPr="00324FC8">
              <w:t xml:space="preserve">9 </w:t>
            </w:r>
            <w:proofErr w:type="spellStart"/>
            <w:r w:rsidRPr="00324FC8">
              <w:t>ppm</w:t>
            </w:r>
            <w:r w:rsidRPr="00324FC8">
              <w:rPr>
                <w:vertAlign w:val="superscript"/>
              </w:rPr>
              <w:t>f</w:t>
            </w:r>
            <w:proofErr w:type="spellEnd"/>
            <w:r w:rsidRPr="00324FC8">
              <w:rPr>
                <w:vertAlign w:val="superscript"/>
              </w:rPr>
              <w:t xml:space="preserve"> </w:t>
            </w:r>
            <w:r w:rsidRPr="00324FC8">
              <w:t>(10 mg/m</w:t>
            </w:r>
            <w:r w:rsidRPr="00324FC8">
              <w:rPr>
                <w:vertAlign w:val="superscript"/>
              </w:rPr>
              <w:t>3</w:t>
            </w:r>
            <w:r w:rsidRPr="00324FC8">
              <w:t>)</w:t>
            </w:r>
          </w:p>
        </w:tc>
        <w:tc>
          <w:tcPr>
            <w:tcW w:w="2058" w:type="dxa"/>
            <w:shd w:val="clear" w:color="auto" w:fill="auto"/>
            <w:vAlign w:val="center"/>
          </w:tcPr>
          <w:p w14:paraId="66990D7A" w14:textId="6F0E4744" w:rsidR="00324FC8" w:rsidRPr="00324FC8" w:rsidRDefault="00324FC8" w:rsidP="001C586A">
            <w:pPr>
              <w:pStyle w:val="TableText"/>
            </w:pPr>
            <w:r w:rsidRPr="00324FC8">
              <w:t>9 ppm</w:t>
            </w:r>
            <w:r w:rsidR="001B7A2C">
              <w:t xml:space="preserve"> </w:t>
            </w:r>
            <w:r w:rsidRPr="00324FC8">
              <w:t>(10 mg/m</w:t>
            </w:r>
            <w:r w:rsidRPr="00324FC8">
              <w:rPr>
                <w:vertAlign w:val="superscript"/>
              </w:rPr>
              <w:t>3</w:t>
            </w:r>
            <w:r w:rsidRPr="00324FC8">
              <w:t>)</w:t>
            </w:r>
          </w:p>
        </w:tc>
        <w:tc>
          <w:tcPr>
            <w:tcW w:w="2304" w:type="dxa"/>
            <w:tcBorders>
              <w:top w:val="nil"/>
            </w:tcBorders>
            <w:shd w:val="clear" w:color="auto" w:fill="auto"/>
            <w:vAlign w:val="center"/>
          </w:tcPr>
          <w:p w14:paraId="18A6FE87" w14:textId="77777777" w:rsidR="00324FC8" w:rsidRPr="00324FC8" w:rsidRDefault="00324FC8" w:rsidP="001C586A">
            <w:pPr>
              <w:pStyle w:val="TableText"/>
            </w:pPr>
          </w:p>
        </w:tc>
      </w:tr>
      <w:tr w:rsidR="00324FC8" w:rsidRPr="00FE4B42" w14:paraId="261C7EC8" w14:textId="77777777" w:rsidTr="00583B3A">
        <w:trPr>
          <w:trHeight w:val="20"/>
          <w:jc w:val="center"/>
        </w:trPr>
        <w:tc>
          <w:tcPr>
            <w:tcW w:w="1710" w:type="dxa"/>
            <w:tcBorders>
              <w:top w:val="single" w:sz="4" w:space="0" w:color="auto"/>
              <w:bottom w:val="nil"/>
            </w:tcBorders>
            <w:shd w:val="clear" w:color="auto" w:fill="auto"/>
            <w:vAlign w:val="center"/>
          </w:tcPr>
          <w:p w14:paraId="030E2176" w14:textId="77777777" w:rsidR="00324FC8" w:rsidRPr="00324FC8" w:rsidRDefault="00324FC8" w:rsidP="001C586A">
            <w:pPr>
              <w:pStyle w:val="TableText"/>
            </w:pPr>
            <w:r w:rsidRPr="00324FC8">
              <w:t>Nitrogen dioxide (NO</w:t>
            </w:r>
            <w:r w:rsidRPr="00324FC8">
              <w:rPr>
                <w:vertAlign w:val="subscript"/>
              </w:rPr>
              <w:t>2</w:t>
            </w:r>
            <w:r w:rsidRPr="00324FC8">
              <w:t xml:space="preserve">) </w:t>
            </w:r>
          </w:p>
        </w:tc>
        <w:tc>
          <w:tcPr>
            <w:tcW w:w="1974" w:type="dxa"/>
            <w:shd w:val="clear" w:color="auto" w:fill="auto"/>
            <w:vAlign w:val="center"/>
          </w:tcPr>
          <w:p w14:paraId="50266B1B" w14:textId="77777777" w:rsidR="00324FC8" w:rsidRPr="00324FC8" w:rsidRDefault="00324FC8" w:rsidP="001C586A">
            <w:pPr>
              <w:pStyle w:val="TableText"/>
            </w:pPr>
            <w:r w:rsidRPr="00324FC8">
              <w:t>Annual arithmetic mean</w:t>
            </w:r>
          </w:p>
        </w:tc>
        <w:tc>
          <w:tcPr>
            <w:tcW w:w="2034" w:type="dxa"/>
            <w:shd w:val="clear" w:color="auto" w:fill="auto"/>
            <w:vAlign w:val="center"/>
          </w:tcPr>
          <w:p w14:paraId="6CE7D056" w14:textId="77777777" w:rsidR="00324FC8" w:rsidRPr="00324FC8" w:rsidRDefault="00324FC8" w:rsidP="001C586A">
            <w:pPr>
              <w:pStyle w:val="TableText"/>
            </w:pPr>
            <w:r w:rsidRPr="00324FC8">
              <w:t xml:space="preserve">0.030 ppm (57 </w:t>
            </w:r>
            <w:proofErr w:type="spellStart"/>
            <w:r w:rsidRPr="00324FC8">
              <w:t>μg</w:t>
            </w:r>
            <w:proofErr w:type="spellEnd"/>
            <w:r w:rsidRPr="00324FC8">
              <w:t>/m</w:t>
            </w:r>
            <w:r w:rsidRPr="00324FC8">
              <w:rPr>
                <w:vertAlign w:val="superscript"/>
              </w:rPr>
              <w:t>3</w:t>
            </w:r>
            <w:r w:rsidRPr="00324FC8">
              <w:t>)</w:t>
            </w:r>
          </w:p>
        </w:tc>
        <w:tc>
          <w:tcPr>
            <w:tcW w:w="2058" w:type="dxa"/>
            <w:shd w:val="clear" w:color="auto" w:fill="auto"/>
            <w:vAlign w:val="center"/>
          </w:tcPr>
          <w:p w14:paraId="143068CF" w14:textId="77777777" w:rsidR="00324FC8" w:rsidRPr="00324FC8" w:rsidRDefault="00324FC8" w:rsidP="001C586A">
            <w:pPr>
              <w:pStyle w:val="TableText"/>
            </w:pPr>
            <w:r w:rsidRPr="00324FC8">
              <w:t xml:space="preserve">53 ppb (100 </w:t>
            </w:r>
            <w:proofErr w:type="spellStart"/>
            <w:r w:rsidRPr="00324FC8">
              <w:t>μg</w:t>
            </w:r>
            <w:proofErr w:type="spellEnd"/>
            <w:r w:rsidRPr="00324FC8">
              <w:t>/m</w:t>
            </w:r>
            <w:r w:rsidRPr="00324FC8">
              <w:rPr>
                <w:vertAlign w:val="superscript"/>
              </w:rPr>
              <w:t>3</w:t>
            </w:r>
            <w:r w:rsidRPr="00324FC8">
              <w:t>)</w:t>
            </w:r>
          </w:p>
        </w:tc>
        <w:tc>
          <w:tcPr>
            <w:tcW w:w="2304" w:type="dxa"/>
            <w:shd w:val="clear" w:color="auto" w:fill="auto"/>
            <w:vAlign w:val="center"/>
          </w:tcPr>
          <w:p w14:paraId="20318087" w14:textId="77777777" w:rsidR="00324FC8" w:rsidRPr="00324FC8" w:rsidRDefault="00324FC8" w:rsidP="001C586A">
            <w:pPr>
              <w:pStyle w:val="TableText"/>
            </w:pPr>
            <w:r w:rsidRPr="00324FC8">
              <w:t>Same as primary standard</w:t>
            </w:r>
          </w:p>
        </w:tc>
      </w:tr>
      <w:tr w:rsidR="00324FC8" w:rsidRPr="00FE4B42" w14:paraId="3A15C4C0" w14:textId="77777777" w:rsidTr="00583B3A">
        <w:trPr>
          <w:trHeight w:val="20"/>
          <w:jc w:val="center"/>
        </w:trPr>
        <w:tc>
          <w:tcPr>
            <w:tcW w:w="1710" w:type="dxa"/>
            <w:tcBorders>
              <w:top w:val="nil"/>
              <w:bottom w:val="single" w:sz="4" w:space="0" w:color="auto"/>
            </w:tcBorders>
            <w:shd w:val="clear" w:color="auto" w:fill="auto"/>
            <w:vAlign w:val="center"/>
          </w:tcPr>
          <w:p w14:paraId="2E3879ED" w14:textId="77777777" w:rsidR="00324FC8" w:rsidRPr="00324FC8" w:rsidRDefault="00324FC8" w:rsidP="001C586A">
            <w:pPr>
              <w:pStyle w:val="TableText"/>
            </w:pPr>
          </w:p>
        </w:tc>
        <w:tc>
          <w:tcPr>
            <w:tcW w:w="1974" w:type="dxa"/>
            <w:shd w:val="clear" w:color="auto" w:fill="auto"/>
            <w:vAlign w:val="center"/>
          </w:tcPr>
          <w:p w14:paraId="47AA4693" w14:textId="77777777" w:rsidR="00324FC8" w:rsidRPr="00324FC8" w:rsidRDefault="00324FC8" w:rsidP="001C586A">
            <w:pPr>
              <w:pStyle w:val="TableText"/>
            </w:pPr>
            <w:r w:rsidRPr="00324FC8">
              <w:t>1-hour</w:t>
            </w:r>
          </w:p>
        </w:tc>
        <w:tc>
          <w:tcPr>
            <w:tcW w:w="2034" w:type="dxa"/>
            <w:shd w:val="clear" w:color="auto" w:fill="auto"/>
            <w:vAlign w:val="center"/>
          </w:tcPr>
          <w:p w14:paraId="6A624832" w14:textId="77777777" w:rsidR="00324FC8" w:rsidRPr="00324FC8" w:rsidRDefault="00324FC8" w:rsidP="001C586A">
            <w:pPr>
              <w:pStyle w:val="TableText"/>
            </w:pPr>
            <w:r w:rsidRPr="00324FC8">
              <w:t xml:space="preserve">0.18 ppm (339 </w:t>
            </w:r>
            <w:proofErr w:type="spellStart"/>
            <w:r w:rsidRPr="00324FC8">
              <w:t>μg</w:t>
            </w:r>
            <w:proofErr w:type="spellEnd"/>
            <w:r w:rsidRPr="00324FC8">
              <w:t>/m</w:t>
            </w:r>
            <w:r w:rsidRPr="00324FC8">
              <w:rPr>
                <w:vertAlign w:val="superscript"/>
              </w:rPr>
              <w:t>3</w:t>
            </w:r>
            <w:r w:rsidRPr="00324FC8">
              <w:t>)</w:t>
            </w:r>
          </w:p>
        </w:tc>
        <w:tc>
          <w:tcPr>
            <w:tcW w:w="2058" w:type="dxa"/>
            <w:shd w:val="clear" w:color="auto" w:fill="auto"/>
            <w:vAlign w:val="center"/>
          </w:tcPr>
          <w:p w14:paraId="57789B5A" w14:textId="77777777" w:rsidR="00324FC8" w:rsidRPr="00324FC8" w:rsidRDefault="00324FC8" w:rsidP="001C586A">
            <w:pPr>
              <w:pStyle w:val="TableText"/>
            </w:pPr>
            <w:r w:rsidRPr="00324FC8">
              <w:t xml:space="preserve">100 ppb (188 </w:t>
            </w:r>
            <w:proofErr w:type="spellStart"/>
            <w:r w:rsidRPr="00324FC8">
              <w:t>μg</w:t>
            </w:r>
            <w:proofErr w:type="spellEnd"/>
            <w:r w:rsidRPr="00324FC8">
              <w:t>/m</w:t>
            </w:r>
            <w:r w:rsidRPr="00324FC8">
              <w:rPr>
                <w:vertAlign w:val="superscript"/>
              </w:rPr>
              <w:t>3</w:t>
            </w:r>
            <w:r w:rsidRPr="00324FC8">
              <w:t>)</w:t>
            </w:r>
          </w:p>
        </w:tc>
        <w:tc>
          <w:tcPr>
            <w:tcW w:w="2304" w:type="dxa"/>
            <w:shd w:val="clear" w:color="auto" w:fill="auto"/>
            <w:vAlign w:val="center"/>
          </w:tcPr>
          <w:p w14:paraId="48ECA8D5" w14:textId="77777777" w:rsidR="00324FC8" w:rsidRPr="00324FC8" w:rsidRDefault="00324FC8" w:rsidP="001C586A">
            <w:pPr>
              <w:pStyle w:val="TableText"/>
            </w:pPr>
            <w:r w:rsidRPr="00324FC8">
              <w:t>—</w:t>
            </w:r>
          </w:p>
        </w:tc>
      </w:tr>
      <w:tr w:rsidR="00324FC8" w:rsidRPr="00FE4B42" w14:paraId="78A0C142" w14:textId="77777777" w:rsidTr="00583B3A">
        <w:trPr>
          <w:trHeight w:val="20"/>
          <w:jc w:val="center"/>
        </w:trPr>
        <w:tc>
          <w:tcPr>
            <w:tcW w:w="1710" w:type="dxa"/>
            <w:tcBorders>
              <w:top w:val="single" w:sz="4" w:space="0" w:color="auto"/>
              <w:bottom w:val="nil"/>
            </w:tcBorders>
            <w:shd w:val="clear" w:color="auto" w:fill="auto"/>
            <w:vAlign w:val="center"/>
          </w:tcPr>
          <w:p w14:paraId="7029DDA0" w14:textId="269AAC73" w:rsidR="00324FC8" w:rsidRPr="00324FC8" w:rsidRDefault="00324FC8" w:rsidP="001C586A">
            <w:pPr>
              <w:pStyle w:val="TableText"/>
            </w:pPr>
          </w:p>
        </w:tc>
        <w:tc>
          <w:tcPr>
            <w:tcW w:w="1974" w:type="dxa"/>
            <w:shd w:val="clear" w:color="auto" w:fill="auto"/>
            <w:vAlign w:val="center"/>
          </w:tcPr>
          <w:p w14:paraId="11284833" w14:textId="77777777" w:rsidR="00324FC8" w:rsidRPr="00324FC8" w:rsidRDefault="00324FC8" w:rsidP="001C586A">
            <w:pPr>
              <w:pStyle w:val="TableText"/>
            </w:pPr>
            <w:r w:rsidRPr="00324FC8">
              <w:t>24-hour</w:t>
            </w:r>
          </w:p>
        </w:tc>
        <w:tc>
          <w:tcPr>
            <w:tcW w:w="2034" w:type="dxa"/>
            <w:shd w:val="clear" w:color="auto" w:fill="auto"/>
            <w:vAlign w:val="center"/>
          </w:tcPr>
          <w:p w14:paraId="516696C8" w14:textId="77777777" w:rsidR="00324FC8" w:rsidRPr="00324FC8" w:rsidRDefault="00324FC8" w:rsidP="001C586A">
            <w:pPr>
              <w:pStyle w:val="TableText"/>
            </w:pPr>
            <w:r w:rsidRPr="00324FC8">
              <w:t xml:space="preserve">0.04 ppm (105 </w:t>
            </w:r>
            <w:proofErr w:type="spellStart"/>
            <w:r w:rsidRPr="00324FC8">
              <w:t>μg</w:t>
            </w:r>
            <w:proofErr w:type="spellEnd"/>
            <w:r w:rsidRPr="00324FC8">
              <w:t>/m</w:t>
            </w:r>
            <w:r w:rsidRPr="00324FC8">
              <w:rPr>
                <w:vertAlign w:val="superscript"/>
              </w:rPr>
              <w:t>3</w:t>
            </w:r>
            <w:r w:rsidRPr="00324FC8">
              <w:t>)</w:t>
            </w:r>
          </w:p>
        </w:tc>
        <w:tc>
          <w:tcPr>
            <w:tcW w:w="2058" w:type="dxa"/>
            <w:shd w:val="clear" w:color="auto" w:fill="auto"/>
            <w:vAlign w:val="center"/>
          </w:tcPr>
          <w:p w14:paraId="67B350B8" w14:textId="77777777" w:rsidR="00324FC8" w:rsidRPr="00324FC8" w:rsidRDefault="00324FC8" w:rsidP="001C586A">
            <w:pPr>
              <w:pStyle w:val="TableText"/>
            </w:pPr>
            <w:r w:rsidRPr="00324FC8">
              <w:t>—</w:t>
            </w:r>
          </w:p>
        </w:tc>
        <w:tc>
          <w:tcPr>
            <w:tcW w:w="2304" w:type="dxa"/>
            <w:shd w:val="clear" w:color="auto" w:fill="auto"/>
            <w:vAlign w:val="center"/>
          </w:tcPr>
          <w:p w14:paraId="652C896B" w14:textId="77777777" w:rsidR="00324FC8" w:rsidRPr="00324FC8" w:rsidRDefault="00324FC8" w:rsidP="001C586A">
            <w:pPr>
              <w:pStyle w:val="TableText"/>
            </w:pPr>
            <w:r w:rsidRPr="00324FC8">
              <w:t>—</w:t>
            </w:r>
          </w:p>
        </w:tc>
      </w:tr>
      <w:tr w:rsidR="00324FC8" w:rsidRPr="00FE4B42" w14:paraId="1E9A150F" w14:textId="77777777" w:rsidTr="00583B3A">
        <w:trPr>
          <w:trHeight w:val="20"/>
          <w:jc w:val="center"/>
        </w:trPr>
        <w:tc>
          <w:tcPr>
            <w:tcW w:w="1710" w:type="dxa"/>
            <w:tcBorders>
              <w:top w:val="nil"/>
              <w:bottom w:val="nil"/>
            </w:tcBorders>
            <w:shd w:val="clear" w:color="auto" w:fill="auto"/>
            <w:vAlign w:val="center"/>
          </w:tcPr>
          <w:p w14:paraId="4A22F6B0" w14:textId="16D689C0" w:rsidR="00324FC8" w:rsidRPr="00324FC8" w:rsidRDefault="00583B3A" w:rsidP="001C586A">
            <w:pPr>
              <w:pStyle w:val="TableText"/>
            </w:pPr>
            <w:r w:rsidRPr="00324FC8">
              <w:t>Sulfur dioxide (SO</w:t>
            </w:r>
            <w:r w:rsidRPr="00324FC8">
              <w:rPr>
                <w:vertAlign w:val="subscript"/>
              </w:rPr>
              <w:t>2</w:t>
            </w:r>
            <w:r w:rsidRPr="00324FC8">
              <w:t>)</w:t>
            </w:r>
          </w:p>
        </w:tc>
        <w:tc>
          <w:tcPr>
            <w:tcW w:w="1974" w:type="dxa"/>
            <w:shd w:val="clear" w:color="auto" w:fill="auto"/>
            <w:vAlign w:val="center"/>
          </w:tcPr>
          <w:p w14:paraId="3A5EA590" w14:textId="77777777" w:rsidR="00324FC8" w:rsidRPr="00324FC8" w:rsidRDefault="00324FC8" w:rsidP="001C586A">
            <w:pPr>
              <w:pStyle w:val="TableText"/>
            </w:pPr>
            <w:r w:rsidRPr="00324FC8">
              <w:t>3-hour</w:t>
            </w:r>
          </w:p>
        </w:tc>
        <w:tc>
          <w:tcPr>
            <w:tcW w:w="2034" w:type="dxa"/>
            <w:shd w:val="clear" w:color="auto" w:fill="auto"/>
            <w:vAlign w:val="center"/>
          </w:tcPr>
          <w:p w14:paraId="5C02672B" w14:textId="77777777" w:rsidR="00324FC8" w:rsidRPr="00324FC8" w:rsidRDefault="00324FC8" w:rsidP="001C586A">
            <w:pPr>
              <w:pStyle w:val="TableText"/>
            </w:pPr>
            <w:r w:rsidRPr="00324FC8">
              <w:t>—</w:t>
            </w:r>
          </w:p>
        </w:tc>
        <w:tc>
          <w:tcPr>
            <w:tcW w:w="2058" w:type="dxa"/>
            <w:shd w:val="clear" w:color="auto" w:fill="auto"/>
            <w:vAlign w:val="center"/>
          </w:tcPr>
          <w:p w14:paraId="633CBF00" w14:textId="77777777" w:rsidR="00324FC8" w:rsidRPr="00324FC8" w:rsidRDefault="00324FC8" w:rsidP="001C586A">
            <w:pPr>
              <w:pStyle w:val="TableText"/>
            </w:pPr>
            <w:r w:rsidRPr="00324FC8">
              <w:t>—</w:t>
            </w:r>
          </w:p>
        </w:tc>
        <w:tc>
          <w:tcPr>
            <w:tcW w:w="2304" w:type="dxa"/>
            <w:shd w:val="clear" w:color="auto" w:fill="auto"/>
            <w:vAlign w:val="center"/>
          </w:tcPr>
          <w:p w14:paraId="2C784FCC" w14:textId="77777777" w:rsidR="00324FC8" w:rsidRPr="00324FC8" w:rsidRDefault="00324FC8" w:rsidP="001C586A">
            <w:pPr>
              <w:pStyle w:val="TableText"/>
            </w:pPr>
            <w:r w:rsidRPr="00324FC8">
              <w:t xml:space="preserve">0.5 ppm (1300 </w:t>
            </w:r>
            <w:proofErr w:type="spellStart"/>
            <w:r w:rsidRPr="00324FC8">
              <w:t>μg</w:t>
            </w:r>
            <w:proofErr w:type="spellEnd"/>
            <w:r w:rsidRPr="00324FC8">
              <w:t>/m</w:t>
            </w:r>
            <w:r w:rsidRPr="00324FC8">
              <w:rPr>
                <w:vertAlign w:val="superscript"/>
              </w:rPr>
              <w:t>3</w:t>
            </w:r>
            <w:r w:rsidRPr="00324FC8">
              <w:t>)</w:t>
            </w:r>
          </w:p>
        </w:tc>
      </w:tr>
      <w:tr w:rsidR="00324FC8" w:rsidRPr="00FE4B42" w14:paraId="23916997" w14:textId="77777777" w:rsidTr="00583B3A">
        <w:trPr>
          <w:trHeight w:val="20"/>
          <w:jc w:val="center"/>
        </w:trPr>
        <w:tc>
          <w:tcPr>
            <w:tcW w:w="1710" w:type="dxa"/>
            <w:tcBorders>
              <w:top w:val="nil"/>
              <w:bottom w:val="single" w:sz="4" w:space="0" w:color="auto"/>
            </w:tcBorders>
            <w:shd w:val="clear" w:color="auto" w:fill="auto"/>
            <w:vAlign w:val="center"/>
          </w:tcPr>
          <w:p w14:paraId="1826B306" w14:textId="77777777" w:rsidR="00324FC8" w:rsidRPr="00324FC8" w:rsidRDefault="00324FC8" w:rsidP="001C586A">
            <w:pPr>
              <w:pStyle w:val="TableText"/>
            </w:pPr>
          </w:p>
        </w:tc>
        <w:tc>
          <w:tcPr>
            <w:tcW w:w="1974" w:type="dxa"/>
            <w:shd w:val="clear" w:color="auto" w:fill="auto"/>
            <w:vAlign w:val="center"/>
          </w:tcPr>
          <w:p w14:paraId="1FAEA71A" w14:textId="77777777" w:rsidR="00324FC8" w:rsidRPr="00324FC8" w:rsidRDefault="00324FC8" w:rsidP="001C586A">
            <w:pPr>
              <w:pStyle w:val="TableText"/>
            </w:pPr>
            <w:r w:rsidRPr="00324FC8">
              <w:t>1-hour</w:t>
            </w:r>
          </w:p>
        </w:tc>
        <w:tc>
          <w:tcPr>
            <w:tcW w:w="2034" w:type="dxa"/>
            <w:shd w:val="clear" w:color="auto" w:fill="auto"/>
            <w:vAlign w:val="center"/>
          </w:tcPr>
          <w:p w14:paraId="0A4D5396" w14:textId="77777777" w:rsidR="00324FC8" w:rsidRPr="00324FC8" w:rsidRDefault="00324FC8" w:rsidP="001C586A">
            <w:pPr>
              <w:pStyle w:val="TableText"/>
            </w:pPr>
            <w:r w:rsidRPr="00324FC8">
              <w:t xml:space="preserve">0.25 ppm (655 </w:t>
            </w:r>
            <w:proofErr w:type="spellStart"/>
            <w:r w:rsidRPr="00324FC8">
              <w:t>μg</w:t>
            </w:r>
            <w:proofErr w:type="spellEnd"/>
            <w:r w:rsidRPr="00324FC8">
              <w:t>/m</w:t>
            </w:r>
            <w:r w:rsidRPr="00324FC8">
              <w:rPr>
                <w:vertAlign w:val="superscript"/>
              </w:rPr>
              <w:t>3</w:t>
            </w:r>
            <w:r w:rsidRPr="00324FC8">
              <w:t>)</w:t>
            </w:r>
          </w:p>
        </w:tc>
        <w:tc>
          <w:tcPr>
            <w:tcW w:w="2058" w:type="dxa"/>
            <w:shd w:val="clear" w:color="auto" w:fill="auto"/>
            <w:vAlign w:val="center"/>
          </w:tcPr>
          <w:p w14:paraId="538C4B60" w14:textId="77777777" w:rsidR="00324FC8" w:rsidRPr="00324FC8" w:rsidRDefault="00324FC8" w:rsidP="001C586A">
            <w:pPr>
              <w:pStyle w:val="TableText"/>
            </w:pPr>
            <w:r w:rsidRPr="00324FC8">
              <w:t xml:space="preserve">75 ppb (196 </w:t>
            </w:r>
            <w:proofErr w:type="spellStart"/>
            <w:r w:rsidRPr="00324FC8">
              <w:t>μg</w:t>
            </w:r>
            <w:proofErr w:type="spellEnd"/>
            <w:r w:rsidRPr="00324FC8">
              <w:t>/m</w:t>
            </w:r>
            <w:r w:rsidRPr="00324FC8">
              <w:rPr>
                <w:vertAlign w:val="superscript"/>
              </w:rPr>
              <w:t>3</w:t>
            </w:r>
            <w:r w:rsidRPr="00324FC8">
              <w:t>)</w:t>
            </w:r>
          </w:p>
        </w:tc>
        <w:tc>
          <w:tcPr>
            <w:tcW w:w="2304" w:type="dxa"/>
            <w:tcBorders>
              <w:bottom w:val="single" w:sz="4" w:space="0" w:color="auto"/>
            </w:tcBorders>
            <w:shd w:val="clear" w:color="auto" w:fill="auto"/>
            <w:vAlign w:val="center"/>
          </w:tcPr>
          <w:p w14:paraId="48349052" w14:textId="77777777" w:rsidR="00324FC8" w:rsidRPr="00324FC8" w:rsidRDefault="00324FC8" w:rsidP="001C586A">
            <w:pPr>
              <w:pStyle w:val="TableText"/>
            </w:pPr>
            <w:r w:rsidRPr="00324FC8">
              <w:t>—</w:t>
            </w:r>
          </w:p>
        </w:tc>
      </w:tr>
      <w:tr w:rsidR="00324FC8" w:rsidRPr="00FE4B42" w14:paraId="44C28E45" w14:textId="77777777" w:rsidTr="00583B3A">
        <w:trPr>
          <w:trHeight w:val="20"/>
          <w:jc w:val="center"/>
        </w:trPr>
        <w:tc>
          <w:tcPr>
            <w:tcW w:w="1710" w:type="dxa"/>
            <w:tcBorders>
              <w:top w:val="single" w:sz="4" w:space="0" w:color="auto"/>
              <w:bottom w:val="nil"/>
            </w:tcBorders>
            <w:shd w:val="clear" w:color="auto" w:fill="auto"/>
            <w:vAlign w:val="center"/>
          </w:tcPr>
          <w:p w14:paraId="1C8C8A7E" w14:textId="77777777" w:rsidR="00324FC8" w:rsidRPr="00324FC8" w:rsidRDefault="00324FC8" w:rsidP="001C586A">
            <w:pPr>
              <w:pStyle w:val="TableText"/>
            </w:pPr>
            <w:r w:rsidRPr="00324FC8">
              <w:t>Respirable particulate matter (PM</w:t>
            </w:r>
            <w:r w:rsidRPr="00324FC8">
              <w:rPr>
                <w:vertAlign w:val="subscript"/>
              </w:rPr>
              <w:t>10</w:t>
            </w:r>
            <w:r w:rsidRPr="00324FC8">
              <w:t>)</w:t>
            </w:r>
          </w:p>
        </w:tc>
        <w:tc>
          <w:tcPr>
            <w:tcW w:w="1974" w:type="dxa"/>
            <w:shd w:val="clear" w:color="auto" w:fill="auto"/>
            <w:vAlign w:val="center"/>
          </w:tcPr>
          <w:p w14:paraId="56A9C5EF" w14:textId="77777777" w:rsidR="00324FC8" w:rsidRPr="00324FC8" w:rsidRDefault="00324FC8" w:rsidP="001C586A">
            <w:pPr>
              <w:pStyle w:val="TableText"/>
            </w:pPr>
            <w:r w:rsidRPr="00324FC8">
              <w:t>Annual arithmetic mean</w:t>
            </w:r>
          </w:p>
        </w:tc>
        <w:tc>
          <w:tcPr>
            <w:tcW w:w="2034" w:type="dxa"/>
            <w:shd w:val="clear" w:color="auto" w:fill="auto"/>
            <w:vAlign w:val="center"/>
          </w:tcPr>
          <w:p w14:paraId="4A1B4A93" w14:textId="77777777" w:rsidR="00324FC8" w:rsidRPr="00324FC8" w:rsidRDefault="00324FC8" w:rsidP="001C586A">
            <w:pPr>
              <w:pStyle w:val="TableText"/>
            </w:pPr>
            <w:r w:rsidRPr="00324FC8">
              <w:t xml:space="preserve">20 </w:t>
            </w:r>
            <w:proofErr w:type="spellStart"/>
            <w:r w:rsidRPr="00324FC8">
              <w:t>μg</w:t>
            </w:r>
            <w:proofErr w:type="spellEnd"/>
            <w:r w:rsidRPr="00324FC8">
              <w:t>/m</w:t>
            </w:r>
            <w:r w:rsidRPr="00324FC8">
              <w:rPr>
                <w:vertAlign w:val="superscript"/>
              </w:rPr>
              <w:t>3</w:t>
            </w:r>
          </w:p>
        </w:tc>
        <w:tc>
          <w:tcPr>
            <w:tcW w:w="2058" w:type="dxa"/>
            <w:shd w:val="clear" w:color="auto" w:fill="auto"/>
            <w:vAlign w:val="center"/>
          </w:tcPr>
          <w:p w14:paraId="1408C0B2" w14:textId="77777777" w:rsidR="00324FC8" w:rsidRPr="00324FC8" w:rsidRDefault="00324FC8" w:rsidP="001C586A">
            <w:pPr>
              <w:pStyle w:val="TableText"/>
            </w:pPr>
            <w:r w:rsidRPr="00324FC8">
              <w:t>—</w:t>
            </w:r>
          </w:p>
        </w:tc>
        <w:tc>
          <w:tcPr>
            <w:tcW w:w="2304" w:type="dxa"/>
            <w:tcBorders>
              <w:top w:val="single" w:sz="4" w:space="0" w:color="auto"/>
              <w:bottom w:val="nil"/>
            </w:tcBorders>
            <w:shd w:val="clear" w:color="auto" w:fill="auto"/>
            <w:vAlign w:val="center"/>
          </w:tcPr>
          <w:p w14:paraId="2ED53798" w14:textId="77777777" w:rsidR="00324FC8" w:rsidRPr="00324FC8" w:rsidRDefault="00324FC8" w:rsidP="001C586A">
            <w:pPr>
              <w:pStyle w:val="TableText"/>
            </w:pPr>
            <w:r w:rsidRPr="00324FC8">
              <w:t>Same as primary standard</w:t>
            </w:r>
          </w:p>
        </w:tc>
      </w:tr>
      <w:tr w:rsidR="00324FC8" w:rsidRPr="00FE4B42" w14:paraId="04141363" w14:textId="77777777" w:rsidTr="00583B3A">
        <w:trPr>
          <w:trHeight w:val="20"/>
          <w:jc w:val="center"/>
        </w:trPr>
        <w:tc>
          <w:tcPr>
            <w:tcW w:w="1710" w:type="dxa"/>
            <w:tcBorders>
              <w:top w:val="nil"/>
              <w:bottom w:val="single" w:sz="4" w:space="0" w:color="auto"/>
            </w:tcBorders>
            <w:shd w:val="clear" w:color="auto" w:fill="auto"/>
            <w:vAlign w:val="center"/>
          </w:tcPr>
          <w:p w14:paraId="76D8D4EA" w14:textId="77777777" w:rsidR="00324FC8" w:rsidRPr="00324FC8" w:rsidRDefault="00324FC8" w:rsidP="001C586A">
            <w:pPr>
              <w:pStyle w:val="TableText"/>
            </w:pPr>
          </w:p>
        </w:tc>
        <w:tc>
          <w:tcPr>
            <w:tcW w:w="1974" w:type="dxa"/>
            <w:shd w:val="clear" w:color="auto" w:fill="auto"/>
            <w:vAlign w:val="center"/>
          </w:tcPr>
          <w:p w14:paraId="776D0BC4" w14:textId="77777777" w:rsidR="00324FC8" w:rsidRPr="00324FC8" w:rsidRDefault="00324FC8" w:rsidP="001C586A">
            <w:pPr>
              <w:pStyle w:val="TableText"/>
            </w:pPr>
            <w:r w:rsidRPr="00324FC8">
              <w:t>24-hour</w:t>
            </w:r>
          </w:p>
        </w:tc>
        <w:tc>
          <w:tcPr>
            <w:tcW w:w="2034" w:type="dxa"/>
            <w:shd w:val="clear" w:color="auto" w:fill="auto"/>
            <w:vAlign w:val="center"/>
          </w:tcPr>
          <w:p w14:paraId="2D695AA9" w14:textId="77777777" w:rsidR="00324FC8" w:rsidRPr="00324FC8" w:rsidRDefault="00324FC8" w:rsidP="001C586A">
            <w:pPr>
              <w:pStyle w:val="TableText"/>
            </w:pPr>
            <w:r w:rsidRPr="00324FC8">
              <w:t xml:space="preserve">50 </w:t>
            </w:r>
            <w:proofErr w:type="spellStart"/>
            <w:r w:rsidRPr="00324FC8">
              <w:t>μg</w:t>
            </w:r>
            <w:proofErr w:type="spellEnd"/>
            <w:r w:rsidRPr="00324FC8">
              <w:t>/m</w:t>
            </w:r>
            <w:r w:rsidRPr="00324FC8">
              <w:rPr>
                <w:vertAlign w:val="superscript"/>
              </w:rPr>
              <w:t>3</w:t>
            </w:r>
          </w:p>
        </w:tc>
        <w:tc>
          <w:tcPr>
            <w:tcW w:w="2058" w:type="dxa"/>
            <w:shd w:val="clear" w:color="auto" w:fill="auto"/>
            <w:vAlign w:val="center"/>
          </w:tcPr>
          <w:p w14:paraId="3DC7D3FF" w14:textId="77777777" w:rsidR="00324FC8" w:rsidRPr="00324FC8" w:rsidRDefault="00324FC8" w:rsidP="001C586A">
            <w:pPr>
              <w:pStyle w:val="TableText"/>
            </w:pPr>
            <w:r w:rsidRPr="00324FC8">
              <w:t xml:space="preserve">150 </w:t>
            </w:r>
            <w:proofErr w:type="spellStart"/>
            <w:r w:rsidRPr="00324FC8">
              <w:t>μg</w:t>
            </w:r>
            <w:proofErr w:type="spellEnd"/>
            <w:r w:rsidRPr="00324FC8">
              <w:t>/m</w:t>
            </w:r>
            <w:r w:rsidRPr="00324FC8">
              <w:rPr>
                <w:vertAlign w:val="superscript"/>
              </w:rPr>
              <w:t>3</w:t>
            </w:r>
          </w:p>
        </w:tc>
        <w:tc>
          <w:tcPr>
            <w:tcW w:w="2304" w:type="dxa"/>
            <w:tcBorders>
              <w:top w:val="nil"/>
            </w:tcBorders>
            <w:shd w:val="clear" w:color="auto" w:fill="auto"/>
            <w:vAlign w:val="center"/>
          </w:tcPr>
          <w:p w14:paraId="361CA5DE" w14:textId="77777777" w:rsidR="00324FC8" w:rsidRPr="00324FC8" w:rsidRDefault="00324FC8" w:rsidP="001C586A">
            <w:pPr>
              <w:pStyle w:val="TableText"/>
            </w:pPr>
          </w:p>
        </w:tc>
      </w:tr>
      <w:tr w:rsidR="00324FC8" w:rsidRPr="00FE4B42" w14:paraId="0686237D" w14:textId="77777777" w:rsidTr="00583B3A">
        <w:trPr>
          <w:trHeight w:val="20"/>
          <w:jc w:val="center"/>
        </w:trPr>
        <w:tc>
          <w:tcPr>
            <w:tcW w:w="1710" w:type="dxa"/>
            <w:tcBorders>
              <w:top w:val="single" w:sz="4" w:space="0" w:color="auto"/>
              <w:bottom w:val="nil"/>
            </w:tcBorders>
            <w:shd w:val="clear" w:color="auto" w:fill="auto"/>
            <w:vAlign w:val="center"/>
          </w:tcPr>
          <w:p w14:paraId="1138795C" w14:textId="77777777" w:rsidR="00324FC8" w:rsidRPr="00324FC8" w:rsidRDefault="00324FC8" w:rsidP="001C586A">
            <w:pPr>
              <w:pStyle w:val="TableText"/>
            </w:pPr>
            <w:r w:rsidRPr="00324FC8">
              <w:t>Fine particulate matter (PM</w:t>
            </w:r>
            <w:r w:rsidRPr="00324FC8">
              <w:rPr>
                <w:vertAlign w:val="subscript"/>
              </w:rPr>
              <w:t>2.5</w:t>
            </w:r>
            <w:r w:rsidRPr="00324FC8">
              <w:t>)</w:t>
            </w:r>
          </w:p>
        </w:tc>
        <w:tc>
          <w:tcPr>
            <w:tcW w:w="1974" w:type="dxa"/>
            <w:shd w:val="clear" w:color="auto" w:fill="auto"/>
            <w:vAlign w:val="center"/>
          </w:tcPr>
          <w:p w14:paraId="3E948155" w14:textId="77777777" w:rsidR="00324FC8" w:rsidRPr="00324FC8" w:rsidRDefault="00324FC8" w:rsidP="001C586A">
            <w:pPr>
              <w:pStyle w:val="TableText"/>
            </w:pPr>
            <w:r w:rsidRPr="00324FC8">
              <w:t>Annual arithmetic mean</w:t>
            </w:r>
          </w:p>
        </w:tc>
        <w:tc>
          <w:tcPr>
            <w:tcW w:w="2034" w:type="dxa"/>
            <w:shd w:val="clear" w:color="auto" w:fill="auto"/>
            <w:vAlign w:val="center"/>
          </w:tcPr>
          <w:p w14:paraId="62327B95" w14:textId="77777777" w:rsidR="00324FC8" w:rsidRPr="00324FC8" w:rsidRDefault="00324FC8" w:rsidP="001C586A">
            <w:pPr>
              <w:pStyle w:val="TableText"/>
            </w:pPr>
            <w:r w:rsidRPr="00324FC8">
              <w:t xml:space="preserve">12 </w:t>
            </w:r>
            <w:proofErr w:type="spellStart"/>
            <w:r w:rsidRPr="00324FC8">
              <w:t>μg</w:t>
            </w:r>
            <w:proofErr w:type="spellEnd"/>
            <w:r w:rsidRPr="00324FC8">
              <w:t>/m</w:t>
            </w:r>
            <w:r w:rsidRPr="00324FC8">
              <w:rPr>
                <w:vertAlign w:val="superscript"/>
              </w:rPr>
              <w:t>3</w:t>
            </w:r>
          </w:p>
        </w:tc>
        <w:tc>
          <w:tcPr>
            <w:tcW w:w="2058" w:type="dxa"/>
            <w:shd w:val="clear" w:color="auto" w:fill="auto"/>
            <w:vAlign w:val="center"/>
          </w:tcPr>
          <w:p w14:paraId="45BBFDF0" w14:textId="77777777" w:rsidR="00324FC8" w:rsidRPr="00324FC8" w:rsidRDefault="00324FC8" w:rsidP="001C586A">
            <w:pPr>
              <w:pStyle w:val="TableText"/>
            </w:pPr>
            <w:r w:rsidRPr="00324FC8">
              <w:t xml:space="preserve">12.0 </w:t>
            </w:r>
            <w:proofErr w:type="spellStart"/>
            <w:r w:rsidRPr="00324FC8">
              <w:t>μg</w:t>
            </w:r>
            <w:proofErr w:type="spellEnd"/>
            <w:r w:rsidRPr="00324FC8">
              <w:t>/m</w:t>
            </w:r>
            <w:r w:rsidRPr="00324FC8">
              <w:rPr>
                <w:vertAlign w:val="superscript"/>
              </w:rPr>
              <w:t>3</w:t>
            </w:r>
          </w:p>
        </w:tc>
        <w:tc>
          <w:tcPr>
            <w:tcW w:w="2304" w:type="dxa"/>
            <w:shd w:val="clear" w:color="auto" w:fill="auto"/>
            <w:vAlign w:val="center"/>
          </w:tcPr>
          <w:p w14:paraId="5809AEDC" w14:textId="77777777" w:rsidR="00324FC8" w:rsidRPr="00324FC8" w:rsidRDefault="00324FC8" w:rsidP="001C586A">
            <w:pPr>
              <w:pStyle w:val="TableText"/>
            </w:pPr>
            <w:r w:rsidRPr="00324FC8">
              <w:t xml:space="preserve">15.0 </w:t>
            </w:r>
            <w:proofErr w:type="spellStart"/>
            <w:r w:rsidRPr="00324FC8">
              <w:t>μg</w:t>
            </w:r>
            <w:proofErr w:type="spellEnd"/>
            <w:r w:rsidRPr="00324FC8">
              <w:t>/m</w:t>
            </w:r>
            <w:r w:rsidRPr="00324FC8">
              <w:rPr>
                <w:vertAlign w:val="superscript"/>
              </w:rPr>
              <w:t>3</w:t>
            </w:r>
          </w:p>
        </w:tc>
      </w:tr>
      <w:tr w:rsidR="00324FC8" w:rsidRPr="00FE4B42" w14:paraId="0587D350" w14:textId="77777777" w:rsidTr="00583B3A">
        <w:trPr>
          <w:trHeight w:val="20"/>
          <w:jc w:val="center"/>
        </w:trPr>
        <w:tc>
          <w:tcPr>
            <w:tcW w:w="1710" w:type="dxa"/>
            <w:tcBorders>
              <w:top w:val="nil"/>
              <w:bottom w:val="single" w:sz="4" w:space="0" w:color="auto"/>
            </w:tcBorders>
            <w:shd w:val="clear" w:color="auto" w:fill="auto"/>
            <w:vAlign w:val="center"/>
          </w:tcPr>
          <w:p w14:paraId="630C25A9" w14:textId="77777777" w:rsidR="00324FC8" w:rsidRPr="00324FC8" w:rsidRDefault="00324FC8" w:rsidP="001C586A">
            <w:pPr>
              <w:pStyle w:val="TableText"/>
            </w:pPr>
          </w:p>
        </w:tc>
        <w:tc>
          <w:tcPr>
            <w:tcW w:w="1974" w:type="dxa"/>
            <w:shd w:val="clear" w:color="auto" w:fill="auto"/>
            <w:vAlign w:val="center"/>
          </w:tcPr>
          <w:p w14:paraId="640DA786" w14:textId="77777777" w:rsidR="00324FC8" w:rsidRPr="00324FC8" w:rsidRDefault="00324FC8" w:rsidP="001C586A">
            <w:pPr>
              <w:pStyle w:val="TableText"/>
            </w:pPr>
            <w:r w:rsidRPr="00324FC8">
              <w:t>24-hour</w:t>
            </w:r>
          </w:p>
        </w:tc>
        <w:tc>
          <w:tcPr>
            <w:tcW w:w="2034" w:type="dxa"/>
            <w:shd w:val="clear" w:color="auto" w:fill="auto"/>
            <w:vAlign w:val="center"/>
          </w:tcPr>
          <w:p w14:paraId="7AE0A56E" w14:textId="77777777" w:rsidR="00324FC8" w:rsidRPr="00324FC8" w:rsidRDefault="00324FC8" w:rsidP="001C586A">
            <w:pPr>
              <w:pStyle w:val="TableText"/>
            </w:pPr>
            <w:r w:rsidRPr="00324FC8">
              <w:t>—</w:t>
            </w:r>
          </w:p>
        </w:tc>
        <w:tc>
          <w:tcPr>
            <w:tcW w:w="2058" w:type="dxa"/>
            <w:shd w:val="clear" w:color="auto" w:fill="auto"/>
            <w:vAlign w:val="center"/>
          </w:tcPr>
          <w:p w14:paraId="1737606E" w14:textId="77777777" w:rsidR="00324FC8" w:rsidRPr="00324FC8" w:rsidRDefault="00324FC8" w:rsidP="001C586A">
            <w:pPr>
              <w:pStyle w:val="TableText"/>
            </w:pPr>
            <w:r w:rsidRPr="00324FC8">
              <w:t xml:space="preserve">35 </w:t>
            </w:r>
            <w:proofErr w:type="spellStart"/>
            <w:r w:rsidRPr="00324FC8">
              <w:t>μg</w:t>
            </w:r>
            <w:proofErr w:type="spellEnd"/>
            <w:r w:rsidRPr="00324FC8">
              <w:t>/m</w:t>
            </w:r>
            <w:r w:rsidRPr="00324FC8">
              <w:rPr>
                <w:vertAlign w:val="superscript"/>
              </w:rPr>
              <w:t>3</w:t>
            </w:r>
          </w:p>
        </w:tc>
        <w:tc>
          <w:tcPr>
            <w:tcW w:w="2304" w:type="dxa"/>
            <w:shd w:val="clear" w:color="auto" w:fill="auto"/>
            <w:vAlign w:val="center"/>
          </w:tcPr>
          <w:p w14:paraId="427B0BFD" w14:textId="77777777" w:rsidR="00324FC8" w:rsidRPr="00324FC8" w:rsidRDefault="00324FC8" w:rsidP="001C586A">
            <w:pPr>
              <w:pStyle w:val="TableText"/>
            </w:pPr>
            <w:r w:rsidRPr="00324FC8">
              <w:t>Same as primary standard</w:t>
            </w:r>
          </w:p>
        </w:tc>
      </w:tr>
      <w:tr w:rsidR="00324FC8" w:rsidRPr="00FE4B42" w14:paraId="72FAEF21" w14:textId="77777777" w:rsidTr="00583B3A">
        <w:trPr>
          <w:trHeight w:val="20"/>
          <w:jc w:val="center"/>
        </w:trPr>
        <w:tc>
          <w:tcPr>
            <w:tcW w:w="1710" w:type="dxa"/>
            <w:tcBorders>
              <w:top w:val="single" w:sz="4" w:space="0" w:color="auto"/>
              <w:bottom w:val="nil"/>
            </w:tcBorders>
            <w:shd w:val="clear" w:color="auto" w:fill="auto"/>
            <w:vAlign w:val="center"/>
          </w:tcPr>
          <w:p w14:paraId="46C254D7" w14:textId="70994DEB" w:rsidR="00324FC8" w:rsidRPr="00324FC8" w:rsidRDefault="00324FC8" w:rsidP="001C586A">
            <w:pPr>
              <w:pStyle w:val="TableText"/>
            </w:pPr>
          </w:p>
        </w:tc>
        <w:tc>
          <w:tcPr>
            <w:tcW w:w="1974" w:type="dxa"/>
            <w:shd w:val="clear" w:color="auto" w:fill="auto"/>
            <w:vAlign w:val="center"/>
          </w:tcPr>
          <w:p w14:paraId="283D9F76" w14:textId="77777777" w:rsidR="00324FC8" w:rsidRPr="00324FC8" w:rsidRDefault="00324FC8" w:rsidP="001C586A">
            <w:pPr>
              <w:pStyle w:val="TableText"/>
            </w:pPr>
            <w:r w:rsidRPr="00324FC8">
              <w:t>Calendar quarter</w:t>
            </w:r>
          </w:p>
        </w:tc>
        <w:tc>
          <w:tcPr>
            <w:tcW w:w="2034" w:type="dxa"/>
            <w:shd w:val="clear" w:color="auto" w:fill="auto"/>
            <w:vAlign w:val="center"/>
          </w:tcPr>
          <w:p w14:paraId="5F1B4629" w14:textId="77777777" w:rsidR="00324FC8" w:rsidRPr="00324FC8" w:rsidRDefault="00324FC8" w:rsidP="001C586A">
            <w:pPr>
              <w:pStyle w:val="TableText"/>
            </w:pPr>
            <w:r w:rsidRPr="00324FC8">
              <w:t>—</w:t>
            </w:r>
          </w:p>
        </w:tc>
        <w:tc>
          <w:tcPr>
            <w:tcW w:w="2058" w:type="dxa"/>
            <w:shd w:val="clear" w:color="auto" w:fill="auto"/>
            <w:vAlign w:val="center"/>
          </w:tcPr>
          <w:p w14:paraId="345F79FF" w14:textId="77777777" w:rsidR="00324FC8" w:rsidRPr="00324FC8" w:rsidRDefault="00324FC8" w:rsidP="001C586A">
            <w:pPr>
              <w:pStyle w:val="TableText"/>
            </w:pPr>
            <w:r w:rsidRPr="00324FC8">
              <w:t xml:space="preserve">1.5 </w:t>
            </w:r>
            <w:proofErr w:type="spellStart"/>
            <w:r w:rsidRPr="00324FC8">
              <w:t>μg</w:t>
            </w:r>
            <w:proofErr w:type="spellEnd"/>
            <w:r w:rsidRPr="00324FC8">
              <w:t>/m</w:t>
            </w:r>
            <w:r w:rsidRPr="00324FC8">
              <w:rPr>
                <w:vertAlign w:val="superscript"/>
              </w:rPr>
              <w:t>3</w:t>
            </w:r>
          </w:p>
        </w:tc>
        <w:tc>
          <w:tcPr>
            <w:tcW w:w="2304" w:type="dxa"/>
            <w:shd w:val="clear" w:color="auto" w:fill="auto"/>
            <w:vAlign w:val="center"/>
          </w:tcPr>
          <w:p w14:paraId="4DD80314" w14:textId="77777777" w:rsidR="00324FC8" w:rsidRPr="00324FC8" w:rsidRDefault="00324FC8" w:rsidP="001C586A">
            <w:pPr>
              <w:pStyle w:val="TableText"/>
            </w:pPr>
            <w:r w:rsidRPr="00324FC8">
              <w:t>Same as primary standard</w:t>
            </w:r>
          </w:p>
        </w:tc>
      </w:tr>
      <w:tr w:rsidR="00324FC8" w:rsidRPr="00FE4B42" w14:paraId="5204803E" w14:textId="77777777" w:rsidTr="00583B3A">
        <w:trPr>
          <w:trHeight w:val="20"/>
          <w:jc w:val="center"/>
        </w:trPr>
        <w:tc>
          <w:tcPr>
            <w:tcW w:w="1710" w:type="dxa"/>
            <w:tcBorders>
              <w:top w:val="nil"/>
              <w:bottom w:val="nil"/>
            </w:tcBorders>
            <w:shd w:val="clear" w:color="auto" w:fill="auto"/>
            <w:vAlign w:val="center"/>
          </w:tcPr>
          <w:p w14:paraId="1FB4AF2A" w14:textId="444F2183" w:rsidR="00324FC8" w:rsidRPr="00324FC8" w:rsidRDefault="00583B3A" w:rsidP="001C586A">
            <w:pPr>
              <w:pStyle w:val="TableText"/>
            </w:pPr>
            <w:r w:rsidRPr="00324FC8">
              <w:t xml:space="preserve">Lead </w:t>
            </w:r>
            <w:r w:rsidRPr="00324FC8">
              <w:rPr>
                <w:vertAlign w:val="superscript"/>
              </w:rPr>
              <w:t>f</w:t>
            </w:r>
          </w:p>
        </w:tc>
        <w:tc>
          <w:tcPr>
            <w:tcW w:w="1974" w:type="dxa"/>
            <w:shd w:val="clear" w:color="auto" w:fill="auto"/>
            <w:vAlign w:val="center"/>
          </w:tcPr>
          <w:p w14:paraId="71B0A091" w14:textId="77777777" w:rsidR="00324FC8" w:rsidRPr="00324FC8" w:rsidRDefault="00324FC8" w:rsidP="001C586A">
            <w:pPr>
              <w:pStyle w:val="TableText"/>
            </w:pPr>
            <w:r w:rsidRPr="00324FC8">
              <w:t>30-Day average</w:t>
            </w:r>
          </w:p>
        </w:tc>
        <w:tc>
          <w:tcPr>
            <w:tcW w:w="2034" w:type="dxa"/>
            <w:shd w:val="clear" w:color="auto" w:fill="auto"/>
            <w:vAlign w:val="center"/>
          </w:tcPr>
          <w:p w14:paraId="200CD15D" w14:textId="77777777" w:rsidR="00324FC8" w:rsidRPr="00324FC8" w:rsidRDefault="00324FC8" w:rsidP="001C586A">
            <w:pPr>
              <w:pStyle w:val="TableText"/>
            </w:pPr>
            <w:r w:rsidRPr="00324FC8">
              <w:t xml:space="preserve">1.5 </w:t>
            </w:r>
            <w:proofErr w:type="spellStart"/>
            <w:r w:rsidRPr="00324FC8">
              <w:t>μg</w:t>
            </w:r>
            <w:proofErr w:type="spellEnd"/>
            <w:r w:rsidRPr="00324FC8">
              <w:t>/m</w:t>
            </w:r>
            <w:r w:rsidRPr="00324FC8">
              <w:rPr>
                <w:vertAlign w:val="superscript"/>
              </w:rPr>
              <w:t>3</w:t>
            </w:r>
          </w:p>
        </w:tc>
        <w:tc>
          <w:tcPr>
            <w:tcW w:w="2058" w:type="dxa"/>
            <w:shd w:val="clear" w:color="auto" w:fill="auto"/>
            <w:vAlign w:val="center"/>
          </w:tcPr>
          <w:p w14:paraId="26C8ABD6" w14:textId="77777777" w:rsidR="00324FC8" w:rsidRPr="00324FC8" w:rsidRDefault="00324FC8" w:rsidP="001C586A">
            <w:pPr>
              <w:pStyle w:val="TableText"/>
            </w:pPr>
            <w:r w:rsidRPr="00324FC8">
              <w:t>—</w:t>
            </w:r>
          </w:p>
        </w:tc>
        <w:tc>
          <w:tcPr>
            <w:tcW w:w="2304" w:type="dxa"/>
            <w:shd w:val="clear" w:color="auto" w:fill="auto"/>
            <w:vAlign w:val="center"/>
          </w:tcPr>
          <w:p w14:paraId="7B74FC6B" w14:textId="77777777" w:rsidR="00324FC8" w:rsidRPr="00324FC8" w:rsidRDefault="00324FC8" w:rsidP="001C586A">
            <w:pPr>
              <w:pStyle w:val="TableText"/>
            </w:pPr>
            <w:r w:rsidRPr="00324FC8">
              <w:t>—</w:t>
            </w:r>
          </w:p>
        </w:tc>
      </w:tr>
      <w:tr w:rsidR="00324FC8" w:rsidRPr="00FE4B42" w14:paraId="0C6808F6" w14:textId="77777777" w:rsidTr="00583B3A">
        <w:trPr>
          <w:trHeight w:val="20"/>
          <w:jc w:val="center"/>
        </w:trPr>
        <w:tc>
          <w:tcPr>
            <w:tcW w:w="1710" w:type="dxa"/>
            <w:tcBorders>
              <w:top w:val="nil"/>
            </w:tcBorders>
            <w:shd w:val="clear" w:color="auto" w:fill="auto"/>
            <w:vAlign w:val="center"/>
          </w:tcPr>
          <w:p w14:paraId="11B8AF9B" w14:textId="77777777" w:rsidR="00324FC8" w:rsidRPr="00324FC8" w:rsidRDefault="00324FC8" w:rsidP="001C586A">
            <w:pPr>
              <w:pStyle w:val="TableText"/>
            </w:pPr>
          </w:p>
        </w:tc>
        <w:tc>
          <w:tcPr>
            <w:tcW w:w="1974" w:type="dxa"/>
            <w:shd w:val="clear" w:color="auto" w:fill="auto"/>
            <w:vAlign w:val="center"/>
          </w:tcPr>
          <w:p w14:paraId="7535820E" w14:textId="77777777" w:rsidR="00324FC8" w:rsidRPr="00324FC8" w:rsidRDefault="00324FC8" w:rsidP="001C586A">
            <w:pPr>
              <w:pStyle w:val="TableText"/>
            </w:pPr>
            <w:r w:rsidRPr="00324FC8">
              <w:t>Rolling 3-Month Average</w:t>
            </w:r>
          </w:p>
        </w:tc>
        <w:tc>
          <w:tcPr>
            <w:tcW w:w="2034" w:type="dxa"/>
            <w:shd w:val="clear" w:color="auto" w:fill="auto"/>
            <w:vAlign w:val="center"/>
          </w:tcPr>
          <w:p w14:paraId="20CB4E7F" w14:textId="77777777" w:rsidR="00324FC8" w:rsidRPr="00324FC8" w:rsidRDefault="00324FC8" w:rsidP="001C586A">
            <w:pPr>
              <w:pStyle w:val="TableText"/>
            </w:pPr>
            <w:r w:rsidRPr="00324FC8">
              <w:t>–</w:t>
            </w:r>
          </w:p>
        </w:tc>
        <w:tc>
          <w:tcPr>
            <w:tcW w:w="2058" w:type="dxa"/>
            <w:tcBorders>
              <w:bottom w:val="single" w:sz="4" w:space="0" w:color="auto"/>
            </w:tcBorders>
            <w:shd w:val="clear" w:color="auto" w:fill="auto"/>
            <w:vAlign w:val="center"/>
          </w:tcPr>
          <w:p w14:paraId="328F17E8" w14:textId="77777777" w:rsidR="00324FC8" w:rsidRPr="00324FC8" w:rsidRDefault="00324FC8" w:rsidP="001C586A">
            <w:pPr>
              <w:pStyle w:val="TableText"/>
            </w:pPr>
            <w:r w:rsidRPr="00324FC8">
              <w:t xml:space="preserve">0.15 </w:t>
            </w:r>
            <w:proofErr w:type="spellStart"/>
            <w:r w:rsidRPr="00324FC8">
              <w:t>μg</w:t>
            </w:r>
            <w:proofErr w:type="spellEnd"/>
            <w:r w:rsidRPr="00324FC8">
              <w:t>/m</w:t>
            </w:r>
            <w:r w:rsidRPr="00324FC8">
              <w:rPr>
                <w:vertAlign w:val="superscript"/>
              </w:rPr>
              <w:t>3</w:t>
            </w:r>
          </w:p>
        </w:tc>
        <w:tc>
          <w:tcPr>
            <w:tcW w:w="2304" w:type="dxa"/>
            <w:tcBorders>
              <w:bottom w:val="single" w:sz="4" w:space="0" w:color="auto"/>
            </w:tcBorders>
            <w:shd w:val="clear" w:color="auto" w:fill="auto"/>
            <w:vAlign w:val="center"/>
          </w:tcPr>
          <w:p w14:paraId="3694FAD8" w14:textId="77777777" w:rsidR="00324FC8" w:rsidRPr="00324FC8" w:rsidRDefault="00324FC8" w:rsidP="001C586A">
            <w:pPr>
              <w:pStyle w:val="TableText"/>
            </w:pPr>
            <w:r w:rsidRPr="00324FC8">
              <w:t>Same as primary standard</w:t>
            </w:r>
          </w:p>
        </w:tc>
      </w:tr>
      <w:tr w:rsidR="00324FC8" w:rsidRPr="00FE4B42" w14:paraId="010D3E46" w14:textId="77777777" w:rsidTr="00583B3A">
        <w:trPr>
          <w:trHeight w:val="20"/>
          <w:jc w:val="center"/>
        </w:trPr>
        <w:tc>
          <w:tcPr>
            <w:tcW w:w="1710" w:type="dxa"/>
            <w:shd w:val="clear" w:color="auto" w:fill="auto"/>
            <w:vAlign w:val="center"/>
          </w:tcPr>
          <w:p w14:paraId="0E2C8CB4" w14:textId="77777777" w:rsidR="00324FC8" w:rsidRPr="00324FC8" w:rsidRDefault="00324FC8" w:rsidP="001C586A">
            <w:pPr>
              <w:pStyle w:val="TableText"/>
            </w:pPr>
            <w:r w:rsidRPr="00324FC8">
              <w:t>Hydrogen sulfide</w:t>
            </w:r>
          </w:p>
        </w:tc>
        <w:tc>
          <w:tcPr>
            <w:tcW w:w="1974" w:type="dxa"/>
            <w:shd w:val="clear" w:color="auto" w:fill="auto"/>
            <w:vAlign w:val="center"/>
          </w:tcPr>
          <w:p w14:paraId="5E1E85DE" w14:textId="77777777" w:rsidR="00324FC8" w:rsidRPr="00324FC8" w:rsidRDefault="00324FC8" w:rsidP="001C586A">
            <w:pPr>
              <w:pStyle w:val="TableText"/>
            </w:pPr>
            <w:r w:rsidRPr="00324FC8">
              <w:t>1-hour</w:t>
            </w:r>
          </w:p>
        </w:tc>
        <w:tc>
          <w:tcPr>
            <w:tcW w:w="2034" w:type="dxa"/>
            <w:shd w:val="clear" w:color="auto" w:fill="auto"/>
            <w:vAlign w:val="center"/>
          </w:tcPr>
          <w:p w14:paraId="5402837E" w14:textId="77777777" w:rsidR="00324FC8" w:rsidRPr="00324FC8" w:rsidRDefault="00324FC8" w:rsidP="001C586A">
            <w:pPr>
              <w:pStyle w:val="TableText"/>
            </w:pPr>
            <w:r w:rsidRPr="00324FC8">
              <w:t xml:space="preserve">0.03 ppm (42 </w:t>
            </w:r>
            <w:proofErr w:type="spellStart"/>
            <w:r w:rsidRPr="00324FC8">
              <w:t>μg</w:t>
            </w:r>
            <w:proofErr w:type="spellEnd"/>
            <w:r w:rsidRPr="00324FC8">
              <w:t>/m</w:t>
            </w:r>
            <w:r w:rsidRPr="00324FC8">
              <w:rPr>
                <w:vertAlign w:val="superscript"/>
              </w:rPr>
              <w:t>3</w:t>
            </w:r>
            <w:r w:rsidRPr="00324FC8">
              <w:t>)</w:t>
            </w:r>
          </w:p>
        </w:tc>
        <w:tc>
          <w:tcPr>
            <w:tcW w:w="4362" w:type="dxa"/>
            <w:gridSpan w:val="2"/>
            <w:tcBorders>
              <w:top w:val="single" w:sz="4" w:space="0" w:color="auto"/>
              <w:bottom w:val="nil"/>
            </w:tcBorders>
            <w:shd w:val="clear" w:color="auto" w:fill="auto"/>
            <w:vAlign w:val="center"/>
          </w:tcPr>
          <w:p w14:paraId="11F1B72F" w14:textId="5ACC782A" w:rsidR="00324FC8" w:rsidRPr="00324FC8" w:rsidRDefault="00324FC8" w:rsidP="00583B3A">
            <w:pPr>
              <w:pStyle w:val="TableText"/>
            </w:pPr>
          </w:p>
        </w:tc>
      </w:tr>
      <w:tr w:rsidR="00324FC8" w:rsidRPr="00FE4B42" w14:paraId="1F39F2CF" w14:textId="77777777" w:rsidTr="00583B3A">
        <w:trPr>
          <w:trHeight w:val="20"/>
          <w:jc w:val="center"/>
        </w:trPr>
        <w:tc>
          <w:tcPr>
            <w:tcW w:w="1710" w:type="dxa"/>
            <w:shd w:val="clear" w:color="auto" w:fill="auto"/>
            <w:vAlign w:val="center"/>
          </w:tcPr>
          <w:p w14:paraId="741ABFBE" w14:textId="77777777" w:rsidR="00324FC8" w:rsidRPr="00324FC8" w:rsidRDefault="00324FC8" w:rsidP="001C586A">
            <w:pPr>
              <w:pStyle w:val="TableText"/>
            </w:pPr>
            <w:r w:rsidRPr="00324FC8">
              <w:t>Sulfates</w:t>
            </w:r>
          </w:p>
        </w:tc>
        <w:tc>
          <w:tcPr>
            <w:tcW w:w="1974" w:type="dxa"/>
            <w:shd w:val="clear" w:color="auto" w:fill="auto"/>
            <w:vAlign w:val="center"/>
          </w:tcPr>
          <w:p w14:paraId="413AE4B2" w14:textId="77777777" w:rsidR="00324FC8" w:rsidRPr="00324FC8" w:rsidRDefault="00324FC8" w:rsidP="001C586A">
            <w:pPr>
              <w:pStyle w:val="TableText"/>
            </w:pPr>
            <w:r w:rsidRPr="00324FC8">
              <w:t>24-hour</w:t>
            </w:r>
          </w:p>
        </w:tc>
        <w:tc>
          <w:tcPr>
            <w:tcW w:w="2034" w:type="dxa"/>
            <w:shd w:val="clear" w:color="auto" w:fill="auto"/>
            <w:vAlign w:val="center"/>
          </w:tcPr>
          <w:p w14:paraId="0B644BAC" w14:textId="77777777" w:rsidR="00324FC8" w:rsidRPr="00324FC8" w:rsidRDefault="00324FC8" w:rsidP="001C586A">
            <w:pPr>
              <w:pStyle w:val="TableText"/>
            </w:pPr>
            <w:r w:rsidRPr="00324FC8">
              <w:t xml:space="preserve">25 </w:t>
            </w:r>
            <w:proofErr w:type="spellStart"/>
            <w:r w:rsidRPr="00324FC8">
              <w:t>μg</w:t>
            </w:r>
            <w:proofErr w:type="spellEnd"/>
            <w:r w:rsidRPr="00324FC8">
              <w:t>/m</w:t>
            </w:r>
            <w:r w:rsidRPr="00324FC8">
              <w:rPr>
                <w:vertAlign w:val="superscript"/>
              </w:rPr>
              <w:t>3</w:t>
            </w:r>
          </w:p>
        </w:tc>
        <w:tc>
          <w:tcPr>
            <w:tcW w:w="4362" w:type="dxa"/>
            <w:gridSpan w:val="2"/>
            <w:tcBorders>
              <w:top w:val="nil"/>
              <w:bottom w:val="nil"/>
            </w:tcBorders>
            <w:shd w:val="clear" w:color="auto" w:fill="auto"/>
            <w:vAlign w:val="bottom"/>
          </w:tcPr>
          <w:p w14:paraId="21B7B225" w14:textId="0C86B1A9" w:rsidR="00324FC8" w:rsidRPr="00324FC8" w:rsidRDefault="00583B3A" w:rsidP="00583B3A">
            <w:pPr>
              <w:pStyle w:val="TableText"/>
            </w:pPr>
            <w:r w:rsidRPr="00324FC8">
              <w:t>No</w:t>
            </w:r>
          </w:p>
        </w:tc>
      </w:tr>
      <w:tr w:rsidR="00324FC8" w:rsidRPr="00FE4B42" w14:paraId="1C79AA37" w14:textId="77777777" w:rsidTr="00583B3A">
        <w:trPr>
          <w:trHeight w:val="20"/>
          <w:jc w:val="center"/>
        </w:trPr>
        <w:tc>
          <w:tcPr>
            <w:tcW w:w="1710" w:type="dxa"/>
            <w:shd w:val="clear" w:color="auto" w:fill="auto"/>
            <w:vAlign w:val="center"/>
          </w:tcPr>
          <w:p w14:paraId="0D24BFFA" w14:textId="77777777" w:rsidR="00324FC8" w:rsidRPr="00324FC8" w:rsidRDefault="00324FC8" w:rsidP="001C586A">
            <w:pPr>
              <w:pStyle w:val="TableText"/>
            </w:pPr>
            <w:r w:rsidRPr="00324FC8">
              <w:t>Vinyl chloride</w:t>
            </w:r>
            <w:r w:rsidRPr="00324FC8">
              <w:rPr>
                <w:vertAlign w:val="superscript"/>
              </w:rPr>
              <w:t xml:space="preserve"> f</w:t>
            </w:r>
          </w:p>
        </w:tc>
        <w:tc>
          <w:tcPr>
            <w:tcW w:w="1974" w:type="dxa"/>
            <w:shd w:val="clear" w:color="auto" w:fill="auto"/>
            <w:vAlign w:val="center"/>
          </w:tcPr>
          <w:p w14:paraId="55E585F4" w14:textId="77777777" w:rsidR="00324FC8" w:rsidRPr="00324FC8" w:rsidRDefault="00324FC8" w:rsidP="001C586A">
            <w:pPr>
              <w:pStyle w:val="TableText"/>
            </w:pPr>
            <w:r w:rsidRPr="00324FC8">
              <w:t>24-hour</w:t>
            </w:r>
          </w:p>
        </w:tc>
        <w:tc>
          <w:tcPr>
            <w:tcW w:w="2034" w:type="dxa"/>
            <w:shd w:val="clear" w:color="auto" w:fill="auto"/>
            <w:vAlign w:val="center"/>
          </w:tcPr>
          <w:p w14:paraId="6150BAF4" w14:textId="77777777" w:rsidR="00324FC8" w:rsidRPr="00324FC8" w:rsidRDefault="00324FC8" w:rsidP="001C586A">
            <w:pPr>
              <w:pStyle w:val="TableText"/>
            </w:pPr>
            <w:r w:rsidRPr="00324FC8">
              <w:t xml:space="preserve">0.01 ppm (26 </w:t>
            </w:r>
            <w:proofErr w:type="spellStart"/>
            <w:r w:rsidRPr="00324FC8">
              <w:t>μg</w:t>
            </w:r>
            <w:proofErr w:type="spellEnd"/>
            <w:r w:rsidRPr="00324FC8">
              <w:t>/m</w:t>
            </w:r>
            <w:r w:rsidRPr="00324FC8">
              <w:rPr>
                <w:vertAlign w:val="superscript"/>
              </w:rPr>
              <w:t>3</w:t>
            </w:r>
            <w:r w:rsidRPr="00324FC8">
              <w:t>)</w:t>
            </w:r>
          </w:p>
        </w:tc>
        <w:tc>
          <w:tcPr>
            <w:tcW w:w="4362" w:type="dxa"/>
            <w:gridSpan w:val="2"/>
            <w:tcBorders>
              <w:top w:val="nil"/>
              <w:bottom w:val="nil"/>
            </w:tcBorders>
            <w:shd w:val="clear" w:color="auto" w:fill="auto"/>
            <w:vAlign w:val="bottom"/>
          </w:tcPr>
          <w:p w14:paraId="71211042" w14:textId="265A5226" w:rsidR="00324FC8" w:rsidRPr="00324FC8" w:rsidRDefault="00583B3A" w:rsidP="00583B3A">
            <w:pPr>
              <w:pStyle w:val="TableText"/>
            </w:pPr>
            <w:r w:rsidRPr="00324FC8">
              <w:t>national</w:t>
            </w:r>
          </w:p>
        </w:tc>
      </w:tr>
      <w:tr w:rsidR="00324FC8" w:rsidRPr="00FE4B42" w14:paraId="3330F012" w14:textId="77777777" w:rsidTr="00583B3A">
        <w:trPr>
          <w:trHeight w:val="20"/>
          <w:jc w:val="center"/>
        </w:trPr>
        <w:tc>
          <w:tcPr>
            <w:tcW w:w="1710" w:type="dxa"/>
            <w:tcBorders>
              <w:bottom w:val="single" w:sz="4" w:space="0" w:color="auto"/>
            </w:tcBorders>
            <w:shd w:val="clear" w:color="auto" w:fill="auto"/>
            <w:vAlign w:val="center"/>
          </w:tcPr>
          <w:p w14:paraId="0283CBBD" w14:textId="77777777" w:rsidR="00324FC8" w:rsidRPr="00324FC8" w:rsidRDefault="00324FC8" w:rsidP="001C586A">
            <w:pPr>
              <w:pStyle w:val="TableText"/>
            </w:pPr>
            <w:r w:rsidRPr="00324FC8">
              <w:t>Visibility-reducing particulate matter</w:t>
            </w:r>
          </w:p>
        </w:tc>
        <w:tc>
          <w:tcPr>
            <w:tcW w:w="1974" w:type="dxa"/>
            <w:tcBorders>
              <w:bottom w:val="single" w:sz="4" w:space="0" w:color="auto"/>
            </w:tcBorders>
            <w:shd w:val="clear" w:color="auto" w:fill="auto"/>
          </w:tcPr>
          <w:p w14:paraId="152BB747" w14:textId="77777777" w:rsidR="00324FC8" w:rsidRPr="00324FC8" w:rsidRDefault="00324FC8" w:rsidP="001C586A">
            <w:pPr>
              <w:pStyle w:val="TableText"/>
            </w:pPr>
            <w:r w:rsidRPr="00324FC8">
              <w:t>8-hour</w:t>
            </w:r>
          </w:p>
        </w:tc>
        <w:tc>
          <w:tcPr>
            <w:tcW w:w="2034" w:type="dxa"/>
            <w:tcBorders>
              <w:bottom w:val="single" w:sz="4" w:space="0" w:color="auto"/>
            </w:tcBorders>
            <w:shd w:val="clear" w:color="auto" w:fill="auto"/>
            <w:vAlign w:val="center"/>
          </w:tcPr>
          <w:p w14:paraId="4922D950" w14:textId="77777777" w:rsidR="00324FC8" w:rsidRPr="00324FC8" w:rsidRDefault="00324FC8" w:rsidP="001C586A">
            <w:pPr>
              <w:pStyle w:val="TableText"/>
            </w:pPr>
            <w:r w:rsidRPr="00324FC8">
              <w:t>Extinction of 0.23 per km</w:t>
            </w:r>
          </w:p>
        </w:tc>
        <w:tc>
          <w:tcPr>
            <w:tcW w:w="4362" w:type="dxa"/>
            <w:gridSpan w:val="2"/>
            <w:tcBorders>
              <w:top w:val="nil"/>
              <w:bottom w:val="single" w:sz="4" w:space="0" w:color="auto"/>
            </w:tcBorders>
            <w:shd w:val="clear" w:color="auto" w:fill="auto"/>
          </w:tcPr>
          <w:p w14:paraId="58F7BD95" w14:textId="712AD778" w:rsidR="00324FC8" w:rsidRPr="00324FC8" w:rsidRDefault="00583B3A" w:rsidP="00583B3A">
            <w:pPr>
              <w:pStyle w:val="TableText"/>
            </w:pPr>
            <w:r w:rsidRPr="00324FC8">
              <w:t>standards</w:t>
            </w:r>
          </w:p>
        </w:tc>
      </w:tr>
    </w:tbl>
    <w:p w14:paraId="3A2B19CE" w14:textId="77777777" w:rsidR="00583B3A" w:rsidRPr="00324FC8" w:rsidRDefault="00583B3A" w:rsidP="008E2ADD">
      <w:pPr>
        <w:pStyle w:val="TableSource"/>
        <w:spacing w:before="40" w:after="40"/>
      </w:pPr>
      <w:r w:rsidRPr="00324FC8">
        <w:t xml:space="preserve">Notes: </w:t>
      </w:r>
      <w:r>
        <w:t xml:space="preserve">CAAQS = California ambient air quality standards; NAAQS = national ambient air quality standards; </w:t>
      </w:r>
      <w:r w:rsidRPr="00324FC8">
        <w:t>µg/m</w:t>
      </w:r>
      <w:r w:rsidRPr="00324FC8">
        <w:rPr>
          <w:vertAlign w:val="superscript"/>
        </w:rPr>
        <w:t>3</w:t>
      </w:r>
      <w:r w:rsidRPr="00324FC8">
        <w:t xml:space="preserve"> = micrograms per cubic meter; km = kilometers; ppb = parts per billion; ppm = parts per million.</w:t>
      </w:r>
    </w:p>
    <w:p w14:paraId="2289BCBE" w14:textId="77777777" w:rsidR="00583B3A" w:rsidRPr="00324FC8" w:rsidRDefault="00583B3A" w:rsidP="008E2ADD">
      <w:pPr>
        <w:pStyle w:val="TableSource"/>
        <w:spacing w:before="40" w:after="40"/>
        <w:ind w:left="360" w:hanging="360"/>
      </w:pPr>
      <w:r w:rsidRPr="00324FC8">
        <w:t>a</w:t>
      </w:r>
      <w:r w:rsidRPr="00324FC8">
        <w:tab/>
        <w:t>California standards for ozone, carbon monoxide, SO</w:t>
      </w:r>
      <w:r w:rsidRPr="00324FC8">
        <w:rPr>
          <w:vertAlign w:val="subscript"/>
        </w:rPr>
        <w:t>2</w:t>
      </w:r>
      <w:r w:rsidRPr="00324FC8">
        <w:t xml:space="preserve"> (1- and 24-hour), NO</w:t>
      </w:r>
      <w:r w:rsidRPr="00324FC8">
        <w:rPr>
          <w:vertAlign w:val="subscript"/>
        </w:rPr>
        <w:t>2</w:t>
      </w:r>
      <w:r w:rsidRPr="00324FC8">
        <w:t>, particulate matter, and visibility-reducing particles are values that are not to be exceeded. All others are not to be equaled or exceeded. California ambient air quality standards are listed in the Table of Standards in Section 70200 of Title 17 of the California Code of Regulations.</w:t>
      </w:r>
    </w:p>
    <w:p w14:paraId="191A94C0" w14:textId="77777777" w:rsidR="00583B3A" w:rsidRPr="00324FC8" w:rsidRDefault="00583B3A" w:rsidP="008E2ADD">
      <w:pPr>
        <w:pStyle w:val="TableSource"/>
        <w:spacing w:before="40" w:after="40"/>
        <w:ind w:left="360" w:hanging="360"/>
      </w:pPr>
      <w:r w:rsidRPr="00324FC8">
        <w:t>b</w:t>
      </w:r>
      <w:r w:rsidRPr="00324FC8">
        <w:tab/>
        <w:t xml:space="preserve">Concentration expressed first in units in which it was promulgated. Equivalent units given in parentheses are based on a reference temperature of 25 degrees Celsius (°C) and a reference pressure of 760 torr. Most measurements of air quality are to be corrected to a reference temperature of 25°C and a reference pressure of 760 torr; ppm in this table refers to ppm by volume, or micromoles of pollutant per mole of gas. </w:t>
      </w:r>
    </w:p>
    <w:p w14:paraId="2BC9476B" w14:textId="77777777" w:rsidR="00583B3A" w:rsidRPr="00324FC8" w:rsidRDefault="00583B3A" w:rsidP="008E2ADD">
      <w:pPr>
        <w:pStyle w:val="TableSource"/>
        <w:spacing w:before="40" w:after="40"/>
        <w:ind w:left="360" w:hanging="360"/>
      </w:pPr>
      <w:r w:rsidRPr="00324FC8">
        <w:t>c</w:t>
      </w:r>
      <w:r w:rsidRPr="00324FC8">
        <w:tab/>
        <w:t>National standards (other than ozone, particulate matter, and those based on annual averages or annual arithmetic means) are not to be exceeded more than once a year. The ozone standard is attained when the fourth highest 8-hour concentration in a year, averaged over three years, is equal to or less than the standard. The PM</w:t>
      </w:r>
      <w:r w:rsidRPr="00324FC8">
        <w:rPr>
          <w:vertAlign w:val="subscript"/>
        </w:rPr>
        <w:t>10</w:t>
      </w:r>
      <w:r w:rsidRPr="00324FC8">
        <w:t xml:space="preserve"> 24-hour standard is attained when the expected number of days per calendar year with a 24-hour average concentration above 150 </w:t>
      </w:r>
      <w:proofErr w:type="spellStart"/>
      <w:r w:rsidRPr="00324FC8">
        <w:t>μg</w:t>
      </w:r>
      <w:proofErr w:type="spellEnd"/>
      <w:r w:rsidRPr="00324FC8">
        <w:t>/m</w:t>
      </w:r>
      <w:r w:rsidRPr="00324FC8">
        <w:rPr>
          <w:vertAlign w:val="superscript"/>
        </w:rPr>
        <w:t>3</w:t>
      </w:r>
      <w:r w:rsidRPr="00324FC8">
        <w:t xml:space="preserve"> is equal to or less than one. The PM</w:t>
      </w:r>
      <w:r w:rsidRPr="00324FC8">
        <w:rPr>
          <w:vertAlign w:val="subscript"/>
        </w:rPr>
        <w:t>2.5</w:t>
      </w:r>
      <w:r w:rsidRPr="00324FC8">
        <w:t xml:space="preserve"> 24-hour standard is attained when 98 percent of the daily concentrations, averaged over three years, are equal to or less than the standard. Contact the U.S. Environmental Protection Agency for further clarification and current federal policies.</w:t>
      </w:r>
    </w:p>
    <w:p w14:paraId="63C59A27" w14:textId="77777777" w:rsidR="00583B3A" w:rsidRPr="00324FC8" w:rsidRDefault="00583B3A" w:rsidP="008E2ADD">
      <w:pPr>
        <w:pStyle w:val="TableSource"/>
        <w:spacing w:before="40" w:after="40"/>
        <w:ind w:left="360" w:hanging="360"/>
      </w:pPr>
      <w:r w:rsidRPr="00324FC8">
        <w:t>d</w:t>
      </w:r>
      <w:r w:rsidRPr="00324FC8">
        <w:tab/>
        <w:t>National primary standards: The levels of air quality necessary, with an adequate margin of safety to protect the public health.</w:t>
      </w:r>
    </w:p>
    <w:p w14:paraId="2EB7B28B" w14:textId="77777777" w:rsidR="00583B3A" w:rsidRPr="00324FC8" w:rsidRDefault="00583B3A" w:rsidP="008E2ADD">
      <w:pPr>
        <w:pStyle w:val="TableSource"/>
        <w:spacing w:before="40" w:after="40"/>
        <w:ind w:left="360" w:hanging="360"/>
      </w:pPr>
      <w:r w:rsidRPr="00324FC8">
        <w:t>e</w:t>
      </w:r>
      <w:r w:rsidRPr="00324FC8">
        <w:tab/>
        <w:t xml:space="preserve">National secondary standards: The levels of air quality necessary to protect the public welfare from any known or anticipated adverse effects of a pollutant. </w:t>
      </w:r>
    </w:p>
    <w:p w14:paraId="5849594F" w14:textId="77777777" w:rsidR="00583B3A" w:rsidRPr="00324FC8" w:rsidRDefault="00583B3A" w:rsidP="008E2ADD">
      <w:pPr>
        <w:pStyle w:val="TableSource"/>
        <w:spacing w:before="40" w:after="40"/>
        <w:ind w:left="360" w:hanging="360"/>
      </w:pPr>
      <w:proofErr w:type="spellStart"/>
      <w:r w:rsidRPr="00324FC8">
        <w:t>f</w:t>
      </w:r>
      <w:proofErr w:type="spellEnd"/>
      <w:r w:rsidRPr="00324FC8">
        <w:tab/>
        <w:t>The California Air Resources Board has identified lead and vinyl chloride as toxic air contaminants with no threshold of exposure for adverse health effects determined. These actions allow for the implementation of control measures at levels below the ambient concentrations specified for these pollutants.</w:t>
      </w:r>
    </w:p>
    <w:p w14:paraId="10F40B3C" w14:textId="77777777" w:rsidR="00583B3A" w:rsidRPr="009A64F2" w:rsidRDefault="00583B3A" w:rsidP="009A64F2">
      <w:pPr>
        <w:pStyle w:val="TableSource"/>
      </w:pPr>
      <w:proofErr w:type="gramStart"/>
      <w:r w:rsidRPr="00324FC8">
        <w:rPr>
          <w:lang w:val="fr-FR"/>
        </w:rPr>
        <w:t>Source:</w:t>
      </w:r>
      <w:proofErr w:type="gramEnd"/>
      <w:r w:rsidRPr="00324FC8">
        <w:rPr>
          <w:lang w:val="fr-FR"/>
        </w:rPr>
        <w:t xml:space="preserve"> </w:t>
      </w:r>
      <w:r w:rsidRPr="00D74BD5">
        <w:rPr>
          <w:lang w:val="fr-FR"/>
        </w:rPr>
        <w:t>C</w:t>
      </w:r>
      <w:r w:rsidRPr="00D74BD5">
        <w:t xml:space="preserve">ARB </w:t>
      </w:r>
      <w:r w:rsidRPr="00D74BD5">
        <w:rPr>
          <w:lang w:val="fr-FR"/>
        </w:rPr>
        <w:t>2016a</w:t>
      </w:r>
    </w:p>
    <w:p w14:paraId="51E3AE22" w14:textId="269C1F0D" w:rsidR="00BE1D26" w:rsidRDefault="00DA4D7B" w:rsidP="00BE1D26">
      <w:pPr>
        <w:pStyle w:val="Figure"/>
      </w:pPr>
      <w:r>
        <w:rPr>
          <w:noProof/>
        </w:rPr>
        <w:lastRenderedPageBreak/>
        <w:drawing>
          <wp:inline distT="0" distB="0" distL="0" distR="0" wp14:anchorId="6598E6CD" wp14:editId="01A505DD">
            <wp:extent cx="6400800" cy="8046720"/>
            <wp:effectExtent l="19050" t="19050" r="1905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10126_01_GIS_052_Air_Basins_and_Districts_TreatableArea.jpg"/>
                    <pic:cNvPicPr/>
                  </pic:nvPicPr>
                  <pic:blipFill>
                    <a:blip r:embed="rId8"/>
                    <a:stretch>
                      <a:fillRect/>
                    </a:stretch>
                  </pic:blipFill>
                  <pic:spPr>
                    <a:xfrm>
                      <a:off x="0" y="0"/>
                      <a:ext cx="6400800" cy="8046720"/>
                    </a:xfrm>
                    <a:prstGeom prst="rect">
                      <a:avLst/>
                    </a:prstGeom>
                    <a:ln>
                      <a:solidFill>
                        <a:schemeClr val="tx1">
                          <a:lumMod val="50000"/>
                          <a:lumOff val="50000"/>
                        </a:schemeClr>
                      </a:solidFill>
                    </a:ln>
                  </pic:spPr>
                </pic:pic>
              </a:graphicData>
            </a:graphic>
          </wp:inline>
        </w:drawing>
      </w:r>
    </w:p>
    <w:p w14:paraId="4E600140" w14:textId="0F73EE8A" w:rsidR="00BE1D26" w:rsidRDefault="00DB1A14" w:rsidP="00BE1D26">
      <w:pPr>
        <w:pStyle w:val="FigureSource"/>
      </w:pPr>
      <w:r w:rsidRPr="00DB1A14">
        <w:t>Source: Data downloaded from CARB in 2018</w:t>
      </w:r>
    </w:p>
    <w:p w14:paraId="5991942B" w14:textId="4F7499B2" w:rsidR="004F7F1C" w:rsidRPr="004F7F1C" w:rsidRDefault="00DA4D7B" w:rsidP="00DA4D7B">
      <w:pPr>
        <w:pStyle w:val="FigureTitle"/>
      </w:pPr>
      <w:bookmarkStart w:id="22" w:name="_Toc23239966"/>
      <w:r>
        <w:t>Figure</w:t>
      </w:r>
      <w:r w:rsidR="004F7F1C" w:rsidRPr="004F7F1C">
        <w:t xml:space="preserve"> 3.4-1</w:t>
      </w:r>
      <w:r w:rsidR="00BE1D26">
        <w:tab/>
      </w:r>
      <w:r w:rsidR="0055135F">
        <w:t xml:space="preserve">California Air Basins, Air Districts, and the </w:t>
      </w:r>
      <w:r w:rsidR="003A6726">
        <w:t xml:space="preserve">CalVTP </w:t>
      </w:r>
      <w:r w:rsidR="0055135F">
        <w:t xml:space="preserve">Treatable </w:t>
      </w:r>
      <w:r w:rsidR="003A6726">
        <w:t>Landscape</w:t>
      </w:r>
      <w:bookmarkEnd w:id="22"/>
    </w:p>
    <w:p w14:paraId="6F2A57AF" w14:textId="605B58C8" w:rsidR="00324FC8" w:rsidRPr="00324FC8" w:rsidRDefault="00324FC8" w:rsidP="0055498E">
      <w:pPr>
        <w:pStyle w:val="Heading6"/>
      </w:pPr>
      <w:r w:rsidRPr="00324FC8">
        <w:lastRenderedPageBreak/>
        <w:t>Toxic Air Contaminants</w:t>
      </w:r>
      <w:r w:rsidR="007971D1" w:rsidRPr="007971D1">
        <w:t xml:space="preserve"> </w:t>
      </w:r>
      <w:r w:rsidR="007971D1">
        <w:t xml:space="preserve">and </w:t>
      </w:r>
      <w:r w:rsidR="007971D1" w:rsidRPr="00324FC8">
        <w:t>Hazardous Air Pollutants</w:t>
      </w:r>
    </w:p>
    <w:p w14:paraId="147BC6C5" w14:textId="35202758" w:rsidR="009471E1" w:rsidRPr="00E611EC" w:rsidRDefault="009471E1" w:rsidP="009471E1">
      <w:pPr>
        <w:pStyle w:val="BodyText"/>
      </w:pPr>
      <w:bookmarkStart w:id="23" w:name="_Hlk501031147"/>
      <w:bookmarkStart w:id="24" w:name="_Toc296933528"/>
      <w:bookmarkStart w:id="25" w:name="_Toc330916542"/>
      <w:r w:rsidRPr="00E611EC">
        <w:t xml:space="preserve">Toxic air contaminants (TACs), or in federal parlance, hazardous air pollutants (HAPs), are a defined set of airborne pollutants that may pose a present or potential hazard to human health. </w:t>
      </w:r>
      <w:r w:rsidR="00D14C44">
        <w:t>TACs would be generated by treatment activit</w:t>
      </w:r>
      <w:r w:rsidR="003A6726">
        <w:t>ies</w:t>
      </w:r>
      <w:r w:rsidR="00D14C44">
        <w:t xml:space="preserve"> implemented under the CalVTP. </w:t>
      </w:r>
      <w:r w:rsidRPr="00E611EC">
        <w:t>A TAC is defined as an air pollutant that may cause or contribute to an increase in mortality or in serious illness, or that may pose a hazard to human health. TACs are usually present in minute quantities in the ambient air; however, their high toxicity or health risk may pose a threat to public health even at low concentrations.</w:t>
      </w:r>
    </w:p>
    <w:p w14:paraId="6B853640" w14:textId="7E52C5E4" w:rsidR="009471E1" w:rsidRPr="00E611EC" w:rsidRDefault="009471E1" w:rsidP="009471E1">
      <w:pPr>
        <w:pStyle w:val="BodyText"/>
      </w:pPr>
      <w:r w:rsidRPr="00E611EC">
        <w:t xml:space="preserve">A wide range of sources, from industrial plants to motor vehicles, emit TACs. The health effects associated with TACs are quite diverse and generally are assessed locally, rather than regionally. TACs can cause long-term health effects such as cancer, birth defects, neurological damage, asthma, bronchitis, or genetic damage; or short-term acute health </w:t>
      </w:r>
      <w:r w:rsidR="00121237" w:rsidRPr="00E611EC">
        <w:t>effects</w:t>
      </w:r>
      <w:r w:rsidRPr="00E611EC">
        <w:t xml:space="preserve"> such as eye watering, respiratory irritation (a cough), running nose, throat pain, and headaches. </w:t>
      </w:r>
    </w:p>
    <w:p w14:paraId="707F286A" w14:textId="77777777" w:rsidR="009471E1" w:rsidRPr="00E611EC" w:rsidRDefault="009471E1" w:rsidP="009471E1">
      <w:pPr>
        <w:pStyle w:val="BodyText"/>
      </w:pPr>
      <w:r w:rsidRPr="00E611EC">
        <w:t xml:space="preserve">For evaluation purposes, TACs are separated into carcinogens and non-carcinogens based on the nature of the physiological effects associated with exposure to the pollutant. Carcinogens are assumed to have no safe threshold below which health impacts would not occur. This contrasts with criteria air pollutants for which acceptable levels of exposure can be determined and for which the ambient standards have been established (Table 3.4-1). Cancer risk from TACs is expressed as excess cancer cases per one million exposed individuals, typically over a lifetime of exposure. </w:t>
      </w:r>
    </w:p>
    <w:p w14:paraId="593E4B64" w14:textId="75F1FD9F" w:rsidR="009471E1" w:rsidRPr="00E611EC" w:rsidRDefault="009471E1" w:rsidP="009471E1">
      <w:pPr>
        <w:pStyle w:val="BodyText"/>
      </w:pPr>
      <w:r w:rsidRPr="00E611EC">
        <w:t xml:space="preserve">EPA regulates HAPs through its National Emission Standards for Hazardous Air Pollutants. The standards for a particular source category require the maximum degree of emission reduction that the EPA determines to be achievable, which is known as the Maximum Achievable Control Technology standards. These standards are authorized by Section 112 of the </w:t>
      </w:r>
      <w:hyperlink r:id="rId9" w:tooltip="Clean Air Act (1970)" w:history="1">
        <w:r w:rsidRPr="00E611EC">
          <w:t>CAA</w:t>
        </w:r>
      </w:hyperlink>
      <w:r w:rsidRPr="00E611EC">
        <w:t xml:space="preserve"> and the regulations are published in 40 </w:t>
      </w:r>
      <w:bookmarkStart w:id="26" w:name="_Hlk8287350"/>
      <w:r w:rsidR="003E5A87">
        <w:fldChar w:fldCharType="begin"/>
      </w:r>
      <w:r w:rsidR="003E5A87">
        <w:instrText xml:space="preserve"> HYPERLINK "https://en.wikipedia.org/wiki/Code_of_Federal_Regulations" \o "Code of Federal Regulations" </w:instrText>
      </w:r>
      <w:r w:rsidR="003E5A87">
        <w:fldChar w:fldCharType="separate"/>
      </w:r>
      <w:r w:rsidRPr="00E611EC">
        <w:t>Code of Federal Regulations (CFR</w:t>
      </w:r>
      <w:r w:rsidR="003E5A87">
        <w:fldChar w:fldCharType="end"/>
      </w:r>
      <w:bookmarkEnd w:id="26"/>
      <w:r w:rsidRPr="00E611EC">
        <w:t xml:space="preserve">) Parts 61 and 63. </w:t>
      </w:r>
    </w:p>
    <w:p w14:paraId="72A29654" w14:textId="11BEDDD7" w:rsidR="00697D06" w:rsidRDefault="00697D06" w:rsidP="00697D06">
      <w:pPr>
        <w:pStyle w:val="Heading5"/>
      </w:pPr>
      <w:r>
        <w:t>Federal Advisory Committee Act</w:t>
      </w:r>
    </w:p>
    <w:p w14:paraId="00BF86A0" w14:textId="1D868345" w:rsidR="009471E1" w:rsidRPr="00604F9F" w:rsidRDefault="009471E1" w:rsidP="009471E1">
      <w:pPr>
        <w:pStyle w:val="BodyText"/>
      </w:pPr>
      <w:r>
        <w:t>Established through a charter, the purpose of the Federal Advisory Committee Act (FACA) Wildland Fire Issues Group was to provide EPA recommendations for revising its policies for implementing the current NAAQS for PM</w:t>
      </w:r>
      <w:r>
        <w:rPr>
          <w:vertAlign w:val="subscript"/>
        </w:rPr>
        <w:t>10</w:t>
      </w:r>
      <w:r>
        <w:t xml:space="preserve"> and any new NAAQS for PM</w:t>
      </w:r>
      <w:r>
        <w:rPr>
          <w:vertAlign w:val="subscript"/>
        </w:rPr>
        <w:t>2.5</w:t>
      </w:r>
      <w:r>
        <w:t xml:space="preserve">, with respect to prescribed burns and their impact. Although the Charter for the FACA for Ozone, Particulate Matter, and Regional Haze has expired, the findings of the Wildland Fire Issues Group pertain to prescribed burn in relation to air quality. Most importantly, the </w:t>
      </w:r>
      <w:r>
        <w:rPr>
          <w:i/>
        </w:rPr>
        <w:t>Interim Air Quality Policy on Wildland and Prescribed Burns</w:t>
      </w:r>
      <w:r>
        <w:t xml:space="preserve"> was produced by the group and is the national standard when local guidelines have not been established. The document outlines the following: Smoke Management Programs; who is accountable when a prescribed burn results in exceedances of the NAAQS; and overall objectives for prescribed burns in relation to air quality (EPA 1998).</w:t>
      </w:r>
      <w:r w:rsidRPr="00AF505B">
        <w:t xml:space="preserve"> </w:t>
      </w:r>
      <w:r w:rsidR="00923670">
        <w:t xml:space="preserve">Treatment activities </w:t>
      </w:r>
      <w:r w:rsidR="00D14C44">
        <w:t xml:space="preserve">implemented </w:t>
      </w:r>
      <w:r w:rsidR="00923670">
        <w:t xml:space="preserve">under the CalVTP </w:t>
      </w:r>
      <w:r w:rsidR="00D14C44">
        <w:t xml:space="preserve">would </w:t>
      </w:r>
      <w:r w:rsidR="00923670">
        <w:t>include prescribed burn</w:t>
      </w:r>
      <w:r w:rsidR="00D14C44">
        <w:t>s</w:t>
      </w:r>
      <w:r w:rsidR="00923670">
        <w:t xml:space="preserve">. Although local guidelines have been established and are discussed below, the </w:t>
      </w:r>
      <w:r w:rsidR="00923670">
        <w:rPr>
          <w:i/>
        </w:rPr>
        <w:t xml:space="preserve">Interim Air Quality Policy on Wildland and Prescribed Burns </w:t>
      </w:r>
      <w:r w:rsidR="00923670">
        <w:t>is included to provide context on how prescribed burns are regulated at the federal level</w:t>
      </w:r>
      <w:r w:rsidR="00D642D9">
        <w:t>.</w:t>
      </w:r>
    </w:p>
    <w:p w14:paraId="0DD51A70" w14:textId="684F03E8" w:rsidR="00697D06" w:rsidRDefault="003405B1" w:rsidP="00697D06">
      <w:pPr>
        <w:pStyle w:val="Heading5"/>
      </w:pPr>
      <w:r>
        <w:t xml:space="preserve">Prescribed </w:t>
      </w:r>
      <w:r w:rsidR="007971D1">
        <w:t>B</w:t>
      </w:r>
      <w:r>
        <w:t>urn</w:t>
      </w:r>
      <w:r w:rsidR="00697D06">
        <w:t xml:space="preserve"> Smoke Management Guide</w:t>
      </w:r>
    </w:p>
    <w:bookmarkEnd w:id="23"/>
    <w:p w14:paraId="5CB8740B" w14:textId="6F1AC3A2" w:rsidR="009471E1" w:rsidRPr="009D5745" w:rsidRDefault="009471E1" w:rsidP="009471E1">
      <w:pPr>
        <w:pStyle w:val="BodyText"/>
      </w:pPr>
      <w:r>
        <w:t>The National Wildfire Coordinating Group was originally chartered by the U.S. Secretaries of the Interior and Agriculture in 1976. In 2001, NWCG</w:t>
      </w:r>
      <w:r w:rsidR="00670EB0">
        <w:t>’</w:t>
      </w:r>
      <w:r>
        <w:t xml:space="preserve">s Fire Use Working Team sponsored the creation of the </w:t>
      </w:r>
      <w:r>
        <w:rPr>
          <w:i/>
        </w:rPr>
        <w:t xml:space="preserve">Smoke Management Guide for Prescribed and Wildland Fire </w:t>
      </w:r>
      <w:r>
        <w:t>(</w:t>
      </w:r>
      <w:r w:rsidRPr="00467350">
        <w:t>NWCG 2018)</w:t>
      </w:r>
      <w:r>
        <w:t xml:space="preserve">. The guide outlines why fire is important to the ecosystem, regulations that impact smoke management, best management practices for reducing emissions </w:t>
      </w:r>
      <w:r w:rsidR="004D7DF9">
        <w:t>during</w:t>
      </w:r>
      <w:r>
        <w:t xml:space="preserve"> prescribed burn, and ways to monitor air quality during prescribed burns. The EPA advises that this guide be consulted when calculating emissions for prescribed burn.</w:t>
      </w:r>
      <w:r w:rsidR="00923670">
        <w:t xml:space="preserve"> </w:t>
      </w:r>
      <w:r w:rsidR="00923670" w:rsidRPr="009D5745">
        <w:t xml:space="preserve">Treatment activities </w:t>
      </w:r>
      <w:r w:rsidR="00D14C44">
        <w:t xml:space="preserve">implemented </w:t>
      </w:r>
      <w:r w:rsidR="00923670" w:rsidRPr="009D5745">
        <w:t xml:space="preserve">under the CalVTP </w:t>
      </w:r>
      <w:r w:rsidR="005F72B1">
        <w:t>would</w:t>
      </w:r>
      <w:r w:rsidR="00BC111E">
        <w:t xml:space="preserve"> </w:t>
      </w:r>
      <w:r w:rsidR="00923670" w:rsidRPr="009D5745">
        <w:t>include prescribed burn</w:t>
      </w:r>
      <w:r w:rsidR="00BC111E">
        <w:t>s</w:t>
      </w:r>
      <w:r w:rsidR="00923670" w:rsidRPr="009D5745">
        <w:t>; thus, the NWCG</w:t>
      </w:r>
      <w:r w:rsidR="00670EB0">
        <w:t>’</w:t>
      </w:r>
      <w:r w:rsidR="00923670" w:rsidRPr="009D5745">
        <w:t xml:space="preserve">s </w:t>
      </w:r>
      <w:r w:rsidR="00923670" w:rsidRPr="009D5745">
        <w:rPr>
          <w:i/>
        </w:rPr>
        <w:t>Smoke Management Guide for Prescribed and Wildland Fire</w:t>
      </w:r>
      <w:r w:rsidR="00923670" w:rsidRPr="009D5745">
        <w:t xml:space="preserve"> was consulted for emissions calculations, as detailed in Appendix </w:t>
      </w:r>
      <w:r w:rsidR="009D5745" w:rsidRPr="009D5745">
        <w:t>AQ-1</w:t>
      </w:r>
      <w:r w:rsidR="00923670" w:rsidRPr="009D5745">
        <w:t>.</w:t>
      </w:r>
    </w:p>
    <w:p w14:paraId="0741C0EA" w14:textId="5BDB4C3A" w:rsidR="00324FC8" w:rsidRDefault="00324FC8" w:rsidP="00324FC8">
      <w:pPr>
        <w:pStyle w:val="Heading4"/>
      </w:pPr>
      <w:r w:rsidRPr="009D5745">
        <w:lastRenderedPageBreak/>
        <w:t>State</w:t>
      </w:r>
      <w:bookmarkEnd w:id="24"/>
      <w:bookmarkEnd w:id="25"/>
    </w:p>
    <w:p w14:paraId="07082ACF" w14:textId="75677C14" w:rsidR="007E3816" w:rsidRPr="007E3816" w:rsidRDefault="007E3816" w:rsidP="007E3816">
      <w:pPr>
        <w:pStyle w:val="Heading5"/>
      </w:pPr>
      <w:r>
        <w:t>California Clean Air Act</w:t>
      </w:r>
    </w:p>
    <w:p w14:paraId="5ACEB083" w14:textId="6BA6F935" w:rsidR="009471E1" w:rsidRPr="00697D06" w:rsidRDefault="004D7DF9" w:rsidP="009471E1">
      <w:pPr>
        <w:pStyle w:val="BodyText"/>
      </w:pPr>
      <w:r>
        <w:t>The Mulford-Carrell Air Resources Act of 1968 created t</w:t>
      </w:r>
      <w:r w:rsidRPr="00697D06">
        <w:t>he California Air Resources Board</w:t>
      </w:r>
      <w:r>
        <w:t xml:space="preserve"> (CARB) and required it to adopt statewide air quality standards, which are referred to as the</w:t>
      </w:r>
      <w:r w:rsidRPr="007F10AA">
        <w:t xml:space="preserve"> </w:t>
      </w:r>
      <w:r w:rsidRPr="00697D06">
        <w:t>California Ambient Air Quality Standards (CAAQS</w:t>
      </w:r>
      <w:r>
        <w:t xml:space="preserve">). </w:t>
      </w:r>
      <w:r w:rsidR="009471E1" w:rsidRPr="00697D06">
        <w:t xml:space="preserve">CARB is the agency responsible for coordination and oversight of </w:t>
      </w:r>
      <w:r w:rsidR="009471E1">
        <w:t>s</w:t>
      </w:r>
      <w:r w:rsidR="009471E1" w:rsidRPr="00697D06">
        <w:t xml:space="preserve">tate and local air pollution control programs in California and for implementing the California Clean Air Act (CCAA). The CCAA, which was adopted in 1988, required </w:t>
      </w:r>
      <w:r>
        <w:t xml:space="preserve">local air districts to develop and implement plans to achieve the </w:t>
      </w:r>
      <w:r w:rsidR="009471E1" w:rsidRPr="00697D06">
        <w:t>CAAQS</w:t>
      </w:r>
      <w:r w:rsidR="009471E1">
        <w:t>. The</w:t>
      </w:r>
      <w:r>
        <w:t xml:space="preserve"> CAAQS</w:t>
      </w:r>
      <w:r w:rsidR="009471E1">
        <w:t xml:space="preserve"> are presented with the NAAQS in </w:t>
      </w:r>
      <w:r w:rsidR="009471E1" w:rsidRPr="00697D06">
        <w:t>Table 3.</w:t>
      </w:r>
      <w:r w:rsidR="009471E1">
        <w:t>4</w:t>
      </w:r>
      <w:r w:rsidR="009471E1" w:rsidRPr="00697D06">
        <w:t>-1.</w:t>
      </w:r>
      <w:r w:rsidR="00923670">
        <w:t xml:space="preserve"> </w:t>
      </w:r>
    </w:p>
    <w:p w14:paraId="7B86D696" w14:textId="74999B76" w:rsidR="009471E1" w:rsidRPr="00697D06" w:rsidRDefault="006D5543" w:rsidP="009471E1">
      <w:pPr>
        <w:pStyle w:val="BodyText"/>
      </w:pPr>
      <w:r>
        <w:t xml:space="preserve">As shown in Table 3.4-1, </w:t>
      </w:r>
      <w:r w:rsidR="009471E1" w:rsidRPr="00697D06">
        <w:t xml:space="preserve">CARB has established CAAQS for sulfates, hydrogen sulfide, vinyl chloride, visibility-reducing particulate matter, and the above-mentioned criteria air pollutants. </w:t>
      </w:r>
      <w:r w:rsidR="009471E1">
        <w:t xml:space="preserve">For </w:t>
      </w:r>
      <w:r w:rsidR="009471E1" w:rsidRPr="00697D06">
        <w:t xml:space="preserve">most </w:t>
      </w:r>
      <w:r w:rsidR="009471E1">
        <w:t xml:space="preserve">criteria air pollutants, </w:t>
      </w:r>
      <w:r w:rsidR="009471E1" w:rsidRPr="00697D06">
        <w:t>the CAAQS are more stringent than the NAAQS. Differences in the standards are generally explained by the health effects studies considered during the standard-setting process and the interpretation of the studies. In addition, the CAAQS incorporate a margin of safety to protect sensitive individuals.</w:t>
      </w:r>
    </w:p>
    <w:p w14:paraId="7EE342A8" w14:textId="1A5491F3" w:rsidR="009471E1" w:rsidRPr="00697D06" w:rsidRDefault="009471E1" w:rsidP="009471E1">
      <w:pPr>
        <w:pStyle w:val="BodyText"/>
      </w:pPr>
      <w:r w:rsidRPr="00697D06">
        <w:t>The CCAA requires that all local air districts in the state endeavor to attain and maintain the CAAQS by the earliest date practical. The CCAA specifies that local air districts should focus attention on reducing the emissions from transportation and area-wide emission sources. The CCCA also provides air districts with the authority to regulate indirect sources.</w:t>
      </w:r>
      <w:r w:rsidR="00923670" w:rsidRPr="00923670">
        <w:t xml:space="preserve"> </w:t>
      </w:r>
      <w:r w:rsidR="00923670">
        <w:t>The CCAA and CAAQS are</w:t>
      </w:r>
      <w:r w:rsidR="00923670" w:rsidRPr="004A1828">
        <w:t xml:space="preserve"> applicable to the CalVTP, because treatment activities </w:t>
      </w:r>
      <w:r w:rsidR="006D5543">
        <w:t xml:space="preserve">would </w:t>
      </w:r>
      <w:r w:rsidR="00923670" w:rsidRPr="004A1828">
        <w:t>generate</w:t>
      </w:r>
      <w:r w:rsidR="00200C3B">
        <w:t xml:space="preserve"> </w:t>
      </w:r>
      <w:r w:rsidR="00923670">
        <w:t xml:space="preserve">criteria </w:t>
      </w:r>
      <w:r w:rsidR="00923670" w:rsidRPr="004A1828">
        <w:t>air pollutant</w:t>
      </w:r>
      <w:r w:rsidR="006D5543">
        <w:t>s and precursors</w:t>
      </w:r>
      <w:r w:rsidR="00BC111E">
        <w:t xml:space="preserve"> </w:t>
      </w:r>
      <w:r w:rsidR="006D5543">
        <w:t>that could affect the attainment status of air basins</w:t>
      </w:r>
      <w:r w:rsidR="00200C3B">
        <w:t>.</w:t>
      </w:r>
      <w:r w:rsidR="00FE14ED">
        <w:t xml:space="preserve"> The map in </w:t>
      </w:r>
      <w:r w:rsidR="00DA4D7B">
        <w:t>Figure</w:t>
      </w:r>
      <w:r w:rsidR="00FE14ED">
        <w:t xml:space="preserve"> 3.4-1 show the locations of air districts in California, as well as air basins, and the treatable landscape.</w:t>
      </w:r>
    </w:p>
    <w:p w14:paraId="2DB6BC46" w14:textId="17BAA9E5" w:rsidR="009471E1" w:rsidRPr="005957A0" w:rsidRDefault="00AB751F" w:rsidP="009471E1">
      <w:pPr>
        <w:pStyle w:val="Heading5"/>
        <w:rPr>
          <w:spacing w:val="-4"/>
        </w:rPr>
      </w:pPr>
      <w:bookmarkStart w:id="27" w:name="_Toc330916543"/>
      <w:bookmarkStart w:id="28" w:name="_Toc296933531"/>
      <w:r w:rsidRPr="005957A0">
        <w:rPr>
          <w:spacing w:val="-4"/>
        </w:rPr>
        <w:t xml:space="preserve">Tanner Air </w:t>
      </w:r>
      <w:r w:rsidR="009471E1" w:rsidRPr="005957A0">
        <w:rPr>
          <w:spacing w:val="-4"/>
        </w:rPr>
        <w:t>Toxic</w:t>
      </w:r>
      <w:r w:rsidRPr="005957A0">
        <w:rPr>
          <w:spacing w:val="-4"/>
        </w:rPr>
        <w:t>s Act of 1983 and</w:t>
      </w:r>
      <w:r w:rsidR="009471E1" w:rsidRPr="005957A0">
        <w:rPr>
          <w:spacing w:val="-4"/>
        </w:rPr>
        <w:t xml:space="preserve"> Air </w:t>
      </w:r>
      <w:r w:rsidRPr="005957A0">
        <w:rPr>
          <w:spacing w:val="-4"/>
        </w:rPr>
        <w:t>Toxics Hot Spots Information and Assessment Act of 1987</w:t>
      </w:r>
    </w:p>
    <w:p w14:paraId="56619CC0" w14:textId="6F147FB2" w:rsidR="009471E1" w:rsidRPr="00E51BEA" w:rsidRDefault="009471E1" w:rsidP="009471E1">
      <w:pPr>
        <w:pStyle w:val="BodyText"/>
      </w:pPr>
      <w:r w:rsidRPr="00E51BEA">
        <w:t xml:space="preserve">TACs in California are regulated primarily through the Tanner Air Toxics Act (Assembly Bill [AB] 1807, Chapter 1047, Statutes of 1983) and the Air Toxics Hot Spots Information and Assessment Act of 1987 (AB 2588, Chapter 1252, Statutes of 1987). </w:t>
      </w:r>
      <w:r w:rsidR="004A2157">
        <w:t>TACs would be generated by treatment activities conducted under the CalVTP. T</w:t>
      </w:r>
      <w:r w:rsidR="00F93AF7">
        <w:t xml:space="preserve">he Tanner Air Toxics Act </w:t>
      </w:r>
      <w:r w:rsidRPr="00E51BEA">
        <w:t xml:space="preserve">sets forth a formal procedure for CARB to designate substances as TACs. Research, public participation, and scientific peer review are required before CARB can designate a substance as a TAC. CARB has adopted all EPA-identified HAPs as TACs and identified 21 additional substances as TACs, </w:t>
      </w:r>
      <w:bookmarkStart w:id="29" w:name="_Hlk498091250"/>
      <w:r w:rsidRPr="00E51BEA">
        <w:t>including particulate matter exhaust from diesel engines (diesel PM)</w:t>
      </w:r>
      <w:bookmarkEnd w:id="29"/>
      <w:r w:rsidRPr="00E51BEA">
        <w:t xml:space="preserve"> (CARB 2011a).</w:t>
      </w:r>
    </w:p>
    <w:p w14:paraId="79C74AFD" w14:textId="77777777" w:rsidR="009471E1" w:rsidRPr="00E51BEA" w:rsidRDefault="009471E1" w:rsidP="009471E1">
      <w:pPr>
        <w:pStyle w:val="BodyText"/>
      </w:pPr>
      <w:r w:rsidRPr="00E51BEA">
        <w:t xml:space="preserve">After a TAC is identified, CARB then adopts an airborne toxics control measure for sources that emit that particular TAC. If a safe threshold exists for a substance at which there is no toxic effect, the control measure must reduce exposure below that threshold. If no safe threshold exists, the measure must incorporate best available control technology for toxics to minimize emissions. </w:t>
      </w:r>
    </w:p>
    <w:p w14:paraId="6D94B28F" w14:textId="77777777" w:rsidR="009471E1" w:rsidRPr="00E51BEA" w:rsidRDefault="009471E1" w:rsidP="009471E1">
      <w:pPr>
        <w:pStyle w:val="BodyText"/>
      </w:pPr>
      <w:r w:rsidRPr="00E51BEA">
        <w:t>The Hot Spots Act requires that existing facilities that emit toxic substances above a specified level prepare an inventory of toxic emissions, prepare a risk assessment if emissions are significant, notify the public of significant risk levels, and prepare and implement risk reduction measures.</w:t>
      </w:r>
    </w:p>
    <w:p w14:paraId="7C931274" w14:textId="6844E9CF" w:rsidR="009471E1" w:rsidRPr="00E51BEA" w:rsidRDefault="009471E1" w:rsidP="009471E1">
      <w:pPr>
        <w:pStyle w:val="BodyText"/>
      </w:pPr>
      <w:r w:rsidRPr="00E51BEA">
        <w:t>CARB has adopted diesel exhaust control measures and more stringent emissions standards for various transportation-related mobile sources of emissions, including off-road diesel equipment (e.g., tractors, generators). Over time, the replacement of older vehicles and equipment will result in a vehicle and equipment fleet that produces substantially lower levels of TACs than under current conditions. Mobile-source emissions of TACs (e.g., benzene, 1-3-butadiene, diesel PM) have been reduced significantly over the last decade and will be reduced further in California through a progression of regulatory measures (e.g., Low Emission Vehicle/Clean Fuels and Phase II reformulated gasoline regulations) and control technologies. With implementation of CARB</w:t>
      </w:r>
      <w:r w:rsidR="00670EB0">
        <w:t>’</w:t>
      </w:r>
      <w:r w:rsidRPr="00E51BEA">
        <w:t>s Risk Reduction Plan, it is expected that diesel PM concentrations will be 85 percent less in 2020 than they were in 2000 (CARB 2000). Adopted regulations are also expected to continue to reduce formaldehyde emissions emitted by cars and light-duty trucks. As emissions are reduced, it is expected that risks associated with exposure to the emissions will also be reduced.</w:t>
      </w:r>
      <w:r w:rsidR="00923670">
        <w:t xml:space="preserve"> </w:t>
      </w:r>
      <w:r w:rsidR="00200C3B">
        <w:t xml:space="preserve">CARB diesel exhaust control measures and mobile-source emission reduction regulatory measures are applicable to the CalVTP because treatment activities include the use of diesel-powered equipment and would result in mobile-source emissions of TACs. </w:t>
      </w:r>
    </w:p>
    <w:p w14:paraId="3137EBBF" w14:textId="77777777" w:rsidR="009471E1" w:rsidRDefault="009471E1" w:rsidP="009471E1">
      <w:pPr>
        <w:pStyle w:val="Heading5"/>
      </w:pPr>
      <w:r>
        <w:lastRenderedPageBreak/>
        <w:t>California Code of Regulations Title 17</w:t>
      </w:r>
    </w:p>
    <w:p w14:paraId="495BBEC0" w14:textId="71515EFD" w:rsidR="009471E1" w:rsidRDefault="009471E1" w:rsidP="009471E1">
      <w:pPr>
        <w:pStyle w:val="BodyText"/>
      </w:pPr>
      <w:r>
        <w:t xml:space="preserve">Title 17 of the California Code of Regulations (CCR) addresses public health issues. Division 3 of Title 17 specifically addresses issues related to air resources. Topics most relevant to </w:t>
      </w:r>
      <w:r w:rsidR="00200C3B">
        <w:t xml:space="preserve">treatment </w:t>
      </w:r>
      <w:r>
        <w:t>activities conducted under the CalVTP</w:t>
      </w:r>
      <w:r w:rsidR="005F72B1">
        <w:t xml:space="preserve"> would</w:t>
      </w:r>
      <w:r>
        <w:t xml:space="preserve"> include: Air Basins and Air Quality Standards (Subchapter 1.5), Smoke Management Guidelines for Agricultural and Prescribed Burning (Subchapter 2), Toxic Air Contaminants (Subchapter 7), </w:t>
      </w:r>
      <w:r w:rsidR="00200C3B">
        <w:t>and Asbestos (Subchapter 7.5)</w:t>
      </w:r>
      <w:r>
        <w:t>.</w:t>
      </w:r>
      <w:r w:rsidR="00200C3B">
        <w:t xml:space="preserve"> These topics are relevant because treatment activities could result in criteria air pollutant and TAC emissions that affect air quality and health, include prescribed burning, and could occur in areas where naturally-occurring asbestos (NOA) is present.</w:t>
      </w:r>
    </w:p>
    <w:p w14:paraId="5FB1A6B6" w14:textId="139135CA" w:rsidR="009471E1" w:rsidRDefault="009471E1" w:rsidP="009471E1">
      <w:pPr>
        <w:pStyle w:val="BodyText"/>
      </w:pPr>
      <w:r>
        <w:t>CARB oversees California</w:t>
      </w:r>
      <w:r w:rsidR="00670EB0">
        <w:t>’</w:t>
      </w:r>
      <w:r>
        <w:t xml:space="preserve">s Smoke Management Program, which addresses potentially harmful smoke impacts from agricultural, forest, and rangeland management burning operations. The legal basis of the program is found </w:t>
      </w:r>
      <w:r w:rsidRPr="007E3816">
        <w:t xml:space="preserve">in 17 CCR Section 80100 et. seq., </w:t>
      </w:r>
      <w:r>
        <w:rPr>
          <w:i/>
        </w:rPr>
        <w:t xml:space="preserve">Smoke Management Guidelines for Agricultural and Prescribed Burning, </w:t>
      </w:r>
      <w:r>
        <w:t>adopted by CARB in 2000 (CARB 2011b). Under these guidelines, air districts implement a daily burn authorization system under which they specify the amount, timing, and location of burns for the purposes of minimizing smoke impacts on sensitive areas, avoiding cumulative smoke impacts, and preventing public nuisances from occurring. Through the burn authorization system, air districts authorize no more burning on a daily basis than is appropriate considering meteorological and air quality conditions (CARB 2000).</w:t>
      </w:r>
    </w:p>
    <w:p w14:paraId="3D558197" w14:textId="3619C254" w:rsidR="009471E1" w:rsidRDefault="009471E1" w:rsidP="009471E1">
      <w:pPr>
        <w:pStyle w:val="BodyText"/>
      </w:pPr>
      <w:r>
        <w:t xml:space="preserve">Adoption of the amendments to the Smoke Management Guidelines for Agricultural and Prescribed Burning by CARB in 2000 triggered a CEQA analysis. CARB concluded that adoption of these guidelines would not cause significant adverse environmental impacts. CARB further concluded, in regard to air quality impacts, that compliance with the guidelines should result in reduced smoke impacts, improved air quality, and progress towards achievement of CAA and CCAA requirements, and </w:t>
      </w:r>
      <w:r w:rsidR="00E829E0">
        <w:t>also posited</w:t>
      </w:r>
      <w:r>
        <w:t xml:space="preserve"> that potential benefits from the program may accrue from a reduction in risk of wildland fires </w:t>
      </w:r>
      <w:r w:rsidR="00E829E0">
        <w:t xml:space="preserve">due to </w:t>
      </w:r>
      <w:r>
        <w:t>increased prescribed burning activities (CARB 2000).</w:t>
      </w:r>
    </w:p>
    <w:p w14:paraId="65AB1D4C" w14:textId="77777777" w:rsidR="009471E1" w:rsidRPr="005960EA" w:rsidRDefault="009471E1" w:rsidP="009471E1">
      <w:pPr>
        <w:pStyle w:val="Heading5"/>
      </w:pPr>
      <w:r w:rsidRPr="005960EA">
        <w:t>Prescribed Fire Incident Reporting System</w:t>
      </w:r>
    </w:p>
    <w:p w14:paraId="6143F66A" w14:textId="3C42558D" w:rsidR="003A6726" w:rsidRDefault="009471E1" w:rsidP="003A6726">
      <w:pPr>
        <w:pStyle w:val="BodyText"/>
      </w:pPr>
      <w:r>
        <w:t xml:space="preserve">The </w:t>
      </w:r>
      <w:r w:rsidRPr="005960EA">
        <w:t xml:space="preserve">Prescribed Fire Incident Reporting System (PFIRS) </w:t>
      </w:r>
      <w:r>
        <w:t>was developed in response to Title</w:t>
      </w:r>
      <w:r w:rsidR="00786042">
        <w:t xml:space="preserve"> 17 of the CCR and </w:t>
      </w:r>
      <w:r w:rsidRPr="005960EA">
        <w:t>serves as</w:t>
      </w:r>
      <w:r w:rsidR="00786042">
        <w:t xml:space="preserve"> </w:t>
      </w:r>
      <w:r w:rsidR="00786042" w:rsidRPr="005960EA">
        <w:t xml:space="preserve">an interface between air quality </w:t>
      </w:r>
      <w:r w:rsidR="004D7DF9">
        <w:t>regulators</w:t>
      </w:r>
      <w:r w:rsidR="00786042" w:rsidRPr="005960EA">
        <w:t xml:space="preserve">, land management agencies and individuals that conduct prescribed burning in California. The system facilitates communications by providing access </w:t>
      </w:r>
      <w:r w:rsidR="00786042" w:rsidRPr="00BF0A7C">
        <w:t>to a database containing information on burn planning, burn approvals and emissions information. PFIRS enables individuals involved in prescribed burning the ability to view this information on a statewide level.</w:t>
      </w:r>
      <w:r w:rsidR="00786042">
        <w:t xml:space="preserve"> The majority of air districts in the state use PFIRS. CARB is working to enroll more air districts </w:t>
      </w:r>
      <w:r w:rsidR="008D0DC8">
        <w:t xml:space="preserve">in the use of </w:t>
      </w:r>
      <w:r w:rsidR="00786042">
        <w:t>PFIRS.</w:t>
      </w:r>
      <w:r w:rsidR="00137DB7">
        <w:t xml:space="preserve"> </w:t>
      </w:r>
      <w:r w:rsidR="00855BE8">
        <w:t>CAL FIRE is providing information to PFIRS for all prescribed burns.</w:t>
      </w:r>
    </w:p>
    <w:p w14:paraId="40E42CFD" w14:textId="00BBC083" w:rsidR="00243214" w:rsidRDefault="00243214" w:rsidP="003A6726">
      <w:pPr>
        <w:pStyle w:val="Heading5"/>
      </w:pPr>
      <w:r>
        <w:t>Senate Bill 1260</w:t>
      </w:r>
      <w:r w:rsidR="003A6726">
        <w:t xml:space="preserve">, Statutes </w:t>
      </w:r>
      <w:r>
        <w:t>of 2018</w:t>
      </w:r>
    </w:p>
    <w:p w14:paraId="7B8EBF39" w14:textId="6B2EA77D" w:rsidR="00786042" w:rsidRPr="00A7549B" w:rsidRDefault="00786042" w:rsidP="00E3674A">
      <w:pPr>
        <w:pStyle w:val="BodyText"/>
        <w:rPr>
          <w:rStyle w:val="Hyperlink"/>
        </w:rPr>
      </w:pPr>
      <w:r>
        <w:t xml:space="preserve">SB 1260 was adopted in September 2018 in response to the devastating California wildfires, and </w:t>
      </w:r>
      <w:r w:rsidR="007E3816">
        <w:t>seeks to address wild</w:t>
      </w:r>
      <w:r w:rsidR="00D3639B">
        <w:t>fire</w:t>
      </w:r>
      <w:r w:rsidR="007E3816">
        <w:t xml:space="preserve"> prevention by increasing the use of prescribed burning as a vegetation treatment tool</w:t>
      </w:r>
      <w:r>
        <w:t xml:space="preserve">. SB 1260 </w:t>
      </w:r>
      <w:r w:rsidR="008D0DC8">
        <w:t>directs</w:t>
      </w:r>
      <w:r>
        <w:t xml:space="preserve"> CAL FIRE to work cooperatively with </w:t>
      </w:r>
      <w:r w:rsidRPr="00AD3FC9">
        <w:t xml:space="preserve">nonprofits and others on planning and implementing prescribed </w:t>
      </w:r>
      <w:r>
        <w:t>burning on federally and privately-owned property in the state. Additionally, the bill establishe</w:t>
      </w:r>
      <w:r w:rsidR="008D0DC8">
        <w:t>s</w:t>
      </w:r>
      <w:r>
        <w:t xml:space="preserve"> training standards for personnel authorized to conduct prescribed burns and clarifies liability for landowners operating under a CAL FIRE permit. The bill also m</w:t>
      </w:r>
      <w:r w:rsidRPr="00AD3FC9">
        <w:t xml:space="preserve">andates that CAL FIRE and </w:t>
      </w:r>
      <w:r>
        <w:t xml:space="preserve">CARB, </w:t>
      </w:r>
      <w:r w:rsidRPr="00AD3FC9">
        <w:t>in coordination with local air pollution control and air quality management districts, develop a program to enhance air quality and smoke monitoring and to provide a public awareness campaign regarding prescribed burns</w:t>
      </w:r>
      <w:r w:rsidR="00E641CF">
        <w:t>.</w:t>
      </w:r>
      <w:r w:rsidR="00E641CF" w:rsidRPr="00E3674A">
        <w:t xml:space="preserve"> </w:t>
      </w:r>
      <w:r w:rsidR="008B13C9">
        <w:t xml:space="preserve">In response, CARB and CAL FIRE have established a joint monitoring program that couples air quality measurements taken near prescribed </w:t>
      </w:r>
      <w:r w:rsidR="00D57EC4">
        <w:t>burns</w:t>
      </w:r>
      <w:r w:rsidR="008B13C9">
        <w:t xml:space="preserve"> with on-site measurements of short-and long-term effects on fire hazard and ecological characteristics.</w:t>
      </w:r>
      <w:r w:rsidR="00E3674A">
        <w:t xml:space="preserve"> </w:t>
      </w:r>
      <w:r w:rsidR="008B13C9">
        <w:t xml:space="preserve">Additionally, </w:t>
      </w:r>
      <w:r w:rsidR="00E3674A">
        <w:t>SB 1260 specifically identifies this PEIR</w:t>
      </w:r>
      <w:r w:rsidR="00E3674A" w:rsidRPr="00E3674A">
        <w:t>, when certified, to serve as the programmatic environmental document for prescribed burns</w:t>
      </w:r>
      <w:r w:rsidR="00E3674A">
        <w:t xml:space="preserve"> initiated by a third party.</w:t>
      </w:r>
      <w:r w:rsidR="003A5561">
        <w:t xml:space="preserve"> </w:t>
      </w:r>
    </w:p>
    <w:p w14:paraId="41FE8EC2" w14:textId="36644F9A" w:rsidR="00BF0A7C" w:rsidRPr="00BF0A7C" w:rsidRDefault="00A1188A" w:rsidP="00BF0A7C">
      <w:pPr>
        <w:pStyle w:val="Heading5"/>
      </w:pPr>
      <w:r w:rsidRPr="00BF0A7C">
        <w:t>2016 Mobile Source Strategy</w:t>
      </w:r>
    </w:p>
    <w:p w14:paraId="677DB0F1" w14:textId="52673F3B" w:rsidR="00786042" w:rsidRDefault="002C6562" w:rsidP="00786042">
      <w:pPr>
        <w:pStyle w:val="BodyText"/>
      </w:pPr>
      <w:r>
        <w:t xml:space="preserve">CARB adopts mobile source strategies as part of each SIP submitted to the EPA, as required by the CAA. </w:t>
      </w:r>
      <w:r w:rsidR="00786042" w:rsidRPr="00BF0A7C">
        <w:t xml:space="preserve">On May 16, 2016, CARB released the updated </w:t>
      </w:r>
      <w:r w:rsidR="00786042" w:rsidRPr="002348D4">
        <w:rPr>
          <w:i/>
        </w:rPr>
        <w:t>Mobile Source Strategy</w:t>
      </w:r>
      <w:r w:rsidR="00786042">
        <w:t xml:space="preserve">, which addresses exhaust emissions from on-road light-duty and heavy-duty vehicles, off-road federal and international sources (i.e., aircraft, locomotives, and ocean-going </w:t>
      </w:r>
      <w:r w:rsidR="00786042">
        <w:lastRenderedPageBreak/>
        <w:t xml:space="preserve">vessels), and off-road equipment. </w:t>
      </w:r>
      <w:r w:rsidR="00BC503C">
        <w:t xml:space="preserve">The strategy is pertinent to the types of on-road vehicles and off-road equipment that would be used in treatment activity conducted under the CalVTP. </w:t>
      </w:r>
      <w:r w:rsidR="00786042">
        <w:t>The strategy</w:t>
      </w:r>
      <w:r w:rsidR="00786042" w:rsidRPr="00BF0A7C">
        <w:t xml:space="preserve"> demonstrates how the </w:t>
      </w:r>
      <w:r w:rsidR="00786042">
        <w:t>s</w:t>
      </w:r>
      <w:r w:rsidR="00786042" w:rsidRPr="00BF0A7C">
        <w:t>tate can simultaneously meet air quality standards, achieve greenhouse gas emission reduction targets, decrease health risk from transportation</w:t>
      </w:r>
      <w:r w:rsidR="00786042">
        <w:t>-related</w:t>
      </w:r>
      <w:r w:rsidR="00786042" w:rsidRPr="00BF0A7C">
        <w:t xml:space="preserve"> emissions, and reduce petroleum</w:t>
      </w:r>
      <w:r w:rsidR="00786042" w:rsidRPr="00A1188A">
        <w:t xml:space="preserve"> consumption over the next </w:t>
      </w:r>
      <w:r w:rsidR="00786042">
        <w:t>15</w:t>
      </w:r>
      <w:r w:rsidR="00786042" w:rsidRPr="00A1188A">
        <w:t xml:space="preserve"> years. </w:t>
      </w:r>
      <w:r w:rsidR="00786042">
        <w:t>The strategy provides the reductions necessary from mobile sources to achieve federal health-based air quality standards for ozone in 2023 and 2031, reduce greenhouse gas emissions from on-road vehicles by over 40 percent below 1990 levels by 2030, decrease regional and near-source health-risk from exposure to toxic air contaminants, and reduce transportation-related petroleum use by up to 50 percent by 2030 statewide.</w:t>
      </w:r>
    </w:p>
    <w:p w14:paraId="12C3E11A" w14:textId="4DA8050D" w:rsidR="004D7DF9" w:rsidRPr="00E3674A" w:rsidRDefault="00786042" w:rsidP="00786042">
      <w:pPr>
        <w:pStyle w:val="BodyText"/>
      </w:pPr>
      <w:r>
        <w:t>CARB staff developed the mobile source strategy using a multi-pollutant scenario planning tool that quantifies changes in ozone and PM</w:t>
      </w:r>
      <w:r w:rsidRPr="004B1989">
        <w:rPr>
          <w:vertAlign w:val="subscript"/>
        </w:rPr>
        <w:t>2.5</w:t>
      </w:r>
      <w:r>
        <w:t xml:space="preserve"> precursor emissions, greenhouse gas emissions, diesel toxics emissions, and petroleum usage as various technologies become widespread in vehicle and equipment fleets. CARB</w:t>
      </w:r>
      <w:r w:rsidR="00670EB0">
        <w:t>’</w:t>
      </w:r>
      <w:r>
        <w:t>s analysis illustrates a scenario for meeting the state</w:t>
      </w:r>
      <w:r w:rsidR="00670EB0">
        <w:t>’</w:t>
      </w:r>
      <w:r>
        <w:t>s public health, climate, and petroleum reduction goals through cleaner vehicle technologies, energy sources, and fuels. The strategy consists of actions to establish regulatory requirements for cleaner technologies, deploy these technologies, require cleaner fuels, and ensure in-use performance. For off-road equipment, actions include increasing the use of renewable fuels, increasing worksite efficiencies, reducing emissions from small off-road equipment such as logging equipment, cleaner engine technology, and deployment of zero-emission vehicle technologies into target equipment categories such as forklifts and airport ground support equipment (CARB 2016</w:t>
      </w:r>
      <w:r w:rsidR="001F01F4">
        <w:t>b</w:t>
      </w:r>
      <w:r>
        <w:t>:11).</w:t>
      </w:r>
      <w:r w:rsidR="00E3674A">
        <w:t xml:space="preserve"> </w:t>
      </w:r>
      <w:r w:rsidR="004D7DF9">
        <w:t xml:space="preserve">The 2016 Mobile Source Strategy serves as the basis for emission reduction commitments that CARB has included in two adopted SIPs: the 2016 Air Quality Management Plan for Ozone and </w:t>
      </w:r>
      <w:r w:rsidR="004D7DF9" w:rsidRPr="007F37E9">
        <w:rPr>
          <w:rFonts w:cs="Arial"/>
        </w:rPr>
        <w:t>PM</w:t>
      </w:r>
      <w:r w:rsidR="004D7DF9" w:rsidRPr="007F37E9">
        <w:rPr>
          <w:rFonts w:cs="Arial"/>
          <w:vertAlign w:val="subscript"/>
        </w:rPr>
        <w:t>2.5</w:t>
      </w:r>
      <w:r w:rsidR="004D7DF9">
        <w:t xml:space="preserve"> in the South Coast Air Basin and the Coachella Valley, and the San Joaquin Valley 2018 Plan for the 1997, 2006, and 2012 </w:t>
      </w:r>
      <w:r w:rsidR="004D7DF9" w:rsidRPr="007F37E9">
        <w:rPr>
          <w:rFonts w:cs="Arial"/>
        </w:rPr>
        <w:t>PM</w:t>
      </w:r>
      <w:r w:rsidR="004D7DF9" w:rsidRPr="007F37E9">
        <w:rPr>
          <w:rFonts w:cs="Arial"/>
          <w:vertAlign w:val="subscript"/>
        </w:rPr>
        <w:t>2.5</w:t>
      </w:r>
      <w:r w:rsidR="004D7DF9">
        <w:t xml:space="preserve"> Standards (CARB 2016b:2, 22–23).</w:t>
      </w:r>
      <w:r w:rsidR="00986BB6">
        <w:t xml:space="preserve"> </w:t>
      </w:r>
    </w:p>
    <w:bookmarkEnd w:id="27"/>
    <w:bookmarkEnd w:id="28"/>
    <w:p w14:paraId="401075E7" w14:textId="370B52DF" w:rsidR="00697D06" w:rsidRPr="00F56CD2" w:rsidRDefault="00697D06" w:rsidP="00697D06">
      <w:pPr>
        <w:pStyle w:val="Heading5"/>
        <w:rPr>
          <w:bCs/>
        </w:rPr>
      </w:pPr>
      <w:r>
        <w:t>California Air Districts</w:t>
      </w:r>
    </w:p>
    <w:p w14:paraId="0695B4F1" w14:textId="74FC252F" w:rsidR="00786042" w:rsidRDefault="00786042" w:rsidP="00786042">
      <w:pPr>
        <w:pStyle w:val="BodyText"/>
      </w:pPr>
      <w:r w:rsidRPr="00175715">
        <w:t xml:space="preserve">There </w:t>
      </w:r>
      <w:r>
        <w:t xml:space="preserve">are currently </w:t>
      </w:r>
      <w:r w:rsidRPr="00175715">
        <w:t>35 air districts across California</w:t>
      </w:r>
      <w:r>
        <w:t>, all of which include some portion of the treatable landscape of the CalVTP</w:t>
      </w:r>
      <w:r w:rsidR="00E3674A">
        <w:t xml:space="preserve"> and regulate emissions of air pollutants within their jurisdiction</w:t>
      </w:r>
      <w:r>
        <w:t xml:space="preserve">. </w:t>
      </w:r>
      <w:r w:rsidRPr="00175715">
        <w:t xml:space="preserve">The CCAA requires that all local air districts in the </w:t>
      </w:r>
      <w:r>
        <w:t>state</w:t>
      </w:r>
      <w:r w:rsidRPr="00175715">
        <w:t xml:space="preserve"> </w:t>
      </w:r>
      <w:r>
        <w:t>work towards</w:t>
      </w:r>
      <w:r w:rsidRPr="00175715">
        <w:t xml:space="preserve"> </w:t>
      </w:r>
      <w:r>
        <w:t>achieving</w:t>
      </w:r>
      <w:r w:rsidRPr="00175715">
        <w:t xml:space="preserve"> and maintain</w:t>
      </w:r>
      <w:r>
        <w:t>ing</w:t>
      </w:r>
      <w:r w:rsidRPr="00175715">
        <w:t xml:space="preserve"> the CAAQS by the earliest practical date</w:t>
      </w:r>
      <w:r>
        <w:t xml:space="preserve">. </w:t>
      </w:r>
      <w:r w:rsidRPr="00175715">
        <w:t>The act specifies that local air districts should focus particular attention on reducing the emissions from transportation and area</w:t>
      </w:r>
      <w:r w:rsidR="007F3718">
        <w:t>-</w:t>
      </w:r>
      <w:r w:rsidRPr="00175715">
        <w:t>wide emission sources</w:t>
      </w:r>
      <w:r>
        <w:t>. It also</w:t>
      </w:r>
      <w:r w:rsidRPr="00175715">
        <w:t xml:space="preserve"> provides districts with the authority to regulate indirect sources.</w:t>
      </w:r>
      <w:r>
        <w:t xml:space="preserve"> Area wide sources have emissions spread out over wide areas. Prescribed burning is categorized by CARB as an area wide source under the miscellaneous processes category and is managed through the local districts burn authorization system. </w:t>
      </w:r>
      <w:r w:rsidRPr="00175715">
        <w:t>The CCAA provides districts with the authority to regulate indirect sources.</w:t>
      </w:r>
    </w:p>
    <w:p w14:paraId="384B4882" w14:textId="2284CDD6" w:rsidR="00786042" w:rsidRDefault="00786042" w:rsidP="00786042">
      <w:pPr>
        <w:pStyle w:val="BodyText"/>
      </w:pPr>
      <w:r w:rsidRPr="00175715">
        <w:t>Air districts attain and maintain air quality conditions in their respective jurisdictions through a comprehensive program of planning, regulation, enforcement, technical innovation, and promotion of the understanding of air quality issues</w:t>
      </w:r>
      <w:r>
        <w:t xml:space="preserve">. </w:t>
      </w:r>
      <w:r w:rsidRPr="00175715">
        <w:t>The clean air strategy implemented by air districts includes the preparation of plans for the attainment of CAAQS and NAAQS, adoption and enforcement of rules and regulations concerning sources of air pollution, and issuance of permits for stationary sources of air pollution</w:t>
      </w:r>
      <w:r>
        <w:t xml:space="preserve">. </w:t>
      </w:r>
      <w:r w:rsidRPr="00175715">
        <w:t>Air districts also inspect stationary sources of air pollution and respond to citizen complaints, monitor ambient air quality and meteorological conditions, and implement programs and regulations required by the CAA, CAAA, and the CCAA</w:t>
      </w:r>
      <w:r>
        <w:t>.</w:t>
      </w:r>
      <w:r w:rsidR="004A16B1">
        <w:t xml:space="preserve"> </w:t>
      </w:r>
    </w:p>
    <w:p w14:paraId="1209791B" w14:textId="255B60BC" w:rsidR="004A16B1" w:rsidRDefault="004A16B1" w:rsidP="004A16B1">
      <w:pPr>
        <w:pStyle w:val="Heading6"/>
      </w:pPr>
      <w:r>
        <w:t>Mass Emissions Thresholds of Significance</w:t>
      </w:r>
    </w:p>
    <w:p w14:paraId="5E3E5E2B" w14:textId="1B9E89CC" w:rsidR="00026DF0" w:rsidRDefault="0047205E" w:rsidP="00E51BEA">
      <w:pPr>
        <w:pStyle w:val="BodyText"/>
      </w:pPr>
      <w:r>
        <w:t>Most California air districts recommend mass emission thresholds for determining whether a project</w:t>
      </w:r>
      <w:r w:rsidR="00670EB0">
        <w:t>’</w:t>
      </w:r>
      <w:r>
        <w:t xml:space="preserve">s emissions of criteria air pollutants and precursors would </w:t>
      </w:r>
      <w:r w:rsidR="004D7DF9">
        <w:t xml:space="preserve">be significant </w:t>
      </w:r>
      <w:r w:rsidR="00855BE8">
        <w:t>under</w:t>
      </w:r>
      <w:r w:rsidR="004D7DF9">
        <w:t xml:space="preserve"> CEQA and </w:t>
      </w:r>
      <w:r w:rsidRPr="00803BA6">
        <w:t>result</w:t>
      </w:r>
      <w:r>
        <w:t xml:space="preserve"> in, or contribute to, an</w:t>
      </w:r>
      <w:r w:rsidRPr="00D3358B">
        <w:t xml:space="preserve"> increase </w:t>
      </w:r>
      <w:r>
        <w:t xml:space="preserve">in the ambient concentrations </w:t>
      </w:r>
      <w:r w:rsidRPr="00D3358B">
        <w:t>of criteria pollutant</w:t>
      </w:r>
      <w:r w:rsidR="005225BA">
        <w:t>s</w:t>
      </w:r>
      <w:r w:rsidRPr="00D3358B">
        <w:t xml:space="preserve"> </w:t>
      </w:r>
      <w:r w:rsidR="005225BA">
        <w:t xml:space="preserve">to levels that exceed </w:t>
      </w:r>
      <w:r>
        <w:t>the NAAQS and/or CAAQS</w:t>
      </w:r>
      <w:r w:rsidR="005225BA">
        <w:t xml:space="preserve">. A summary of the mass emission thresholds recommended by air districts in California is provided in </w:t>
      </w:r>
      <w:r w:rsidR="005D7134" w:rsidRPr="005D7134">
        <w:t>Table</w:t>
      </w:r>
      <w:r w:rsidR="005D7134">
        <w:t xml:space="preserve"> 3.4-2</w:t>
      </w:r>
      <w:r w:rsidR="005225BA">
        <w:t>.</w:t>
      </w:r>
    </w:p>
    <w:p w14:paraId="2C192184" w14:textId="75C97E93" w:rsidR="009E6160" w:rsidRDefault="009E6160">
      <w:pPr>
        <w:spacing w:after="200" w:line="276" w:lineRule="auto"/>
      </w:pPr>
      <w:r>
        <w:br w:type="page"/>
      </w:r>
    </w:p>
    <w:p w14:paraId="648135A2" w14:textId="77777777" w:rsidR="009E6160" w:rsidRDefault="009E6160" w:rsidP="00E51BEA">
      <w:pPr>
        <w:pStyle w:val="BodyText"/>
      </w:pPr>
    </w:p>
    <w:p w14:paraId="4E09BC12" w14:textId="397F5233" w:rsidR="009E6160" w:rsidRDefault="009E6160" w:rsidP="00E51BEA">
      <w:pPr>
        <w:pStyle w:val="BodyText"/>
      </w:pPr>
      <w:r>
        <w:t>This page intentionally left blank.</w:t>
      </w:r>
    </w:p>
    <w:p w14:paraId="3436E86C" w14:textId="77777777" w:rsidR="009E6160" w:rsidRDefault="009E6160" w:rsidP="00E51BEA">
      <w:pPr>
        <w:pStyle w:val="BodyText"/>
      </w:pPr>
    </w:p>
    <w:p w14:paraId="56DEDD5A" w14:textId="5815FAAB" w:rsidR="00333B12" w:rsidRDefault="00333B12" w:rsidP="00E51BEA">
      <w:pPr>
        <w:pStyle w:val="BodyText"/>
        <w:sectPr w:rsidR="00333B12" w:rsidSect="00AF160E">
          <w:headerReference w:type="even" r:id="rId10"/>
          <w:headerReference w:type="default" r:id="rId11"/>
          <w:footerReference w:type="even" r:id="rId12"/>
          <w:footerReference w:type="default" r:id="rId13"/>
          <w:headerReference w:type="first" r:id="rId14"/>
          <w:pgSz w:w="12240" w:h="15840" w:code="1"/>
          <w:pgMar w:top="1080" w:right="1080" w:bottom="1080" w:left="1080" w:header="576" w:footer="576" w:gutter="0"/>
          <w:pgNumType w:chapStyle="2"/>
          <w:cols w:space="720"/>
          <w:docGrid w:linePitch="360"/>
        </w:sectPr>
      </w:pPr>
    </w:p>
    <w:p w14:paraId="676218F5" w14:textId="5576086E" w:rsidR="00026DF0" w:rsidRDefault="009829A9" w:rsidP="009829A9">
      <w:pPr>
        <w:pStyle w:val="TableHeader"/>
      </w:pPr>
      <w:bookmarkStart w:id="30" w:name="_Toc23834432"/>
      <w:r>
        <w:lastRenderedPageBreak/>
        <w:t>Table 3.4-2</w:t>
      </w:r>
      <w:r w:rsidRPr="00324FC8">
        <w:tab/>
      </w:r>
      <w:r>
        <w:t>California Air District Mass Emissions Thresholds for Criteria Air Pollutants</w:t>
      </w:r>
      <w:bookmarkEnd w:id="30"/>
    </w:p>
    <w:tbl>
      <w:tblPr>
        <w:tblStyle w:val="TableGrid"/>
        <w:tblW w:w="22320" w:type="dxa"/>
        <w:jc w:val="center"/>
        <w:tblLayout w:type="fixed"/>
        <w:tblCellMar>
          <w:top w:w="43" w:type="dxa"/>
          <w:left w:w="115" w:type="dxa"/>
          <w:bottom w:w="43" w:type="dxa"/>
          <w:right w:w="115" w:type="dxa"/>
        </w:tblCellMar>
        <w:tblLook w:val="04A0" w:firstRow="1" w:lastRow="0" w:firstColumn="1" w:lastColumn="0" w:noHBand="0" w:noVBand="1"/>
      </w:tblPr>
      <w:tblGrid>
        <w:gridCol w:w="3430"/>
        <w:gridCol w:w="1574"/>
        <w:gridCol w:w="1574"/>
        <w:gridCol w:w="1574"/>
        <w:gridCol w:w="1574"/>
        <w:gridCol w:w="1574"/>
        <w:gridCol w:w="1575"/>
        <w:gridCol w:w="1574"/>
        <w:gridCol w:w="1574"/>
        <w:gridCol w:w="1574"/>
        <w:gridCol w:w="1574"/>
        <w:gridCol w:w="1574"/>
        <w:gridCol w:w="1575"/>
      </w:tblGrid>
      <w:tr w:rsidR="00DC3126" w14:paraId="4E45D9BB" w14:textId="77777777" w:rsidTr="00800DA6">
        <w:trPr>
          <w:trHeight w:val="20"/>
          <w:tblHeader/>
          <w:jc w:val="center"/>
        </w:trPr>
        <w:tc>
          <w:tcPr>
            <w:tcW w:w="3430" w:type="dxa"/>
            <w:tcBorders>
              <w:left w:val="nil"/>
            </w:tcBorders>
            <w:shd w:val="clear" w:color="auto" w:fill="D9D9D9" w:themeFill="background1" w:themeFillShade="D9"/>
            <w:vAlign w:val="center"/>
          </w:tcPr>
          <w:p w14:paraId="71A29BDC" w14:textId="77777777" w:rsidR="009829A9" w:rsidRPr="00AC5BEF" w:rsidRDefault="009829A9" w:rsidP="000E76A5">
            <w:pPr>
              <w:pStyle w:val="TableColumn"/>
            </w:pPr>
            <w:r>
              <w:t>Air District</w:t>
            </w:r>
          </w:p>
        </w:tc>
        <w:tc>
          <w:tcPr>
            <w:tcW w:w="1574" w:type="dxa"/>
            <w:tcBorders>
              <w:bottom w:val="single" w:sz="4" w:space="0" w:color="auto"/>
            </w:tcBorders>
            <w:shd w:val="clear" w:color="auto" w:fill="D9D9D9" w:themeFill="background1" w:themeFillShade="D9"/>
          </w:tcPr>
          <w:p w14:paraId="064240FC" w14:textId="77777777" w:rsidR="009829A9" w:rsidRPr="00AC5BEF" w:rsidRDefault="009829A9" w:rsidP="000E76A5">
            <w:pPr>
              <w:pStyle w:val="TableColumn"/>
              <w:rPr>
                <w:sz w:val="14"/>
                <w:szCs w:val="14"/>
              </w:rPr>
            </w:pPr>
            <w:r>
              <w:rPr>
                <w:szCs w:val="18"/>
              </w:rPr>
              <w:t>ROG</w:t>
            </w:r>
            <w:r w:rsidRPr="00AC5BEF">
              <w:rPr>
                <w:sz w:val="14"/>
                <w:szCs w:val="14"/>
              </w:rPr>
              <w:t xml:space="preserve"> Construction</w:t>
            </w:r>
          </w:p>
        </w:tc>
        <w:tc>
          <w:tcPr>
            <w:tcW w:w="1574" w:type="dxa"/>
            <w:shd w:val="clear" w:color="auto" w:fill="D9D9D9" w:themeFill="background1" w:themeFillShade="D9"/>
          </w:tcPr>
          <w:p w14:paraId="36C3B2FA" w14:textId="77777777" w:rsidR="009829A9" w:rsidRPr="00AC5BEF" w:rsidRDefault="009829A9" w:rsidP="000E76A5">
            <w:pPr>
              <w:pStyle w:val="TableColumn"/>
              <w:rPr>
                <w:sz w:val="14"/>
                <w:szCs w:val="14"/>
              </w:rPr>
            </w:pPr>
            <w:r>
              <w:rPr>
                <w:szCs w:val="18"/>
              </w:rPr>
              <w:t>ROG</w:t>
            </w:r>
            <w:r>
              <w:rPr>
                <w:sz w:val="14"/>
                <w:szCs w:val="14"/>
              </w:rPr>
              <w:t xml:space="preserve"> Operational</w:t>
            </w:r>
          </w:p>
        </w:tc>
        <w:tc>
          <w:tcPr>
            <w:tcW w:w="1574" w:type="dxa"/>
            <w:shd w:val="clear" w:color="auto" w:fill="D9D9D9" w:themeFill="background1" w:themeFillShade="D9"/>
          </w:tcPr>
          <w:p w14:paraId="0CB5F9D7" w14:textId="77777777" w:rsidR="009829A9" w:rsidRPr="00AC5BEF" w:rsidRDefault="009829A9" w:rsidP="000E76A5">
            <w:pPr>
              <w:pStyle w:val="TableColumn"/>
              <w:rPr>
                <w:sz w:val="14"/>
                <w:szCs w:val="14"/>
              </w:rPr>
            </w:pPr>
            <w:r>
              <w:rPr>
                <w:szCs w:val="18"/>
              </w:rPr>
              <w:t>NO</w:t>
            </w:r>
            <w:r>
              <w:rPr>
                <w:szCs w:val="18"/>
                <w:vertAlign w:val="subscript"/>
              </w:rPr>
              <w:t>X</w:t>
            </w:r>
            <w:r w:rsidRPr="00AC5BEF">
              <w:rPr>
                <w:sz w:val="14"/>
                <w:szCs w:val="14"/>
              </w:rPr>
              <w:t xml:space="preserve"> Construction</w:t>
            </w:r>
          </w:p>
        </w:tc>
        <w:tc>
          <w:tcPr>
            <w:tcW w:w="1574" w:type="dxa"/>
            <w:shd w:val="clear" w:color="auto" w:fill="D9D9D9" w:themeFill="background1" w:themeFillShade="D9"/>
          </w:tcPr>
          <w:p w14:paraId="3C3E587D" w14:textId="77777777" w:rsidR="009829A9" w:rsidRPr="00AC5BEF" w:rsidRDefault="009829A9" w:rsidP="000E76A5">
            <w:pPr>
              <w:pStyle w:val="TableColumn"/>
              <w:rPr>
                <w:sz w:val="14"/>
                <w:szCs w:val="14"/>
              </w:rPr>
            </w:pPr>
            <w:r>
              <w:rPr>
                <w:szCs w:val="18"/>
              </w:rPr>
              <w:t>NO</w:t>
            </w:r>
            <w:r>
              <w:rPr>
                <w:szCs w:val="18"/>
                <w:vertAlign w:val="subscript"/>
              </w:rPr>
              <w:t>X</w:t>
            </w:r>
            <w:r>
              <w:rPr>
                <w:sz w:val="14"/>
                <w:szCs w:val="14"/>
              </w:rPr>
              <w:t xml:space="preserve"> Operational</w:t>
            </w:r>
          </w:p>
        </w:tc>
        <w:tc>
          <w:tcPr>
            <w:tcW w:w="1574" w:type="dxa"/>
            <w:shd w:val="clear" w:color="auto" w:fill="D9D9D9" w:themeFill="background1" w:themeFillShade="D9"/>
          </w:tcPr>
          <w:p w14:paraId="3ED593C5" w14:textId="77777777" w:rsidR="009829A9" w:rsidRPr="00AC5BEF" w:rsidRDefault="009829A9" w:rsidP="000E76A5">
            <w:pPr>
              <w:pStyle w:val="TableColumn"/>
              <w:rPr>
                <w:sz w:val="14"/>
                <w:szCs w:val="14"/>
              </w:rPr>
            </w:pPr>
            <w:r>
              <w:rPr>
                <w:szCs w:val="18"/>
              </w:rPr>
              <w:t>PM</w:t>
            </w:r>
            <w:r w:rsidRPr="00E80224">
              <w:rPr>
                <w:szCs w:val="18"/>
                <w:vertAlign w:val="subscript"/>
              </w:rPr>
              <w:t>10</w:t>
            </w:r>
            <w:r>
              <w:rPr>
                <w:szCs w:val="18"/>
                <w:vertAlign w:val="subscript"/>
              </w:rPr>
              <w:t xml:space="preserve"> </w:t>
            </w:r>
            <w:r w:rsidRPr="00AC5BEF">
              <w:rPr>
                <w:sz w:val="14"/>
                <w:szCs w:val="14"/>
              </w:rPr>
              <w:t>Construction</w:t>
            </w:r>
          </w:p>
        </w:tc>
        <w:tc>
          <w:tcPr>
            <w:tcW w:w="1575" w:type="dxa"/>
            <w:shd w:val="clear" w:color="auto" w:fill="D9D9D9" w:themeFill="background1" w:themeFillShade="D9"/>
          </w:tcPr>
          <w:p w14:paraId="2292B6AC" w14:textId="77777777" w:rsidR="009829A9" w:rsidRPr="00AC5BEF" w:rsidRDefault="009829A9" w:rsidP="000E76A5">
            <w:pPr>
              <w:pStyle w:val="TableColumn"/>
              <w:rPr>
                <w:sz w:val="14"/>
                <w:szCs w:val="14"/>
              </w:rPr>
            </w:pPr>
            <w:r>
              <w:rPr>
                <w:szCs w:val="18"/>
              </w:rPr>
              <w:t>PM</w:t>
            </w:r>
            <w:r w:rsidRPr="00E80224">
              <w:rPr>
                <w:szCs w:val="18"/>
                <w:vertAlign w:val="subscript"/>
              </w:rPr>
              <w:t>10</w:t>
            </w:r>
            <w:r>
              <w:rPr>
                <w:szCs w:val="18"/>
                <w:vertAlign w:val="subscript"/>
              </w:rPr>
              <w:t xml:space="preserve"> </w:t>
            </w:r>
            <w:r>
              <w:rPr>
                <w:sz w:val="14"/>
                <w:szCs w:val="14"/>
              </w:rPr>
              <w:t>Operational</w:t>
            </w:r>
          </w:p>
        </w:tc>
        <w:tc>
          <w:tcPr>
            <w:tcW w:w="1574" w:type="dxa"/>
            <w:shd w:val="clear" w:color="auto" w:fill="D9D9D9" w:themeFill="background1" w:themeFillShade="D9"/>
          </w:tcPr>
          <w:p w14:paraId="7176B09C" w14:textId="77777777" w:rsidR="009829A9" w:rsidRPr="00AC5BEF" w:rsidRDefault="009829A9" w:rsidP="000E76A5">
            <w:pPr>
              <w:pStyle w:val="TableColumn"/>
              <w:rPr>
                <w:sz w:val="14"/>
                <w:szCs w:val="14"/>
              </w:rPr>
            </w:pPr>
            <w:r>
              <w:rPr>
                <w:szCs w:val="18"/>
              </w:rPr>
              <w:t>PM</w:t>
            </w:r>
            <w:r>
              <w:rPr>
                <w:szCs w:val="18"/>
                <w:vertAlign w:val="subscript"/>
              </w:rPr>
              <w:t xml:space="preserve">2.5 </w:t>
            </w:r>
            <w:r w:rsidRPr="00AC5BEF">
              <w:rPr>
                <w:sz w:val="14"/>
                <w:szCs w:val="14"/>
              </w:rPr>
              <w:t>Construction</w:t>
            </w:r>
          </w:p>
        </w:tc>
        <w:tc>
          <w:tcPr>
            <w:tcW w:w="1574" w:type="dxa"/>
            <w:shd w:val="clear" w:color="auto" w:fill="D9D9D9" w:themeFill="background1" w:themeFillShade="D9"/>
          </w:tcPr>
          <w:p w14:paraId="71623F7D" w14:textId="77777777" w:rsidR="009829A9" w:rsidRPr="00AC5BEF" w:rsidRDefault="009829A9" w:rsidP="000E76A5">
            <w:pPr>
              <w:pStyle w:val="TableColumn"/>
              <w:rPr>
                <w:sz w:val="14"/>
                <w:szCs w:val="14"/>
              </w:rPr>
            </w:pPr>
            <w:r>
              <w:rPr>
                <w:szCs w:val="18"/>
              </w:rPr>
              <w:t>PM</w:t>
            </w:r>
            <w:r>
              <w:rPr>
                <w:szCs w:val="18"/>
                <w:vertAlign w:val="subscript"/>
              </w:rPr>
              <w:t xml:space="preserve">2.5 </w:t>
            </w:r>
            <w:r>
              <w:rPr>
                <w:sz w:val="14"/>
                <w:szCs w:val="14"/>
              </w:rPr>
              <w:t>Operational</w:t>
            </w:r>
          </w:p>
        </w:tc>
        <w:tc>
          <w:tcPr>
            <w:tcW w:w="1574" w:type="dxa"/>
            <w:shd w:val="clear" w:color="auto" w:fill="D9D9D9" w:themeFill="background1" w:themeFillShade="D9"/>
          </w:tcPr>
          <w:p w14:paraId="612A9120" w14:textId="77777777" w:rsidR="009829A9" w:rsidRPr="00AC5BEF" w:rsidRDefault="009829A9" w:rsidP="000E76A5">
            <w:pPr>
              <w:pStyle w:val="TableColumn"/>
              <w:rPr>
                <w:sz w:val="14"/>
                <w:szCs w:val="14"/>
              </w:rPr>
            </w:pPr>
            <w:r>
              <w:rPr>
                <w:szCs w:val="18"/>
              </w:rPr>
              <w:t>SO</w:t>
            </w:r>
            <w:r>
              <w:rPr>
                <w:szCs w:val="18"/>
                <w:vertAlign w:val="subscript"/>
              </w:rPr>
              <w:t>X</w:t>
            </w:r>
            <w:r w:rsidRPr="00AC5BEF">
              <w:rPr>
                <w:sz w:val="14"/>
                <w:szCs w:val="14"/>
              </w:rPr>
              <w:t xml:space="preserve"> Construction</w:t>
            </w:r>
          </w:p>
        </w:tc>
        <w:tc>
          <w:tcPr>
            <w:tcW w:w="1574" w:type="dxa"/>
            <w:shd w:val="clear" w:color="auto" w:fill="D9D9D9" w:themeFill="background1" w:themeFillShade="D9"/>
          </w:tcPr>
          <w:p w14:paraId="390E5610" w14:textId="77777777" w:rsidR="009829A9" w:rsidRPr="00AC5BEF" w:rsidRDefault="009829A9" w:rsidP="000E76A5">
            <w:pPr>
              <w:pStyle w:val="TableColumn"/>
              <w:rPr>
                <w:sz w:val="14"/>
                <w:szCs w:val="14"/>
              </w:rPr>
            </w:pPr>
            <w:r>
              <w:rPr>
                <w:szCs w:val="18"/>
              </w:rPr>
              <w:t>SO</w:t>
            </w:r>
            <w:r>
              <w:rPr>
                <w:szCs w:val="18"/>
                <w:vertAlign w:val="subscript"/>
              </w:rPr>
              <w:t>X</w:t>
            </w:r>
            <w:r>
              <w:rPr>
                <w:sz w:val="14"/>
                <w:szCs w:val="14"/>
              </w:rPr>
              <w:t xml:space="preserve"> Operational</w:t>
            </w:r>
          </w:p>
        </w:tc>
        <w:tc>
          <w:tcPr>
            <w:tcW w:w="1574" w:type="dxa"/>
            <w:shd w:val="clear" w:color="auto" w:fill="D9D9D9" w:themeFill="background1" w:themeFillShade="D9"/>
          </w:tcPr>
          <w:p w14:paraId="76086AB1" w14:textId="77777777" w:rsidR="009829A9" w:rsidRPr="00AC5BEF" w:rsidRDefault="009829A9" w:rsidP="000E76A5">
            <w:pPr>
              <w:pStyle w:val="TableColumn"/>
              <w:rPr>
                <w:sz w:val="14"/>
                <w:szCs w:val="14"/>
              </w:rPr>
            </w:pPr>
            <w:r>
              <w:rPr>
                <w:szCs w:val="18"/>
              </w:rPr>
              <w:t>CO</w:t>
            </w:r>
            <w:r w:rsidRPr="00AC5BEF">
              <w:rPr>
                <w:sz w:val="14"/>
                <w:szCs w:val="14"/>
              </w:rPr>
              <w:t xml:space="preserve"> Construction</w:t>
            </w:r>
          </w:p>
        </w:tc>
        <w:tc>
          <w:tcPr>
            <w:tcW w:w="1575" w:type="dxa"/>
            <w:tcBorders>
              <w:right w:val="nil"/>
            </w:tcBorders>
            <w:shd w:val="clear" w:color="auto" w:fill="D9D9D9" w:themeFill="background1" w:themeFillShade="D9"/>
          </w:tcPr>
          <w:p w14:paraId="3BF2020F" w14:textId="4D420387" w:rsidR="009829A9" w:rsidRPr="00AC5BEF" w:rsidRDefault="009829A9" w:rsidP="000E76A5">
            <w:pPr>
              <w:pStyle w:val="TableColumn"/>
              <w:rPr>
                <w:sz w:val="14"/>
                <w:szCs w:val="14"/>
              </w:rPr>
            </w:pPr>
            <w:r>
              <w:rPr>
                <w:szCs w:val="18"/>
              </w:rPr>
              <w:t>CO</w:t>
            </w:r>
            <w:r>
              <w:rPr>
                <w:sz w:val="14"/>
                <w:szCs w:val="14"/>
              </w:rPr>
              <w:t xml:space="preserve"> Operational</w:t>
            </w:r>
          </w:p>
        </w:tc>
      </w:tr>
      <w:tr w:rsidR="009829A9" w14:paraId="598FDB68" w14:textId="77777777" w:rsidTr="00800DA6">
        <w:trPr>
          <w:trHeight w:val="20"/>
          <w:jc w:val="center"/>
        </w:trPr>
        <w:tc>
          <w:tcPr>
            <w:tcW w:w="3430" w:type="dxa"/>
            <w:tcBorders>
              <w:left w:val="nil"/>
            </w:tcBorders>
            <w:vAlign w:val="center"/>
          </w:tcPr>
          <w:p w14:paraId="68BEC46E" w14:textId="77777777" w:rsidR="009829A9" w:rsidRPr="00AC5BEF" w:rsidRDefault="009829A9" w:rsidP="000E76A5">
            <w:pPr>
              <w:pStyle w:val="TableText"/>
            </w:pPr>
            <w:r w:rsidRPr="00AC5BEF">
              <w:t>Amador County APCD</w:t>
            </w:r>
          </w:p>
        </w:tc>
        <w:tc>
          <w:tcPr>
            <w:tcW w:w="1574" w:type="dxa"/>
            <w:tcBorders>
              <w:right w:val="nil"/>
            </w:tcBorders>
            <w:vAlign w:val="center"/>
          </w:tcPr>
          <w:p w14:paraId="7982A692" w14:textId="77777777" w:rsidR="009829A9" w:rsidRPr="00AC5BEF" w:rsidRDefault="009829A9" w:rsidP="000E76A5">
            <w:pPr>
              <w:pStyle w:val="TableText"/>
            </w:pPr>
          </w:p>
        </w:tc>
        <w:tc>
          <w:tcPr>
            <w:tcW w:w="1574" w:type="dxa"/>
            <w:tcBorders>
              <w:left w:val="nil"/>
              <w:right w:val="nil"/>
            </w:tcBorders>
            <w:vAlign w:val="center"/>
          </w:tcPr>
          <w:p w14:paraId="243D1D7C" w14:textId="77777777" w:rsidR="009829A9" w:rsidRPr="00AC5BEF" w:rsidRDefault="009829A9" w:rsidP="000E76A5">
            <w:pPr>
              <w:pStyle w:val="TableText"/>
            </w:pPr>
          </w:p>
        </w:tc>
        <w:tc>
          <w:tcPr>
            <w:tcW w:w="1574" w:type="dxa"/>
            <w:tcBorders>
              <w:left w:val="nil"/>
              <w:right w:val="nil"/>
            </w:tcBorders>
            <w:vAlign w:val="center"/>
          </w:tcPr>
          <w:p w14:paraId="57A0EDFF" w14:textId="77777777" w:rsidR="009829A9" w:rsidRPr="00AC5BEF" w:rsidRDefault="009829A9" w:rsidP="000E76A5">
            <w:pPr>
              <w:pStyle w:val="TableText"/>
            </w:pPr>
          </w:p>
        </w:tc>
        <w:tc>
          <w:tcPr>
            <w:tcW w:w="1574" w:type="dxa"/>
            <w:tcBorders>
              <w:left w:val="nil"/>
              <w:right w:val="nil"/>
            </w:tcBorders>
            <w:vAlign w:val="center"/>
          </w:tcPr>
          <w:p w14:paraId="53D72235" w14:textId="77777777" w:rsidR="009829A9" w:rsidRPr="00AC5BEF" w:rsidRDefault="009829A9" w:rsidP="000E76A5">
            <w:pPr>
              <w:pStyle w:val="TableText"/>
            </w:pPr>
          </w:p>
        </w:tc>
        <w:tc>
          <w:tcPr>
            <w:tcW w:w="1574" w:type="dxa"/>
            <w:tcBorders>
              <w:left w:val="nil"/>
              <w:right w:val="nil"/>
            </w:tcBorders>
            <w:vAlign w:val="center"/>
          </w:tcPr>
          <w:p w14:paraId="7F482B89" w14:textId="77777777" w:rsidR="009829A9" w:rsidRPr="00AC5BEF" w:rsidRDefault="009829A9" w:rsidP="000E76A5">
            <w:pPr>
              <w:pStyle w:val="TableText"/>
            </w:pPr>
          </w:p>
        </w:tc>
        <w:tc>
          <w:tcPr>
            <w:tcW w:w="1575" w:type="dxa"/>
            <w:tcBorders>
              <w:left w:val="nil"/>
              <w:right w:val="nil"/>
            </w:tcBorders>
            <w:vAlign w:val="center"/>
          </w:tcPr>
          <w:p w14:paraId="0EBB1046" w14:textId="77777777" w:rsidR="009829A9" w:rsidRPr="00AC5BEF" w:rsidRDefault="009829A9" w:rsidP="000E76A5">
            <w:pPr>
              <w:pStyle w:val="TableText"/>
            </w:pPr>
            <w:r>
              <w:t>No thresholds</w:t>
            </w:r>
          </w:p>
        </w:tc>
        <w:tc>
          <w:tcPr>
            <w:tcW w:w="1574" w:type="dxa"/>
            <w:tcBorders>
              <w:left w:val="nil"/>
              <w:right w:val="nil"/>
            </w:tcBorders>
            <w:vAlign w:val="center"/>
          </w:tcPr>
          <w:p w14:paraId="396BF751" w14:textId="77777777" w:rsidR="009829A9" w:rsidRPr="00AC5BEF" w:rsidRDefault="009829A9" w:rsidP="000E76A5">
            <w:pPr>
              <w:pStyle w:val="TableText"/>
            </w:pPr>
          </w:p>
        </w:tc>
        <w:tc>
          <w:tcPr>
            <w:tcW w:w="1574" w:type="dxa"/>
            <w:tcBorders>
              <w:left w:val="nil"/>
              <w:right w:val="nil"/>
            </w:tcBorders>
            <w:vAlign w:val="center"/>
          </w:tcPr>
          <w:p w14:paraId="7DFBA681" w14:textId="77777777" w:rsidR="009829A9" w:rsidRPr="00AC5BEF" w:rsidRDefault="009829A9" w:rsidP="000E76A5">
            <w:pPr>
              <w:pStyle w:val="TableText"/>
            </w:pPr>
          </w:p>
        </w:tc>
        <w:tc>
          <w:tcPr>
            <w:tcW w:w="1574" w:type="dxa"/>
            <w:tcBorders>
              <w:left w:val="nil"/>
              <w:right w:val="nil"/>
            </w:tcBorders>
            <w:vAlign w:val="center"/>
          </w:tcPr>
          <w:p w14:paraId="3A2F9907" w14:textId="77777777" w:rsidR="009829A9" w:rsidRPr="00AC5BEF" w:rsidRDefault="009829A9" w:rsidP="000E76A5">
            <w:pPr>
              <w:pStyle w:val="TableText"/>
            </w:pPr>
          </w:p>
        </w:tc>
        <w:tc>
          <w:tcPr>
            <w:tcW w:w="1574" w:type="dxa"/>
            <w:tcBorders>
              <w:left w:val="nil"/>
              <w:right w:val="nil"/>
            </w:tcBorders>
            <w:vAlign w:val="center"/>
          </w:tcPr>
          <w:p w14:paraId="4F0E6640" w14:textId="77777777" w:rsidR="009829A9" w:rsidRPr="00AC5BEF" w:rsidRDefault="009829A9" w:rsidP="000E76A5">
            <w:pPr>
              <w:pStyle w:val="TableText"/>
            </w:pPr>
          </w:p>
        </w:tc>
        <w:tc>
          <w:tcPr>
            <w:tcW w:w="1574" w:type="dxa"/>
            <w:tcBorders>
              <w:left w:val="nil"/>
              <w:right w:val="nil"/>
            </w:tcBorders>
            <w:vAlign w:val="center"/>
          </w:tcPr>
          <w:p w14:paraId="767594BE" w14:textId="77777777" w:rsidR="009829A9" w:rsidRPr="00AC5BEF" w:rsidRDefault="009829A9" w:rsidP="000E76A5">
            <w:pPr>
              <w:pStyle w:val="TableText"/>
            </w:pPr>
          </w:p>
        </w:tc>
        <w:tc>
          <w:tcPr>
            <w:tcW w:w="1575" w:type="dxa"/>
            <w:tcBorders>
              <w:left w:val="nil"/>
              <w:right w:val="nil"/>
            </w:tcBorders>
            <w:vAlign w:val="center"/>
          </w:tcPr>
          <w:p w14:paraId="17D821A8" w14:textId="77777777" w:rsidR="009829A9" w:rsidRPr="00AC5BEF" w:rsidRDefault="009829A9" w:rsidP="000E76A5">
            <w:pPr>
              <w:pStyle w:val="TableText"/>
            </w:pPr>
          </w:p>
        </w:tc>
      </w:tr>
      <w:tr w:rsidR="009829A9" w14:paraId="4EDA02B3" w14:textId="77777777" w:rsidTr="00800DA6">
        <w:trPr>
          <w:trHeight w:val="20"/>
          <w:jc w:val="center"/>
        </w:trPr>
        <w:tc>
          <w:tcPr>
            <w:tcW w:w="3430" w:type="dxa"/>
            <w:tcBorders>
              <w:left w:val="nil"/>
            </w:tcBorders>
            <w:vAlign w:val="center"/>
          </w:tcPr>
          <w:p w14:paraId="7EE11984" w14:textId="77777777" w:rsidR="009829A9" w:rsidRPr="00AC5BEF" w:rsidRDefault="009829A9" w:rsidP="000E76A5">
            <w:pPr>
              <w:pStyle w:val="TableText"/>
              <w:rPr>
                <w:vertAlign w:val="superscript"/>
              </w:rPr>
            </w:pPr>
            <w:r w:rsidRPr="00AC5BEF">
              <w:t>Antelope Valley APCD</w:t>
            </w:r>
            <w:r>
              <w:t>* (North Los Angeles County)</w:t>
            </w:r>
          </w:p>
        </w:tc>
        <w:tc>
          <w:tcPr>
            <w:tcW w:w="1574" w:type="dxa"/>
            <w:vAlign w:val="center"/>
          </w:tcPr>
          <w:p w14:paraId="1C9CDD02" w14:textId="57A79926" w:rsidR="009829A9" w:rsidRPr="00AC5BEF" w:rsidRDefault="009829A9" w:rsidP="000E76A5">
            <w:pPr>
              <w:pStyle w:val="TableText"/>
            </w:pPr>
            <w:r w:rsidRPr="00AC5BEF">
              <w:t xml:space="preserve">137 </w:t>
            </w:r>
            <w:proofErr w:type="spellStart"/>
            <w:r w:rsidRPr="00AC5BEF">
              <w:t>lb</w:t>
            </w:r>
            <w:proofErr w:type="spellEnd"/>
            <w:r w:rsidRPr="00AC5BEF">
              <w:t>/day</w:t>
            </w:r>
            <w:r>
              <w:t xml:space="preserve"> or </w:t>
            </w:r>
            <w:r w:rsidR="00800DA6">
              <w:br/>
            </w:r>
            <w:r w:rsidRPr="00AC5BEF">
              <w:t xml:space="preserve">25 </w:t>
            </w:r>
            <w:proofErr w:type="spellStart"/>
            <w:r w:rsidRPr="00AC5BEF">
              <w:t>tpy</w:t>
            </w:r>
            <w:proofErr w:type="spellEnd"/>
          </w:p>
        </w:tc>
        <w:tc>
          <w:tcPr>
            <w:tcW w:w="1574" w:type="dxa"/>
            <w:vAlign w:val="center"/>
          </w:tcPr>
          <w:p w14:paraId="48D75989" w14:textId="53AB3C97" w:rsidR="009829A9" w:rsidRPr="00AC5BEF" w:rsidRDefault="009829A9" w:rsidP="000E76A5">
            <w:pPr>
              <w:pStyle w:val="TableText"/>
            </w:pPr>
            <w:r w:rsidRPr="00AC5BEF">
              <w:t xml:space="preserve">137 </w:t>
            </w:r>
            <w:proofErr w:type="spellStart"/>
            <w:r w:rsidRPr="00AC5BEF">
              <w:t>lb</w:t>
            </w:r>
            <w:proofErr w:type="spellEnd"/>
            <w:r w:rsidRPr="00AC5BEF">
              <w:t>/day</w:t>
            </w:r>
            <w:r>
              <w:t xml:space="preserve"> or </w:t>
            </w:r>
            <w:r w:rsidR="00800DA6">
              <w:br/>
            </w:r>
            <w:r w:rsidRPr="00AC5BEF">
              <w:t xml:space="preserve">25 </w:t>
            </w:r>
            <w:proofErr w:type="spellStart"/>
            <w:r w:rsidRPr="00AC5BEF">
              <w:t>tpy</w:t>
            </w:r>
            <w:proofErr w:type="spellEnd"/>
          </w:p>
        </w:tc>
        <w:tc>
          <w:tcPr>
            <w:tcW w:w="1574" w:type="dxa"/>
            <w:vAlign w:val="center"/>
          </w:tcPr>
          <w:p w14:paraId="0892C560" w14:textId="6B405B5F" w:rsidR="009829A9" w:rsidRPr="00AC5BEF" w:rsidRDefault="009829A9" w:rsidP="000E76A5">
            <w:pPr>
              <w:pStyle w:val="TableText"/>
            </w:pPr>
            <w:r w:rsidRPr="00AC5BEF">
              <w:t xml:space="preserve">137 </w:t>
            </w:r>
            <w:proofErr w:type="spellStart"/>
            <w:r w:rsidRPr="00AC5BEF">
              <w:t>lb</w:t>
            </w:r>
            <w:proofErr w:type="spellEnd"/>
            <w:r w:rsidRPr="00AC5BEF">
              <w:t>/day</w:t>
            </w:r>
            <w:r>
              <w:t xml:space="preserve"> or </w:t>
            </w:r>
            <w:r w:rsidR="00800DA6">
              <w:br/>
            </w:r>
            <w:r w:rsidRPr="00AC5BEF">
              <w:t xml:space="preserve">25 </w:t>
            </w:r>
            <w:proofErr w:type="spellStart"/>
            <w:r w:rsidRPr="00AC5BEF">
              <w:t>tpy</w:t>
            </w:r>
            <w:proofErr w:type="spellEnd"/>
          </w:p>
        </w:tc>
        <w:tc>
          <w:tcPr>
            <w:tcW w:w="1574" w:type="dxa"/>
            <w:vAlign w:val="center"/>
          </w:tcPr>
          <w:p w14:paraId="01AA96DF" w14:textId="1EFE48A5" w:rsidR="009829A9" w:rsidRPr="00AC5BEF" w:rsidRDefault="009829A9" w:rsidP="000E76A5">
            <w:pPr>
              <w:pStyle w:val="TableText"/>
            </w:pPr>
            <w:r w:rsidRPr="00AC5BEF">
              <w:t xml:space="preserve">137 </w:t>
            </w:r>
            <w:proofErr w:type="spellStart"/>
            <w:r w:rsidRPr="00AC5BEF">
              <w:t>lb</w:t>
            </w:r>
            <w:proofErr w:type="spellEnd"/>
            <w:r w:rsidRPr="00AC5BEF">
              <w:t>/day</w:t>
            </w:r>
            <w:r>
              <w:t xml:space="preserve"> or </w:t>
            </w:r>
            <w:r w:rsidR="00800DA6">
              <w:br/>
            </w:r>
            <w:r w:rsidRPr="00AC5BEF">
              <w:t xml:space="preserve">25 </w:t>
            </w:r>
            <w:proofErr w:type="spellStart"/>
            <w:r w:rsidRPr="00AC5BEF">
              <w:t>tpy</w:t>
            </w:r>
            <w:proofErr w:type="spellEnd"/>
          </w:p>
        </w:tc>
        <w:tc>
          <w:tcPr>
            <w:tcW w:w="1574" w:type="dxa"/>
            <w:vAlign w:val="center"/>
          </w:tcPr>
          <w:p w14:paraId="086A95D3" w14:textId="1C35A29B" w:rsidR="009829A9" w:rsidRPr="00AC5BEF" w:rsidRDefault="009829A9" w:rsidP="000E76A5">
            <w:pPr>
              <w:pStyle w:val="TableText"/>
            </w:pPr>
            <w:r w:rsidRPr="00AC5BEF">
              <w:t xml:space="preserve">82 </w:t>
            </w:r>
            <w:proofErr w:type="spellStart"/>
            <w:r w:rsidRPr="00AC5BEF">
              <w:t>lb</w:t>
            </w:r>
            <w:proofErr w:type="spellEnd"/>
            <w:r w:rsidRPr="00AC5BEF">
              <w:t>/day</w:t>
            </w:r>
            <w:r>
              <w:t xml:space="preserve"> or </w:t>
            </w:r>
            <w:r w:rsidR="00800DA6">
              <w:br/>
            </w:r>
            <w:r w:rsidRPr="00AC5BEF">
              <w:t xml:space="preserve">15 </w:t>
            </w:r>
            <w:proofErr w:type="spellStart"/>
            <w:r w:rsidRPr="00AC5BEF">
              <w:t>tpy</w:t>
            </w:r>
            <w:proofErr w:type="spellEnd"/>
          </w:p>
        </w:tc>
        <w:tc>
          <w:tcPr>
            <w:tcW w:w="1575" w:type="dxa"/>
            <w:vAlign w:val="center"/>
          </w:tcPr>
          <w:p w14:paraId="7C026497" w14:textId="50ABE4C8" w:rsidR="009829A9" w:rsidRPr="00AC5BEF" w:rsidRDefault="009829A9" w:rsidP="000E76A5">
            <w:pPr>
              <w:pStyle w:val="TableText"/>
            </w:pPr>
            <w:r w:rsidRPr="00AC5BEF">
              <w:t xml:space="preserve">82 </w:t>
            </w:r>
            <w:proofErr w:type="spellStart"/>
            <w:r w:rsidRPr="00AC5BEF">
              <w:t>lb</w:t>
            </w:r>
            <w:proofErr w:type="spellEnd"/>
            <w:r w:rsidRPr="00AC5BEF">
              <w:t>/day</w:t>
            </w:r>
            <w:r>
              <w:t xml:space="preserve"> or </w:t>
            </w:r>
            <w:r w:rsidR="00800DA6">
              <w:br/>
            </w:r>
            <w:r w:rsidRPr="00AC5BEF">
              <w:t xml:space="preserve">15 </w:t>
            </w:r>
            <w:proofErr w:type="spellStart"/>
            <w:r w:rsidRPr="00AC5BEF">
              <w:t>tpy</w:t>
            </w:r>
            <w:proofErr w:type="spellEnd"/>
          </w:p>
        </w:tc>
        <w:tc>
          <w:tcPr>
            <w:tcW w:w="1574" w:type="dxa"/>
            <w:vAlign w:val="center"/>
          </w:tcPr>
          <w:p w14:paraId="02D9FABF" w14:textId="6D74A9A4" w:rsidR="009829A9" w:rsidRPr="00AC5BEF" w:rsidRDefault="009829A9" w:rsidP="000E76A5">
            <w:pPr>
              <w:pStyle w:val="TableText"/>
            </w:pPr>
            <w:r w:rsidRPr="00AC5BEF">
              <w:t xml:space="preserve">65 </w:t>
            </w:r>
            <w:proofErr w:type="spellStart"/>
            <w:r w:rsidRPr="00AC5BEF">
              <w:t>lb</w:t>
            </w:r>
            <w:proofErr w:type="spellEnd"/>
            <w:r w:rsidRPr="00AC5BEF">
              <w:t>/day</w:t>
            </w:r>
            <w:r>
              <w:t xml:space="preserve"> or </w:t>
            </w:r>
            <w:r w:rsidR="00800DA6">
              <w:br/>
            </w:r>
            <w:r w:rsidRPr="00AC5BEF">
              <w:t xml:space="preserve">12 </w:t>
            </w:r>
            <w:proofErr w:type="spellStart"/>
            <w:r w:rsidRPr="00AC5BEF">
              <w:t>tpy</w:t>
            </w:r>
            <w:proofErr w:type="spellEnd"/>
          </w:p>
        </w:tc>
        <w:tc>
          <w:tcPr>
            <w:tcW w:w="1574" w:type="dxa"/>
            <w:vAlign w:val="center"/>
          </w:tcPr>
          <w:p w14:paraId="7F752C5A" w14:textId="2F9CE261" w:rsidR="009829A9" w:rsidRPr="00AC5BEF" w:rsidRDefault="009829A9" w:rsidP="000E76A5">
            <w:pPr>
              <w:pStyle w:val="TableText"/>
            </w:pPr>
            <w:r w:rsidRPr="00AC5BEF">
              <w:t xml:space="preserve">65 </w:t>
            </w:r>
            <w:proofErr w:type="spellStart"/>
            <w:r w:rsidRPr="00AC5BEF">
              <w:t>lb</w:t>
            </w:r>
            <w:proofErr w:type="spellEnd"/>
            <w:r w:rsidRPr="00AC5BEF">
              <w:t>/day</w:t>
            </w:r>
            <w:r>
              <w:t xml:space="preserve"> or </w:t>
            </w:r>
            <w:r w:rsidR="00800DA6">
              <w:br/>
            </w:r>
            <w:r w:rsidRPr="00AC5BEF">
              <w:t xml:space="preserve">12 </w:t>
            </w:r>
            <w:proofErr w:type="spellStart"/>
            <w:r w:rsidRPr="00AC5BEF">
              <w:t>tpy</w:t>
            </w:r>
            <w:proofErr w:type="spellEnd"/>
          </w:p>
        </w:tc>
        <w:tc>
          <w:tcPr>
            <w:tcW w:w="1574" w:type="dxa"/>
            <w:vAlign w:val="center"/>
          </w:tcPr>
          <w:p w14:paraId="4D337707" w14:textId="30A568FF" w:rsidR="009829A9" w:rsidRPr="00AC5BEF" w:rsidRDefault="009829A9" w:rsidP="000E76A5">
            <w:pPr>
              <w:pStyle w:val="TableText"/>
            </w:pPr>
            <w:r w:rsidRPr="00AC5BEF">
              <w:t xml:space="preserve">137 </w:t>
            </w:r>
            <w:proofErr w:type="spellStart"/>
            <w:r w:rsidRPr="00AC5BEF">
              <w:t>lb</w:t>
            </w:r>
            <w:proofErr w:type="spellEnd"/>
            <w:r w:rsidRPr="00AC5BEF">
              <w:t>/day</w:t>
            </w:r>
            <w:r>
              <w:t xml:space="preserve"> or </w:t>
            </w:r>
            <w:r w:rsidR="00800DA6">
              <w:br/>
            </w:r>
            <w:r w:rsidRPr="00AC5BEF">
              <w:t xml:space="preserve">25 </w:t>
            </w:r>
            <w:proofErr w:type="spellStart"/>
            <w:r w:rsidRPr="00AC5BEF">
              <w:t>tpy</w:t>
            </w:r>
            <w:proofErr w:type="spellEnd"/>
          </w:p>
        </w:tc>
        <w:tc>
          <w:tcPr>
            <w:tcW w:w="1574" w:type="dxa"/>
            <w:vAlign w:val="center"/>
          </w:tcPr>
          <w:p w14:paraId="4A6A1B8A" w14:textId="54B9DC99" w:rsidR="009829A9" w:rsidRPr="00AC5BEF" w:rsidRDefault="009829A9" w:rsidP="000E76A5">
            <w:pPr>
              <w:pStyle w:val="TableText"/>
            </w:pPr>
            <w:r w:rsidRPr="00AC5BEF">
              <w:t xml:space="preserve">137 </w:t>
            </w:r>
            <w:proofErr w:type="spellStart"/>
            <w:r w:rsidRPr="00AC5BEF">
              <w:t>lb</w:t>
            </w:r>
            <w:proofErr w:type="spellEnd"/>
            <w:r w:rsidRPr="00AC5BEF">
              <w:t>/day</w:t>
            </w:r>
            <w:r>
              <w:t xml:space="preserve"> or </w:t>
            </w:r>
            <w:r w:rsidR="00800DA6">
              <w:br/>
            </w:r>
            <w:r w:rsidRPr="00AC5BEF">
              <w:t xml:space="preserve">25 </w:t>
            </w:r>
            <w:proofErr w:type="spellStart"/>
            <w:r w:rsidRPr="00AC5BEF">
              <w:t>tpy</w:t>
            </w:r>
            <w:proofErr w:type="spellEnd"/>
          </w:p>
        </w:tc>
        <w:tc>
          <w:tcPr>
            <w:tcW w:w="1574" w:type="dxa"/>
            <w:tcBorders>
              <w:right w:val="nil"/>
            </w:tcBorders>
            <w:vAlign w:val="center"/>
          </w:tcPr>
          <w:p w14:paraId="63AF485C" w14:textId="7950AAE0" w:rsidR="009829A9" w:rsidRPr="00AC5BEF" w:rsidRDefault="009829A9" w:rsidP="000E76A5">
            <w:pPr>
              <w:pStyle w:val="TableText"/>
            </w:pPr>
            <w:r w:rsidRPr="00AC5BEF">
              <w:t xml:space="preserve">548 </w:t>
            </w:r>
            <w:proofErr w:type="spellStart"/>
            <w:r w:rsidRPr="00AC5BEF">
              <w:t>lb</w:t>
            </w:r>
            <w:proofErr w:type="spellEnd"/>
            <w:r w:rsidRPr="00AC5BEF">
              <w:t>/day</w:t>
            </w:r>
            <w:r>
              <w:t xml:space="preserve"> or </w:t>
            </w:r>
            <w:r w:rsidR="00800DA6">
              <w:br/>
            </w:r>
            <w:r w:rsidRPr="00AC5BEF">
              <w:t xml:space="preserve">100 </w:t>
            </w:r>
            <w:proofErr w:type="spellStart"/>
            <w:r w:rsidRPr="00AC5BEF">
              <w:t>tpy</w:t>
            </w:r>
            <w:proofErr w:type="spellEnd"/>
          </w:p>
        </w:tc>
        <w:tc>
          <w:tcPr>
            <w:tcW w:w="1575" w:type="dxa"/>
            <w:tcBorders>
              <w:right w:val="nil"/>
            </w:tcBorders>
            <w:vAlign w:val="center"/>
          </w:tcPr>
          <w:p w14:paraId="5677D959" w14:textId="26B856A7" w:rsidR="009829A9" w:rsidRPr="00AC5BEF" w:rsidRDefault="009829A9" w:rsidP="000E76A5">
            <w:pPr>
              <w:pStyle w:val="TableText"/>
            </w:pPr>
            <w:r w:rsidRPr="00AC5BEF">
              <w:t xml:space="preserve">548 </w:t>
            </w:r>
            <w:proofErr w:type="spellStart"/>
            <w:r w:rsidRPr="00AC5BEF">
              <w:t>lb</w:t>
            </w:r>
            <w:proofErr w:type="spellEnd"/>
            <w:r w:rsidRPr="00AC5BEF">
              <w:t>/day</w:t>
            </w:r>
            <w:r>
              <w:t xml:space="preserve"> or </w:t>
            </w:r>
            <w:r w:rsidR="00800DA6">
              <w:br/>
            </w:r>
            <w:r w:rsidRPr="00AC5BEF">
              <w:t xml:space="preserve">100 </w:t>
            </w:r>
            <w:proofErr w:type="spellStart"/>
            <w:r w:rsidRPr="00AC5BEF">
              <w:t>tpy</w:t>
            </w:r>
            <w:proofErr w:type="spellEnd"/>
          </w:p>
        </w:tc>
      </w:tr>
      <w:tr w:rsidR="009829A9" w14:paraId="36D9E058" w14:textId="77777777" w:rsidTr="00800DA6">
        <w:trPr>
          <w:trHeight w:val="20"/>
          <w:jc w:val="center"/>
        </w:trPr>
        <w:tc>
          <w:tcPr>
            <w:tcW w:w="3430" w:type="dxa"/>
            <w:tcBorders>
              <w:left w:val="nil"/>
            </w:tcBorders>
            <w:vAlign w:val="center"/>
          </w:tcPr>
          <w:p w14:paraId="1CA65EED" w14:textId="77777777" w:rsidR="009829A9" w:rsidRPr="00AC5BEF" w:rsidRDefault="009829A9" w:rsidP="000E76A5">
            <w:pPr>
              <w:pStyle w:val="TableText"/>
            </w:pPr>
            <w:r w:rsidRPr="00AC5BEF">
              <w:t>Bay Area AQMD</w:t>
            </w:r>
            <w:r>
              <w:t xml:space="preserve"> (Alameda, Contra Costa, Marin, Napa, San Francisco, San Mateo, Santa Clara, Southern Sonoma, and Southwest Solano County)</w:t>
            </w:r>
          </w:p>
        </w:tc>
        <w:tc>
          <w:tcPr>
            <w:tcW w:w="1574" w:type="dxa"/>
            <w:vAlign w:val="center"/>
          </w:tcPr>
          <w:p w14:paraId="35947208" w14:textId="77777777" w:rsidR="009829A9" w:rsidRPr="00AC5BEF" w:rsidRDefault="009829A9" w:rsidP="000E76A5">
            <w:pPr>
              <w:pStyle w:val="TableText"/>
            </w:pPr>
            <w:r>
              <w:t xml:space="preserve">54 </w:t>
            </w:r>
            <w:proofErr w:type="spellStart"/>
            <w:r>
              <w:t>lb</w:t>
            </w:r>
            <w:proofErr w:type="spellEnd"/>
            <w:r>
              <w:t>/day</w:t>
            </w:r>
          </w:p>
        </w:tc>
        <w:tc>
          <w:tcPr>
            <w:tcW w:w="1574" w:type="dxa"/>
            <w:vAlign w:val="center"/>
          </w:tcPr>
          <w:p w14:paraId="1AE75EC5" w14:textId="77777777" w:rsidR="009829A9" w:rsidRDefault="009829A9" w:rsidP="000E76A5">
            <w:pPr>
              <w:pStyle w:val="TableText"/>
            </w:pPr>
            <w:r>
              <w:t xml:space="preserve">54 </w:t>
            </w:r>
            <w:proofErr w:type="spellStart"/>
            <w:r>
              <w:t>lb</w:t>
            </w:r>
            <w:proofErr w:type="spellEnd"/>
            <w:r>
              <w:t>/day</w:t>
            </w:r>
          </w:p>
          <w:p w14:paraId="392B7872" w14:textId="77777777" w:rsidR="009829A9" w:rsidRPr="00AC5BEF" w:rsidRDefault="009829A9" w:rsidP="000E76A5">
            <w:pPr>
              <w:pStyle w:val="TableText"/>
            </w:pPr>
            <w:r>
              <w:t xml:space="preserve">10 </w:t>
            </w:r>
            <w:proofErr w:type="spellStart"/>
            <w:r>
              <w:t>tpy</w:t>
            </w:r>
            <w:proofErr w:type="spellEnd"/>
          </w:p>
        </w:tc>
        <w:tc>
          <w:tcPr>
            <w:tcW w:w="1574" w:type="dxa"/>
            <w:vAlign w:val="center"/>
          </w:tcPr>
          <w:p w14:paraId="53B86ED3" w14:textId="77777777" w:rsidR="009829A9" w:rsidRPr="00AC5BEF" w:rsidRDefault="009829A9" w:rsidP="000E76A5">
            <w:pPr>
              <w:pStyle w:val="TableText"/>
            </w:pPr>
            <w:r>
              <w:t xml:space="preserve">54 </w:t>
            </w:r>
            <w:proofErr w:type="spellStart"/>
            <w:r>
              <w:t>lb</w:t>
            </w:r>
            <w:proofErr w:type="spellEnd"/>
            <w:r>
              <w:t>/day</w:t>
            </w:r>
          </w:p>
        </w:tc>
        <w:tc>
          <w:tcPr>
            <w:tcW w:w="1574" w:type="dxa"/>
            <w:vAlign w:val="center"/>
          </w:tcPr>
          <w:p w14:paraId="65808472" w14:textId="77777777" w:rsidR="009829A9" w:rsidRPr="00AC5BEF" w:rsidRDefault="009829A9" w:rsidP="000E76A5">
            <w:pPr>
              <w:pStyle w:val="TableText"/>
            </w:pPr>
            <w:r>
              <w:t xml:space="preserve">54 </w:t>
            </w:r>
            <w:proofErr w:type="spellStart"/>
            <w:r>
              <w:t>lb</w:t>
            </w:r>
            <w:proofErr w:type="spellEnd"/>
            <w:r>
              <w:t xml:space="preserve">/day or 10 </w:t>
            </w:r>
            <w:proofErr w:type="spellStart"/>
            <w:r>
              <w:t>tpy</w:t>
            </w:r>
            <w:proofErr w:type="spellEnd"/>
          </w:p>
        </w:tc>
        <w:tc>
          <w:tcPr>
            <w:tcW w:w="1574" w:type="dxa"/>
            <w:vAlign w:val="center"/>
          </w:tcPr>
          <w:p w14:paraId="0E65E38E" w14:textId="77777777" w:rsidR="009829A9" w:rsidRDefault="009829A9" w:rsidP="000E76A5">
            <w:pPr>
              <w:pStyle w:val="TableText"/>
            </w:pPr>
            <w:r>
              <w:t xml:space="preserve">82 </w:t>
            </w:r>
            <w:proofErr w:type="spellStart"/>
            <w:r>
              <w:t>lb</w:t>
            </w:r>
            <w:proofErr w:type="spellEnd"/>
            <w:r>
              <w:t>/day (exhaust)</w:t>
            </w:r>
          </w:p>
          <w:p w14:paraId="75D785C4" w14:textId="77777777" w:rsidR="009829A9" w:rsidRPr="00AC5BEF" w:rsidRDefault="009829A9" w:rsidP="000E76A5">
            <w:pPr>
              <w:pStyle w:val="TableText"/>
            </w:pPr>
            <w:r>
              <w:t>BMPs for fugitive dust</w:t>
            </w:r>
          </w:p>
        </w:tc>
        <w:tc>
          <w:tcPr>
            <w:tcW w:w="1575" w:type="dxa"/>
            <w:vAlign w:val="center"/>
          </w:tcPr>
          <w:p w14:paraId="68339F78" w14:textId="77777777" w:rsidR="009829A9" w:rsidRDefault="009829A9" w:rsidP="000E76A5">
            <w:pPr>
              <w:pStyle w:val="TableText"/>
            </w:pPr>
            <w:r>
              <w:t xml:space="preserve">82 </w:t>
            </w:r>
            <w:proofErr w:type="spellStart"/>
            <w:r>
              <w:t>lb</w:t>
            </w:r>
            <w:proofErr w:type="spellEnd"/>
            <w:r>
              <w:t xml:space="preserve">/day or 15 </w:t>
            </w:r>
            <w:proofErr w:type="spellStart"/>
            <w:r>
              <w:t>tpy</w:t>
            </w:r>
            <w:proofErr w:type="spellEnd"/>
          </w:p>
          <w:p w14:paraId="1F79B4C2" w14:textId="77777777" w:rsidR="009829A9" w:rsidRPr="00AC5BEF" w:rsidRDefault="009829A9" w:rsidP="000E76A5">
            <w:pPr>
              <w:pStyle w:val="TableText"/>
            </w:pPr>
            <w:r>
              <w:t>None for fugitive dust</w:t>
            </w:r>
          </w:p>
        </w:tc>
        <w:tc>
          <w:tcPr>
            <w:tcW w:w="1574" w:type="dxa"/>
            <w:vAlign w:val="center"/>
          </w:tcPr>
          <w:p w14:paraId="1B183B1D" w14:textId="77777777" w:rsidR="009829A9" w:rsidRDefault="009829A9" w:rsidP="000E76A5">
            <w:pPr>
              <w:pStyle w:val="TableText"/>
            </w:pPr>
            <w:r>
              <w:t xml:space="preserve">54 </w:t>
            </w:r>
            <w:proofErr w:type="spellStart"/>
            <w:r>
              <w:t>lb</w:t>
            </w:r>
            <w:proofErr w:type="spellEnd"/>
            <w:r>
              <w:t>/day (exhaust)</w:t>
            </w:r>
          </w:p>
          <w:p w14:paraId="0BA089B3" w14:textId="77777777" w:rsidR="009829A9" w:rsidRPr="00AC5BEF" w:rsidRDefault="009829A9" w:rsidP="000E76A5">
            <w:pPr>
              <w:pStyle w:val="TableText"/>
            </w:pPr>
            <w:r>
              <w:t>BMPs for fugitive dust</w:t>
            </w:r>
          </w:p>
        </w:tc>
        <w:tc>
          <w:tcPr>
            <w:tcW w:w="1574" w:type="dxa"/>
            <w:vAlign w:val="center"/>
          </w:tcPr>
          <w:p w14:paraId="28CF5A6A" w14:textId="77777777" w:rsidR="009829A9" w:rsidRDefault="009829A9" w:rsidP="000E76A5">
            <w:pPr>
              <w:pStyle w:val="TableText"/>
            </w:pPr>
            <w:r>
              <w:t xml:space="preserve">54 </w:t>
            </w:r>
            <w:proofErr w:type="spellStart"/>
            <w:r>
              <w:t>lb</w:t>
            </w:r>
            <w:proofErr w:type="spellEnd"/>
            <w:r>
              <w:t xml:space="preserve">/day or 10 </w:t>
            </w:r>
            <w:proofErr w:type="spellStart"/>
            <w:r>
              <w:t>tpy</w:t>
            </w:r>
            <w:proofErr w:type="spellEnd"/>
          </w:p>
          <w:p w14:paraId="35CC6BCD" w14:textId="77777777" w:rsidR="009829A9" w:rsidRPr="00AC5BEF" w:rsidRDefault="009829A9" w:rsidP="000E76A5">
            <w:pPr>
              <w:pStyle w:val="TableText"/>
            </w:pPr>
            <w:r>
              <w:t>None for fugitive dust</w:t>
            </w:r>
          </w:p>
        </w:tc>
        <w:tc>
          <w:tcPr>
            <w:tcW w:w="1574" w:type="dxa"/>
            <w:tcBorders>
              <w:bottom w:val="single" w:sz="4" w:space="0" w:color="auto"/>
            </w:tcBorders>
            <w:vAlign w:val="center"/>
          </w:tcPr>
          <w:p w14:paraId="7E506266" w14:textId="77777777" w:rsidR="009829A9" w:rsidRPr="00AC5BEF" w:rsidRDefault="009829A9" w:rsidP="000E76A5">
            <w:pPr>
              <w:pStyle w:val="TableText"/>
            </w:pPr>
            <w:r>
              <w:t>No threshold</w:t>
            </w:r>
          </w:p>
        </w:tc>
        <w:tc>
          <w:tcPr>
            <w:tcW w:w="1574" w:type="dxa"/>
            <w:tcBorders>
              <w:bottom w:val="single" w:sz="4" w:space="0" w:color="auto"/>
            </w:tcBorders>
            <w:vAlign w:val="center"/>
          </w:tcPr>
          <w:p w14:paraId="6CDBD578" w14:textId="77777777" w:rsidR="009829A9" w:rsidRPr="00AC5BEF" w:rsidRDefault="009829A9" w:rsidP="000E76A5">
            <w:pPr>
              <w:pStyle w:val="TableText"/>
            </w:pPr>
            <w:r>
              <w:t>No threshold</w:t>
            </w:r>
          </w:p>
        </w:tc>
        <w:tc>
          <w:tcPr>
            <w:tcW w:w="1574" w:type="dxa"/>
            <w:tcBorders>
              <w:bottom w:val="single" w:sz="4" w:space="0" w:color="auto"/>
            </w:tcBorders>
            <w:vAlign w:val="center"/>
          </w:tcPr>
          <w:p w14:paraId="48994485" w14:textId="77777777" w:rsidR="009829A9" w:rsidRPr="00AC5BEF" w:rsidRDefault="009829A9" w:rsidP="000E76A5">
            <w:pPr>
              <w:pStyle w:val="TableText"/>
            </w:pPr>
            <w:r>
              <w:t>No threshold</w:t>
            </w:r>
          </w:p>
        </w:tc>
        <w:tc>
          <w:tcPr>
            <w:tcW w:w="1575" w:type="dxa"/>
            <w:tcBorders>
              <w:right w:val="nil"/>
            </w:tcBorders>
            <w:vAlign w:val="center"/>
          </w:tcPr>
          <w:p w14:paraId="3AE679C2" w14:textId="77777777" w:rsidR="009829A9" w:rsidRPr="00AC5BEF" w:rsidRDefault="009829A9" w:rsidP="000E76A5">
            <w:pPr>
              <w:pStyle w:val="TableText"/>
            </w:pPr>
            <w:r>
              <w:t>9.0 ppm (8-hour average, 20.0 ppm (1</w:t>
            </w:r>
            <w:r>
              <w:noBreakHyphen/>
              <w:t>hour average)</w:t>
            </w:r>
          </w:p>
        </w:tc>
      </w:tr>
      <w:tr w:rsidR="009829A9" w14:paraId="3731958D" w14:textId="77777777" w:rsidTr="00800DA6">
        <w:trPr>
          <w:trHeight w:val="20"/>
          <w:jc w:val="center"/>
        </w:trPr>
        <w:tc>
          <w:tcPr>
            <w:tcW w:w="3430" w:type="dxa"/>
            <w:tcBorders>
              <w:left w:val="nil"/>
            </w:tcBorders>
            <w:vAlign w:val="center"/>
          </w:tcPr>
          <w:p w14:paraId="5F8053C7" w14:textId="77777777" w:rsidR="009829A9" w:rsidRPr="00AC5BEF" w:rsidRDefault="009829A9" w:rsidP="000E76A5">
            <w:pPr>
              <w:pStyle w:val="TableText"/>
            </w:pPr>
            <w:r w:rsidRPr="00AC5BEF">
              <w:t>Butte County A</w:t>
            </w:r>
            <w:r>
              <w:t>Q</w:t>
            </w:r>
            <w:r w:rsidRPr="00AC5BEF">
              <w:t>MD</w:t>
            </w:r>
          </w:p>
        </w:tc>
        <w:tc>
          <w:tcPr>
            <w:tcW w:w="1574" w:type="dxa"/>
            <w:vAlign w:val="center"/>
          </w:tcPr>
          <w:p w14:paraId="591AE1E4" w14:textId="08E10124" w:rsidR="009829A9" w:rsidRPr="00AC5BEF" w:rsidRDefault="009829A9" w:rsidP="000E76A5">
            <w:pPr>
              <w:pStyle w:val="TableText"/>
            </w:pPr>
            <w:r>
              <w:t xml:space="preserve">137 </w:t>
            </w:r>
            <w:proofErr w:type="spellStart"/>
            <w:r>
              <w:t>lb</w:t>
            </w:r>
            <w:proofErr w:type="spellEnd"/>
            <w:r>
              <w:t>/day or </w:t>
            </w:r>
            <w:r w:rsidR="00800DA6">
              <w:br/>
            </w:r>
            <w:r>
              <w:t xml:space="preserve">4.5 </w:t>
            </w:r>
            <w:proofErr w:type="spellStart"/>
            <w:r>
              <w:t>tpy</w:t>
            </w:r>
            <w:proofErr w:type="spellEnd"/>
          </w:p>
        </w:tc>
        <w:tc>
          <w:tcPr>
            <w:tcW w:w="1574" w:type="dxa"/>
            <w:vAlign w:val="center"/>
          </w:tcPr>
          <w:p w14:paraId="7758D78B" w14:textId="77777777" w:rsidR="009829A9" w:rsidRPr="00AC5BEF" w:rsidRDefault="009829A9" w:rsidP="000E76A5">
            <w:pPr>
              <w:pStyle w:val="TableText"/>
            </w:pPr>
            <w:r>
              <w:t xml:space="preserve">25 </w:t>
            </w:r>
            <w:proofErr w:type="spellStart"/>
            <w:r>
              <w:t>lb</w:t>
            </w:r>
            <w:proofErr w:type="spellEnd"/>
            <w:r>
              <w:t>/day</w:t>
            </w:r>
          </w:p>
        </w:tc>
        <w:tc>
          <w:tcPr>
            <w:tcW w:w="1574" w:type="dxa"/>
            <w:vAlign w:val="center"/>
          </w:tcPr>
          <w:p w14:paraId="2651E908" w14:textId="3AF56598" w:rsidR="009829A9" w:rsidRPr="00AC5BEF" w:rsidRDefault="009829A9" w:rsidP="000E76A5">
            <w:pPr>
              <w:pStyle w:val="TableText"/>
            </w:pPr>
            <w:r>
              <w:t xml:space="preserve">137 </w:t>
            </w:r>
            <w:proofErr w:type="spellStart"/>
            <w:r>
              <w:t>lb</w:t>
            </w:r>
            <w:proofErr w:type="spellEnd"/>
            <w:r>
              <w:t>/day or </w:t>
            </w:r>
            <w:r w:rsidR="00800DA6">
              <w:br/>
            </w:r>
            <w:r>
              <w:t xml:space="preserve">4.5 </w:t>
            </w:r>
            <w:proofErr w:type="spellStart"/>
            <w:r>
              <w:t>tpy</w:t>
            </w:r>
            <w:proofErr w:type="spellEnd"/>
          </w:p>
        </w:tc>
        <w:tc>
          <w:tcPr>
            <w:tcW w:w="1574" w:type="dxa"/>
            <w:vAlign w:val="center"/>
          </w:tcPr>
          <w:p w14:paraId="2F65A35C" w14:textId="77777777" w:rsidR="009829A9" w:rsidRPr="00AC5BEF" w:rsidRDefault="009829A9" w:rsidP="000E76A5">
            <w:pPr>
              <w:pStyle w:val="TableText"/>
            </w:pPr>
            <w:r>
              <w:t xml:space="preserve">25 </w:t>
            </w:r>
            <w:proofErr w:type="spellStart"/>
            <w:r>
              <w:t>lb</w:t>
            </w:r>
            <w:proofErr w:type="spellEnd"/>
            <w:r>
              <w:t>/day</w:t>
            </w:r>
          </w:p>
        </w:tc>
        <w:tc>
          <w:tcPr>
            <w:tcW w:w="1574" w:type="dxa"/>
            <w:vAlign w:val="center"/>
          </w:tcPr>
          <w:p w14:paraId="6938D6E3" w14:textId="77777777" w:rsidR="009829A9" w:rsidRPr="00AC5BEF" w:rsidRDefault="009829A9" w:rsidP="000E76A5">
            <w:pPr>
              <w:pStyle w:val="TableText"/>
            </w:pPr>
            <w:r>
              <w:t xml:space="preserve">80 </w:t>
            </w:r>
            <w:proofErr w:type="spellStart"/>
            <w:r>
              <w:t>lb</w:t>
            </w:r>
            <w:proofErr w:type="spellEnd"/>
            <w:r>
              <w:t>/day</w:t>
            </w:r>
          </w:p>
        </w:tc>
        <w:tc>
          <w:tcPr>
            <w:tcW w:w="1575" w:type="dxa"/>
            <w:vAlign w:val="center"/>
          </w:tcPr>
          <w:p w14:paraId="4498B3D5" w14:textId="77777777" w:rsidR="009829A9" w:rsidRPr="00AC5BEF" w:rsidRDefault="009829A9" w:rsidP="000E76A5">
            <w:pPr>
              <w:pStyle w:val="TableText"/>
            </w:pPr>
            <w:r>
              <w:t xml:space="preserve">80 </w:t>
            </w:r>
            <w:proofErr w:type="spellStart"/>
            <w:r>
              <w:t>lb</w:t>
            </w:r>
            <w:proofErr w:type="spellEnd"/>
            <w:r>
              <w:t>/day</w:t>
            </w:r>
          </w:p>
        </w:tc>
        <w:tc>
          <w:tcPr>
            <w:tcW w:w="1574" w:type="dxa"/>
            <w:tcBorders>
              <w:bottom w:val="single" w:sz="4" w:space="0" w:color="auto"/>
            </w:tcBorders>
            <w:vAlign w:val="center"/>
          </w:tcPr>
          <w:p w14:paraId="3137C567" w14:textId="77777777" w:rsidR="009829A9" w:rsidRPr="00AC5BEF" w:rsidRDefault="009829A9" w:rsidP="000E76A5">
            <w:pPr>
              <w:pStyle w:val="TableText"/>
            </w:pPr>
            <w:r>
              <w:t xml:space="preserve">80 </w:t>
            </w:r>
            <w:proofErr w:type="spellStart"/>
            <w:r>
              <w:t>lb</w:t>
            </w:r>
            <w:proofErr w:type="spellEnd"/>
            <w:r>
              <w:t>/day</w:t>
            </w:r>
          </w:p>
        </w:tc>
        <w:tc>
          <w:tcPr>
            <w:tcW w:w="1574" w:type="dxa"/>
            <w:tcBorders>
              <w:bottom w:val="single" w:sz="4" w:space="0" w:color="auto"/>
            </w:tcBorders>
            <w:vAlign w:val="center"/>
          </w:tcPr>
          <w:p w14:paraId="439CBDC9" w14:textId="77777777" w:rsidR="009829A9" w:rsidRPr="00AC5BEF" w:rsidRDefault="009829A9" w:rsidP="000E76A5">
            <w:pPr>
              <w:pStyle w:val="TableText"/>
            </w:pPr>
            <w:r>
              <w:t xml:space="preserve">80 </w:t>
            </w:r>
            <w:proofErr w:type="spellStart"/>
            <w:r>
              <w:t>lb</w:t>
            </w:r>
            <w:proofErr w:type="spellEnd"/>
            <w:r>
              <w:t>/day</w:t>
            </w:r>
          </w:p>
        </w:tc>
        <w:tc>
          <w:tcPr>
            <w:tcW w:w="1574" w:type="dxa"/>
            <w:tcBorders>
              <w:bottom w:val="single" w:sz="4" w:space="0" w:color="auto"/>
              <w:right w:val="nil"/>
            </w:tcBorders>
            <w:vAlign w:val="center"/>
          </w:tcPr>
          <w:p w14:paraId="6F2998CA" w14:textId="77777777" w:rsidR="009829A9" w:rsidRPr="00AC5BEF" w:rsidRDefault="009829A9" w:rsidP="000E76A5">
            <w:pPr>
              <w:pStyle w:val="TableText"/>
            </w:pPr>
          </w:p>
        </w:tc>
        <w:tc>
          <w:tcPr>
            <w:tcW w:w="1574" w:type="dxa"/>
            <w:tcBorders>
              <w:left w:val="nil"/>
              <w:bottom w:val="single" w:sz="4" w:space="0" w:color="auto"/>
              <w:right w:val="nil"/>
            </w:tcBorders>
            <w:vAlign w:val="center"/>
          </w:tcPr>
          <w:p w14:paraId="29D7763E" w14:textId="77777777" w:rsidR="009829A9" w:rsidRPr="00AC5BEF" w:rsidRDefault="009829A9" w:rsidP="000E76A5">
            <w:pPr>
              <w:pStyle w:val="TableText"/>
            </w:pPr>
            <w:r>
              <w:t>No threshold</w:t>
            </w:r>
          </w:p>
        </w:tc>
        <w:tc>
          <w:tcPr>
            <w:tcW w:w="1574" w:type="dxa"/>
            <w:tcBorders>
              <w:left w:val="nil"/>
              <w:bottom w:val="single" w:sz="4" w:space="0" w:color="auto"/>
              <w:right w:val="nil"/>
            </w:tcBorders>
            <w:vAlign w:val="center"/>
          </w:tcPr>
          <w:p w14:paraId="49E001EA" w14:textId="77777777" w:rsidR="009829A9" w:rsidRPr="00AC5BEF" w:rsidRDefault="009829A9" w:rsidP="000E76A5">
            <w:pPr>
              <w:pStyle w:val="TableText"/>
            </w:pPr>
          </w:p>
        </w:tc>
        <w:tc>
          <w:tcPr>
            <w:tcW w:w="1575" w:type="dxa"/>
            <w:tcBorders>
              <w:left w:val="nil"/>
              <w:bottom w:val="single" w:sz="4" w:space="0" w:color="auto"/>
              <w:right w:val="nil"/>
            </w:tcBorders>
            <w:vAlign w:val="center"/>
          </w:tcPr>
          <w:p w14:paraId="31B63C3C" w14:textId="77777777" w:rsidR="009829A9" w:rsidRPr="00AC5BEF" w:rsidRDefault="009829A9" w:rsidP="000E76A5">
            <w:pPr>
              <w:pStyle w:val="TableText"/>
            </w:pPr>
          </w:p>
        </w:tc>
      </w:tr>
      <w:tr w:rsidR="009829A9" w14:paraId="2199F17A" w14:textId="77777777" w:rsidTr="00800DA6">
        <w:trPr>
          <w:trHeight w:val="20"/>
          <w:jc w:val="center"/>
        </w:trPr>
        <w:tc>
          <w:tcPr>
            <w:tcW w:w="3430" w:type="dxa"/>
            <w:tcBorders>
              <w:left w:val="nil"/>
            </w:tcBorders>
            <w:vAlign w:val="center"/>
          </w:tcPr>
          <w:p w14:paraId="04430E34" w14:textId="77777777" w:rsidR="009829A9" w:rsidRPr="00AC5BEF" w:rsidRDefault="009829A9" w:rsidP="000E76A5">
            <w:pPr>
              <w:pStyle w:val="TableText"/>
            </w:pPr>
            <w:r w:rsidRPr="00AC5BEF">
              <w:t>Calaveras County ACPD</w:t>
            </w:r>
          </w:p>
        </w:tc>
        <w:tc>
          <w:tcPr>
            <w:tcW w:w="1574" w:type="dxa"/>
            <w:tcBorders>
              <w:bottom w:val="single" w:sz="4" w:space="0" w:color="auto"/>
            </w:tcBorders>
            <w:vAlign w:val="center"/>
          </w:tcPr>
          <w:p w14:paraId="1B849B6A" w14:textId="77777777" w:rsidR="009829A9" w:rsidRPr="00AC5BEF" w:rsidRDefault="009829A9" w:rsidP="000E76A5">
            <w:pPr>
              <w:pStyle w:val="TableText"/>
            </w:pPr>
            <w:r>
              <w:t xml:space="preserve">150 </w:t>
            </w:r>
            <w:proofErr w:type="spellStart"/>
            <w:r>
              <w:t>lb</w:t>
            </w:r>
            <w:proofErr w:type="spellEnd"/>
            <w:r>
              <w:t>/day</w:t>
            </w:r>
          </w:p>
        </w:tc>
        <w:tc>
          <w:tcPr>
            <w:tcW w:w="1574" w:type="dxa"/>
            <w:tcBorders>
              <w:bottom w:val="single" w:sz="4" w:space="0" w:color="auto"/>
            </w:tcBorders>
            <w:vAlign w:val="center"/>
          </w:tcPr>
          <w:p w14:paraId="494ADFAA" w14:textId="77777777" w:rsidR="009829A9" w:rsidRPr="00AC5BEF" w:rsidRDefault="009829A9" w:rsidP="000E76A5">
            <w:pPr>
              <w:pStyle w:val="TableText"/>
            </w:pPr>
            <w:r>
              <w:t xml:space="preserve">150 </w:t>
            </w:r>
            <w:proofErr w:type="spellStart"/>
            <w:r>
              <w:t>lb</w:t>
            </w:r>
            <w:proofErr w:type="spellEnd"/>
            <w:r>
              <w:t>/day</w:t>
            </w:r>
          </w:p>
        </w:tc>
        <w:tc>
          <w:tcPr>
            <w:tcW w:w="1574" w:type="dxa"/>
            <w:tcBorders>
              <w:bottom w:val="single" w:sz="4" w:space="0" w:color="auto"/>
            </w:tcBorders>
            <w:vAlign w:val="center"/>
          </w:tcPr>
          <w:p w14:paraId="58735266" w14:textId="77777777" w:rsidR="009829A9" w:rsidRPr="00AC5BEF" w:rsidRDefault="009829A9" w:rsidP="000E76A5">
            <w:pPr>
              <w:pStyle w:val="TableText"/>
            </w:pPr>
            <w:r>
              <w:t xml:space="preserve">150 </w:t>
            </w:r>
            <w:proofErr w:type="spellStart"/>
            <w:r>
              <w:t>lb</w:t>
            </w:r>
            <w:proofErr w:type="spellEnd"/>
            <w:r>
              <w:t>/day</w:t>
            </w:r>
          </w:p>
        </w:tc>
        <w:tc>
          <w:tcPr>
            <w:tcW w:w="1574" w:type="dxa"/>
            <w:tcBorders>
              <w:bottom w:val="single" w:sz="4" w:space="0" w:color="auto"/>
            </w:tcBorders>
            <w:vAlign w:val="center"/>
          </w:tcPr>
          <w:p w14:paraId="5B2D047F" w14:textId="77777777" w:rsidR="009829A9" w:rsidRPr="00AC5BEF" w:rsidRDefault="009829A9" w:rsidP="000E76A5">
            <w:pPr>
              <w:pStyle w:val="TableText"/>
            </w:pPr>
            <w:r>
              <w:t xml:space="preserve">150 </w:t>
            </w:r>
            <w:proofErr w:type="spellStart"/>
            <w:r>
              <w:t>lb</w:t>
            </w:r>
            <w:proofErr w:type="spellEnd"/>
            <w:r>
              <w:t>/day</w:t>
            </w:r>
          </w:p>
        </w:tc>
        <w:tc>
          <w:tcPr>
            <w:tcW w:w="1574" w:type="dxa"/>
            <w:tcBorders>
              <w:bottom w:val="single" w:sz="4" w:space="0" w:color="auto"/>
            </w:tcBorders>
            <w:vAlign w:val="center"/>
          </w:tcPr>
          <w:p w14:paraId="69125620" w14:textId="77777777" w:rsidR="009829A9" w:rsidRPr="00AC5BEF" w:rsidRDefault="009829A9" w:rsidP="000E76A5">
            <w:pPr>
              <w:pStyle w:val="TableText"/>
            </w:pPr>
            <w:r>
              <w:t xml:space="preserve">150 </w:t>
            </w:r>
            <w:proofErr w:type="spellStart"/>
            <w:r>
              <w:t>lb</w:t>
            </w:r>
            <w:proofErr w:type="spellEnd"/>
            <w:r>
              <w:t>/day</w:t>
            </w:r>
          </w:p>
        </w:tc>
        <w:tc>
          <w:tcPr>
            <w:tcW w:w="1575" w:type="dxa"/>
            <w:tcBorders>
              <w:bottom w:val="single" w:sz="4" w:space="0" w:color="auto"/>
            </w:tcBorders>
            <w:vAlign w:val="center"/>
          </w:tcPr>
          <w:p w14:paraId="7F7EE93B" w14:textId="77777777" w:rsidR="009829A9" w:rsidRPr="00AC5BEF" w:rsidRDefault="009829A9" w:rsidP="000E76A5">
            <w:pPr>
              <w:pStyle w:val="TableText"/>
            </w:pPr>
            <w:r>
              <w:t xml:space="preserve">150 </w:t>
            </w:r>
            <w:proofErr w:type="spellStart"/>
            <w:r>
              <w:t>lb</w:t>
            </w:r>
            <w:proofErr w:type="spellEnd"/>
            <w:r>
              <w:t>/day</w:t>
            </w:r>
          </w:p>
        </w:tc>
        <w:tc>
          <w:tcPr>
            <w:tcW w:w="1574" w:type="dxa"/>
            <w:tcBorders>
              <w:bottom w:val="single" w:sz="4" w:space="0" w:color="auto"/>
              <w:right w:val="nil"/>
            </w:tcBorders>
            <w:vAlign w:val="center"/>
          </w:tcPr>
          <w:p w14:paraId="42C673F2" w14:textId="77777777" w:rsidR="009829A9" w:rsidRPr="00AC5BEF" w:rsidRDefault="009829A9" w:rsidP="000E76A5">
            <w:pPr>
              <w:pStyle w:val="TableText"/>
            </w:pPr>
          </w:p>
        </w:tc>
        <w:tc>
          <w:tcPr>
            <w:tcW w:w="1574" w:type="dxa"/>
            <w:tcBorders>
              <w:left w:val="nil"/>
              <w:bottom w:val="single" w:sz="4" w:space="0" w:color="auto"/>
              <w:right w:val="nil"/>
            </w:tcBorders>
            <w:vAlign w:val="center"/>
          </w:tcPr>
          <w:p w14:paraId="525AD9F6" w14:textId="77777777" w:rsidR="009829A9" w:rsidRPr="00AC5BEF" w:rsidRDefault="009829A9" w:rsidP="000E76A5">
            <w:pPr>
              <w:pStyle w:val="TableText"/>
            </w:pPr>
          </w:p>
        </w:tc>
        <w:tc>
          <w:tcPr>
            <w:tcW w:w="1574" w:type="dxa"/>
            <w:tcBorders>
              <w:left w:val="nil"/>
              <w:bottom w:val="single" w:sz="4" w:space="0" w:color="auto"/>
              <w:right w:val="nil"/>
            </w:tcBorders>
            <w:vAlign w:val="center"/>
          </w:tcPr>
          <w:p w14:paraId="0268A46A" w14:textId="77777777" w:rsidR="009829A9" w:rsidRPr="00AC5BEF" w:rsidRDefault="009829A9" w:rsidP="000E76A5">
            <w:pPr>
              <w:pStyle w:val="TableText"/>
            </w:pPr>
            <w:r>
              <w:t>No thresholds</w:t>
            </w:r>
          </w:p>
        </w:tc>
        <w:tc>
          <w:tcPr>
            <w:tcW w:w="1574" w:type="dxa"/>
            <w:tcBorders>
              <w:left w:val="nil"/>
              <w:bottom w:val="single" w:sz="4" w:space="0" w:color="auto"/>
              <w:right w:val="nil"/>
            </w:tcBorders>
            <w:vAlign w:val="center"/>
          </w:tcPr>
          <w:p w14:paraId="03781528" w14:textId="77777777" w:rsidR="009829A9" w:rsidRPr="00AC5BEF" w:rsidRDefault="009829A9" w:rsidP="000E76A5">
            <w:pPr>
              <w:pStyle w:val="TableText"/>
            </w:pPr>
          </w:p>
        </w:tc>
        <w:tc>
          <w:tcPr>
            <w:tcW w:w="1574" w:type="dxa"/>
            <w:tcBorders>
              <w:left w:val="nil"/>
              <w:bottom w:val="single" w:sz="4" w:space="0" w:color="auto"/>
              <w:right w:val="nil"/>
            </w:tcBorders>
            <w:vAlign w:val="center"/>
          </w:tcPr>
          <w:p w14:paraId="30D05E2D" w14:textId="77777777" w:rsidR="009829A9" w:rsidRPr="00AC5BEF" w:rsidRDefault="009829A9" w:rsidP="000E76A5">
            <w:pPr>
              <w:pStyle w:val="TableText"/>
            </w:pPr>
          </w:p>
        </w:tc>
        <w:tc>
          <w:tcPr>
            <w:tcW w:w="1575" w:type="dxa"/>
            <w:tcBorders>
              <w:left w:val="nil"/>
              <w:bottom w:val="single" w:sz="4" w:space="0" w:color="auto"/>
              <w:right w:val="nil"/>
            </w:tcBorders>
            <w:vAlign w:val="center"/>
          </w:tcPr>
          <w:p w14:paraId="44B9A91F" w14:textId="77777777" w:rsidR="009829A9" w:rsidRPr="00AC5BEF" w:rsidRDefault="009829A9" w:rsidP="000E76A5">
            <w:pPr>
              <w:pStyle w:val="TableText"/>
            </w:pPr>
          </w:p>
        </w:tc>
      </w:tr>
      <w:tr w:rsidR="00DC3126" w14:paraId="764E15AB" w14:textId="77777777" w:rsidTr="00800DA6">
        <w:trPr>
          <w:trHeight w:val="20"/>
          <w:jc w:val="center"/>
        </w:trPr>
        <w:tc>
          <w:tcPr>
            <w:tcW w:w="3430" w:type="dxa"/>
            <w:tcBorders>
              <w:left w:val="nil"/>
            </w:tcBorders>
            <w:vAlign w:val="center"/>
          </w:tcPr>
          <w:p w14:paraId="29D1A3FF" w14:textId="77777777" w:rsidR="009829A9" w:rsidRPr="00AC5BEF" w:rsidRDefault="009829A9" w:rsidP="000E76A5">
            <w:pPr>
              <w:pStyle w:val="TableText"/>
            </w:pPr>
            <w:r w:rsidRPr="00AC5BEF">
              <w:t>Colusa County APCD</w:t>
            </w:r>
          </w:p>
        </w:tc>
        <w:tc>
          <w:tcPr>
            <w:tcW w:w="1574" w:type="dxa"/>
            <w:tcBorders>
              <w:right w:val="nil"/>
            </w:tcBorders>
            <w:vAlign w:val="center"/>
          </w:tcPr>
          <w:p w14:paraId="6A8D3CD5" w14:textId="77777777" w:rsidR="009829A9" w:rsidRPr="00AC5BEF" w:rsidRDefault="009829A9" w:rsidP="000E76A5">
            <w:pPr>
              <w:pStyle w:val="TableText"/>
            </w:pPr>
          </w:p>
        </w:tc>
        <w:tc>
          <w:tcPr>
            <w:tcW w:w="1574" w:type="dxa"/>
            <w:tcBorders>
              <w:left w:val="nil"/>
              <w:right w:val="nil"/>
            </w:tcBorders>
            <w:vAlign w:val="center"/>
          </w:tcPr>
          <w:p w14:paraId="4763B75B" w14:textId="77777777" w:rsidR="009829A9" w:rsidRPr="00AC5BEF" w:rsidRDefault="009829A9" w:rsidP="000E76A5">
            <w:pPr>
              <w:pStyle w:val="TableText"/>
            </w:pPr>
          </w:p>
        </w:tc>
        <w:tc>
          <w:tcPr>
            <w:tcW w:w="1574" w:type="dxa"/>
            <w:tcBorders>
              <w:left w:val="nil"/>
              <w:right w:val="nil"/>
            </w:tcBorders>
            <w:vAlign w:val="center"/>
          </w:tcPr>
          <w:p w14:paraId="577E0130" w14:textId="77777777" w:rsidR="009829A9" w:rsidRPr="00AC5BEF" w:rsidRDefault="009829A9" w:rsidP="000E76A5">
            <w:pPr>
              <w:pStyle w:val="TableText"/>
            </w:pPr>
          </w:p>
        </w:tc>
        <w:tc>
          <w:tcPr>
            <w:tcW w:w="1574" w:type="dxa"/>
            <w:tcBorders>
              <w:left w:val="nil"/>
              <w:right w:val="nil"/>
            </w:tcBorders>
            <w:vAlign w:val="center"/>
          </w:tcPr>
          <w:p w14:paraId="18007431" w14:textId="77777777" w:rsidR="009829A9" w:rsidRPr="00AC5BEF" w:rsidRDefault="009829A9" w:rsidP="000E76A5">
            <w:pPr>
              <w:pStyle w:val="TableText"/>
            </w:pPr>
          </w:p>
        </w:tc>
        <w:tc>
          <w:tcPr>
            <w:tcW w:w="1574" w:type="dxa"/>
            <w:tcBorders>
              <w:left w:val="nil"/>
              <w:bottom w:val="single" w:sz="4" w:space="0" w:color="auto"/>
              <w:right w:val="nil"/>
            </w:tcBorders>
            <w:vAlign w:val="center"/>
          </w:tcPr>
          <w:p w14:paraId="647648E6" w14:textId="77777777" w:rsidR="009829A9" w:rsidRPr="00AC5BEF" w:rsidRDefault="009829A9" w:rsidP="000E76A5">
            <w:pPr>
              <w:pStyle w:val="TableText"/>
            </w:pPr>
          </w:p>
        </w:tc>
        <w:tc>
          <w:tcPr>
            <w:tcW w:w="1575" w:type="dxa"/>
            <w:tcBorders>
              <w:left w:val="nil"/>
              <w:bottom w:val="single" w:sz="4" w:space="0" w:color="auto"/>
              <w:right w:val="nil"/>
            </w:tcBorders>
            <w:vAlign w:val="center"/>
          </w:tcPr>
          <w:p w14:paraId="28D79C3D" w14:textId="77777777" w:rsidR="009829A9" w:rsidRPr="00AC5BEF" w:rsidRDefault="009829A9" w:rsidP="000E76A5">
            <w:pPr>
              <w:pStyle w:val="TableText"/>
            </w:pPr>
            <w:r>
              <w:t>No thresholds</w:t>
            </w:r>
          </w:p>
        </w:tc>
        <w:tc>
          <w:tcPr>
            <w:tcW w:w="1574" w:type="dxa"/>
            <w:tcBorders>
              <w:left w:val="nil"/>
              <w:bottom w:val="single" w:sz="4" w:space="0" w:color="auto"/>
              <w:right w:val="nil"/>
            </w:tcBorders>
            <w:vAlign w:val="center"/>
          </w:tcPr>
          <w:p w14:paraId="72918D39" w14:textId="77777777" w:rsidR="009829A9" w:rsidRPr="00AC5BEF" w:rsidRDefault="009829A9" w:rsidP="000E76A5">
            <w:pPr>
              <w:pStyle w:val="TableText"/>
            </w:pPr>
          </w:p>
        </w:tc>
        <w:tc>
          <w:tcPr>
            <w:tcW w:w="1574" w:type="dxa"/>
            <w:tcBorders>
              <w:left w:val="nil"/>
              <w:bottom w:val="single" w:sz="4" w:space="0" w:color="auto"/>
              <w:right w:val="nil"/>
            </w:tcBorders>
            <w:vAlign w:val="center"/>
          </w:tcPr>
          <w:p w14:paraId="54E3C555" w14:textId="77777777" w:rsidR="009829A9" w:rsidRPr="00AC5BEF" w:rsidRDefault="009829A9" w:rsidP="000E76A5">
            <w:pPr>
              <w:pStyle w:val="TableText"/>
            </w:pPr>
          </w:p>
        </w:tc>
        <w:tc>
          <w:tcPr>
            <w:tcW w:w="1574" w:type="dxa"/>
            <w:tcBorders>
              <w:left w:val="nil"/>
              <w:bottom w:val="single" w:sz="4" w:space="0" w:color="auto"/>
              <w:right w:val="nil"/>
            </w:tcBorders>
            <w:vAlign w:val="center"/>
          </w:tcPr>
          <w:p w14:paraId="41163102" w14:textId="77777777" w:rsidR="009829A9" w:rsidRPr="00AC5BEF" w:rsidRDefault="009829A9" w:rsidP="000E76A5">
            <w:pPr>
              <w:pStyle w:val="TableText"/>
            </w:pPr>
          </w:p>
        </w:tc>
        <w:tc>
          <w:tcPr>
            <w:tcW w:w="1574" w:type="dxa"/>
            <w:tcBorders>
              <w:left w:val="nil"/>
              <w:bottom w:val="single" w:sz="4" w:space="0" w:color="auto"/>
              <w:right w:val="nil"/>
            </w:tcBorders>
            <w:vAlign w:val="center"/>
          </w:tcPr>
          <w:p w14:paraId="0B62FF7C" w14:textId="77777777" w:rsidR="009829A9" w:rsidRPr="00AC5BEF" w:rsidRDefault="009829A9" w:rsidP="000E76A5">
            <w:pPr>
              <w:pStyle w:val="TableText"/>
            </w:pPr>
          </w:p>
        </w:tc>
        <w:tc>
          <w:tcPr>
            <w:tcW w:w="1574" w:type="dxa"/>
            <w:tcBorders>
              <w:left w:val="nil"/>
              <w:bottom w:val="single" w:sz="4" w:space="0" w:color="auto"/>
              <w:right w:val="nil"/>
            </w:tcBorders>
            <w:vAlign w:val="center"/>
          </w:tcPr>
          <w:p w14:paraId="6FEFDEC8" w14:textId="77777777" w:rsidR="009829A9" w:rsidRPr="00AC5BEF" w:rsidRDefault="009829A9" w:rsidP="000E76A5">
            <w:pPr>
              <w:pStyle w:val="TableText"/>
            </w:pPr>
          </w:p>
        </w:tc>
        <w:tc>
          <w:tcPr>
            <w:tcW w:w="1575" w:type="dxa"/>
            <w:tcBorders>
              <w:left w:val="nil"/>
              <w:bottom w:val="single" w:sz="4" w:space="0" w:color="auto"/>
              <w:right w:val="nil"/>
            </w:tcBorders>
            <w:vAlign w:val="center"/>
          </w:tcPr>
          <w:p w14:paraId="60429B56" w14:textId="77777777" w:rsidR="009829A9" w:rsidRPr="00AC5BEF" w:rsidRDefault="009829A9" w:rsidP="000E76A5">
            <w:pPr>
              <w:pStyle w:val="TableText"/>
            </w:pPr>
          </w:p>
        </w:tc>
      </w:tr>
      <w:tr w:rsidR="00DC3126" w14:paraId="66D6AAF3" w14:textId="77777777" w:rsidTr="00800DA6">
        <w:trPr>
          <w:trHeight w:val="20"/>
          <w:jc w:val="center"/>
        </w:trPr>
        <w:tc>
          <w:tcPr>
            <w:tcW w:w="3430" w:type="dxa"/>
            <w:tcBorders>
              <w:left w:val="nil"/>
            </w:tcBorders>
            <w:vAlign w:val="center"/>
          </w:tcPr>
          <w:p w14:paraId="2CA242C0" w14:textId="77777777" w:rsidR="009829A9" w:rsidRPr="00AC5BEF" w:rsidRDefault="009829A9" w:rsidP="000E76A5">
            <w:pPr>
              <w:pStyle w:val="TableText"/>
            </w:pPr>
            <w:r w:rsidRPr="00AC5BEF">
              <w:t>Eastern Kern APCD</w:t>
            </w:r>
          </w:p>
        </w:tc>
        <w:tc>
          <w:tcPr>
            <w:tcW w:w="1574" w:type="dxa"/>
            <w:vAlign w:val="center"/>
          </w:tcPr>
          <w:p w14:paraId="67E77C84" w14:textId="77777777" w:rsidR="009829A9" w:rsidRPr="00AC5BEF" w:rsidRDefault="009829A9" w:rsidP="000E76A5">
            <w:pPr>
              <w:pStyle w:val="TableText"/>
            </w:pPr>
            <w:r>
              <w:t>No threshold</w:t>
            </w:r>
          </w:p>
        </w:tc>
        <w:tc>
          <w:tcPr>
            <w:tcW w:w="1574" w:type="dxa"/>
            <w:vAlign w:val="center"/>
          </w:tcPr>
          <w:p w14:paraId="36A0B9B5" w14:textId="77777777" w:rsidR="009829A9" w:rsidRPr="00AC5BEF" w:rsidRDefault="009829A9" w:rsidP="000E76A5">
            <w:pPr>
              <w:pStyle w:val="TableText"/>
            </w:pPr>
            <w:r>
              <w:t xml:space="preserve">137 </w:t>
            </w:r>
            <w:proofErr w:type="spellStart"/>
            <w:r>
              <w:t>lb</w:t>
            </w:r>
            <w:proofErr w:type="spellEnd"/>
            <w:r>
              <w:t>/day (mobile source emissions)</w:t>
            </w:r>
          </w:p>
        </w:tc>
        <w:tc>
          <w:tcPr>
            <w:tcW w:w="1574" w:type="dxa"/>
            <w:vAlign w:val="center"/>
          </w:tcPr>
          <w:p w14:paraId="4F0121DB" w14:textId="77777777" w:rsidR="009829A9" w:rsidRPr="00AC5BEF" w:rsidRDefault="009829A9" w:rsidP="000E76A5">
            <w:pPr>
              <w:pStyle w:val="TableText"/>
            </w:pPr>
            <w:r>
              <w:t>No threshold</w:t>
            </w:r>
          </w:p>
        </w:tc>
        <w:tc>
          <w:tcPr>
            <w:tcW w:w="1574" w:type="dxa"/>
            <w:vAlign w:val="center"/>
          </w:tcPr>
          <w:p w14:paraId="797CA4DF" w14:textId="77777777" w:rsidR="009829A9" w:rsidRPr="00AC5BEF" w:rsidRDefault="009829A9" w:rsidP="000E76A5">
            <w:pPr>
              <w:pStyle w:val="TableText"/>
            </w:pPr>
            <w:r>
              <w:t xml:space="preserve">137 </w:t>
            </w:r>
            <w:proofErr w:type="spellStart"/>
            <w:r>
              <w:t>lb</w:t>
            </w:r>
            <w:proofErr w:type="spellEnd"/>
            <w:r>
              <w:t>/day (mobile source emissions)</w:t>
            </w:r>
          </w:p>
        </w:tc>
        <w:tc>
          <w:tcPr>
            <w:tcW w:w="1574" w:type="dxa"/>
            <w:tcBorders>
              <w:bottom w:val="single" w:sz="4" w:space="0" w:color="auto"/>
              <w:right w:val="nil"/>
            </w:tcBorders>
            <w:vAlign w:val="center"/>
          </w:tcPr>
          <w:p w14:paraId="3DCE08CE" w14:textId="77777777" w:rsidR="009829A9" w:rsidRPr="00AC5BEF" w:rsidRDefault="009829A9" w:rsidP="000E76A5">
            <w:pPr>
              <w:pStyle w:val="TableText"/>
            </w:pPr>
          </w:p>
        </w:tc>
        <w:tc>
          <w:tcPr>
            <w:tcW w:w="1575" w:type="dxa"/>
            <w:tcBorders>
              <w:left w:val="nil"/>
              <w:bottom w:val="single" w:sz="4" w:space="0" w:color="auto"/>
              <w:right w:val="nil"/>
            </w:tcBorders>
            <w:vAlign w:val="center"/>
          </w:tcPr>
          <w:p w14:paraId="2434A22D" w14:textId="77777777" w:rsidR="009829A9" w:rsidRPr="00AC5BEF" w:rsidRDefault="009829A9" w:rsidP="000E76A5">
            <w:pPr>
              <w:pStyle w:val="TableText"/>
            </w:pPr>
          </w:p>
        </w:tc>
        <w:tc>
          <w:tcPr>
            <w:tcW w:w="1574" w:type="dxa"/>
            <w:tcBorders>
              <w:left w:val="nil"/>
              <w:bottom w:val="single" w:sz="4" w:space="0" w:color="auto"/>
              <w:right w:val="nil"/>
            </w:tcBorders>
            <w:vAlign w:val="center"/>
          </w:tcPr>
          <w:p w14:paraId="123E5BF0" w14:textId="77777777" w:rsidR="009829A9" w:rsidRPr="00AC5BEF" w:rsidRDefault="009829A9" w:rsidP="000E76A5">
            <w:pPr>
              <w:pStyle w:val="TableText"/>
            </w:pPr>
          </w:p>
        </w:tc>
        <w:tc>
          <w:tcPr>
            <w:tcW w:w="1574" w:type="dxa"/>
            <w:tcBorders>
              <w:left w:val="nil"/>
              <w:bottom w:val="single" w:sz="4" w:space="0" w:color="auto"/>
              <w:right w:val="nil"/>
            </w:tcBorders>
            <w:vAlign w:val="center"/>
          </w:tcPr>
          <w:p w14:paraId="7D59B384" w14:textId="77777777" w:rsidR="009829A9" w:rsidRPr="00AC5BEF" w:rsidRDefault="009829A9" w:rsidP="000E76A5">
            <w:pPr>
              <w:pStyle w:val="TableText"/>
            </w:pPr>
            <w:r>
              <w:t>No thresholds</w:t>
            </w:r>
          </w:p>
        </w:tc>
        <w:tc>
          <w:tcPr>
            <w:tcW w:w="1574" w:type="dxa"/>
            <w:tcBorders>
              <w:left w:val="nil"/>
              <w:bottom w:val="single" w:sz="4" w:space="0" w:color="auto"/>
              <w:right w:val="nil"/>
            </w:tcBorders>
            <w:vAlign w:val="center"/>
          </w:tcPr>
          <w:p w14:paraId="7548CB08" w14:textId="77777777" w:rsidR="009829A9" w:rsidRPr="00AC5BEF" w:rsidRDefault="009829A9" w:rsidP="000E76A5">
            <w:pPr>
              <w:pStyle w:val="TableText"/>
            </w:pPr>
            <w:r>
              <w:t>No thresholds</w:t>
            </w:r>
          </w:p>
        </w:tc>
        <w:tc>
          <w:tcPr>
            <w:tcW w:w="1574" w:type="dxa"/>
            <w:tcBorders>
              <w:left w:val="nil"/>
              <w:bottom w:val="single" w:sz="4" w:space="0" w:color="auto"/>
              <w:right w:val="nil"/>
            </w:tcBorders>
            <w:vAlign w:val="center"/>
          </w:tcPr>
          <w:p w14:paraId="04A1EA52" w14:textId="77777777" w:rsidR="009829A9" w:rsidRPr="00AC5BEF" w:rsidRDefault="009829A9" w:rsidP="000E76A5">
            <w:pPr>
              <w:pStyle w:val="TableText"/>
            </w:pPr>
          </w:p>
        </w:tc>
        <w:tc>
          <w:tcPr>
            <w:tcW w:w="1574" w:type="dxa"/>
            <w:tcBorders>
              <w:left w:val="nil"/>
              <w:bottom w:val="single" w:sz="4" w:space="0" w:color="auto"/>
              <w:right w:val="nil"/>
            </w:tcBorders>
            <w:vAlign w:val="center"/>
          </w:tcPr>
          <w:p w14:paraId="52A6FB5E" w14:textId="77777777" w:rsidR="009829A9" w:rsidRPr="00AC5BEF" w:rsidRDefault="009829A9" w:rsidP="000E76A5">
            <w:pPr>
              <w:pStyle w:val="TableText"/>
            </w:pPr>
          </w:p>
        </w:tc>
        <w:tc>
          <w:tcPr>
            <w:tcW w:w="1575" w:type="dxa"/>
            <w:tcBorders>
              <w:left w:val="nil"/>
              <w:bottom w:val="single" w:sz="4" w:space="0" w:color="auto"/>
              <w:right w:val="nil"/>
            </w:tcBorders>
            <w:vAlign w:val="center"/>
          </w:tcPr>
          <w:p w14:paraId="6B062C19" w14:textId="77777777" w:rsidR="009829A9" w:rsidRPr="00AC5BEF" w:rsidRDefault="009829A9" w:rsidP="000E76A5">
            <w:pPr>
              <w:pStyle w:val="TableText"/>
            </w:pPr>
          </w:p>
        </w:tc>
      </w:tr>
      <w:tr w:rsidR="00800DA6" w14:paraId="2619CBD1" w14:textId="77777777" w:rsidTr="00800DA6">
        <w:trPr>
          <w:trHeight w:val="20"/>
          <w:jc w:val="center"/>
        </w:trPr>
        <w:tc>
          <w:tcPr>
            <w:tcW w:w="3430" w:type="dxa"/>
            <w:tcBorders>
              <w:left w:val="nil"/>
            </w:tcBorders>
            <w:vAlign w:val="center"/>
          </w:tcPr>
          <w:p w14:paraId="54690D75" w14:textId="77777777" w:rsidR="009829A9" w:rsidRPr="00AC5BEF" w:rsidRDefault="009829A9" w:rsidP="000E76A5">
            <w:pPr>
              <w:pStyle w:val="TableText"/>
            </w:pPr>
            <w:r w:rsidRPr="00AC5BEF">
              <w:t>El Dorado County AQMD</w:t>
            </w:r>
            <w:r>
              <w:t>*</w:t>
            </w:r>
          </w:p>
        </w:tc>
        <w:tc>
          <w:tcPr>
            <w:tcW w:w="1574" w:type="dxa"/>
            <w:vAlign w:val="center"/>
          </w:tcPr>
          <w:p w14:paraId="5D3631E5" w14:textId="77777777" w:rsidR="009829A9" w:rsidRPr="00AC5BEF" w:rsidRDefault="009829A9" w:rsidP="000E76A5">
            <w:pPr>
              <w:pStyle w:val="TableText"/>
            </w:pPr>
            <w:r>
              <w:t xml:space="preserve">82 </w:t>
            </w:r>
            <w:proofErr w:type="spellStart"/>
            <w:r>
              <w:t>lb</w:t>
            </w:r>
            <w:proofErr w:type="spellEnd"/>
            <w:r>
              <w:t>/day</w:t>
            </w:r>
          </w:p>
        </w:tc>
        <w:tc>
          <w:tcPr>
            <w:tcW w:w="1574" w:type="dxa"/>
            <w:vAlign w:val="center"/>
          </w:tcPr>
          <w:p w14:paraId="032509B8" w14:textId="77777777" w:rsidR="009829A9" w:rsidRPr="00AC5BEF" w:rsidRDefault="009829A9" w:rsidP="000E76A5">
            <w:pPr>
              <w:pStyle w:val="TableText"/>
            </w:pPr>
            <w:r>
              <w:t xml:space="preserve">82 </w:t>
            </w:r>
            <w:proofErr w:type="spellStart"/>
            <w:r>
              <w:t>lb</w:t>
            </w:r>
            <w:proofErr w:type="spellEnd"/>
            <w:r>
              <w:t>/day</w:t>
            </w:r>
          </w:p>
        </w:tc>
        <w:tc>
          <w:tcPr>
            <w:tcW w:w="1574" w:type="dxa"/>
            <w:vAlign w:val="center"/>
          </w:tcPr>
          <w:p w14:paraId="3EF27E0F" w14:textId="77777777" w:rsidR="009829A9" w:rsidRPr="00AC5BEF" w:rsidRDefault="009829A9" w:rsidP="000E76A5">
            <w:pPr>
              <w:pStyle w:val="TableText"/>
            </w:pPr>
            <w:r>
              <w:t xml:space="preserve">82 </w:t>
            </w:r>
            <w:proofErr w:type="spellStart"/>
            <w:r>
              <w:t>lb</w:t>
            </w:r>
            <w:proofErr w:type="spellEnd"/>
            <w:r>
              <w:t>/day</w:t>
            </w:r>
          </w:p>
        </w:tc>
        <w:tc>
          <w:tcPr>
            <w:tcW w:w="1574" w:type="dxa"/>
            <w:vAlign w:val="center"/>
          </w:tcPr>
          <w:p w14:paraId="77DAD15A" w14:textId="77777777" w:rsidR="009829A9" w:rsidRPr="00AC5BEF" w:rsidRDefault="009829A9" w:rsidP="000E76A5">
            <w:pPr>
              <w:pStyle w:val="TableText"/>
            </w:pPr>
            <w:r>
              <w:t xml:space="preserve">82 </w:t>
            </w:r>
            <w:proofErr w:type="spellStart"/>
            <w:r>
              <w:t>lb</w:t>
            </w:r>
            <w:proofErr w:type="spellEnd"/>
            <w:r>
              <w:t>/day</w:t>
            </w:r>
          </w:p>
        </w:tc>
        <w:tc>
          <w:tcPr>
            <w:tcW w:w="1574" w:type="dxa"/>
            <w:tcBorders>
              <w:right w:val="nil"/>
            </w:tcBorders>
            <w:vAlign w:val="center"/>
          </w:tcPr>
          <w:p w14:paraId="209E5A9D" w14:textId="77777777" w:rsidR="009829A9" w:rsidRPr="00AC5BEF" w:rsidRDefault="009829A9" w:rsidP="000E76A5">
            <w:pPr>
              <w:pStyle w:val="TableText"/>
            </w:pPr>
          </w:p>
        </w:tc>
        <w:tc>
          <w:tcPr>
            <w:tcW w:w="1575" w:type="dxa"/>
            <w:tcBorders>
              <w:left w:val="nil"/>
              <w:right w:val="nil"/>
            </w:tcBorders>
            <w:vAlign w:val="center"/>
          </w:tcPr>
          <w:p w14:paraId="760708AE" w14:textId="77777777" w:rsidR="009829A9" w:rsidRPr="00AC5BEF" w:rsidRDefault="009829A9" w:rsidP="000E76A5">
            <w:pPr>
              <w:pStyle w:val="TableText"/>
            </w:pPr>
          </w:p>
        </w:tc>
        <w:tc>
          <w:tcPr>
            <w:tcW w:w="1574" w:type="dxa"/>
            <w:tcBorders>
              <w:left w:val="nil"/>
              <w:bottom w:val="single" w:sz="4" w:space="0" w:color="auto"/>
              <w:right w:val="nil"/>
            </w:tcBorders>
            <w:vAlign w:val="center"/>
          </w:tcPr>
          <w:p w14:paraId="06E4FEA4" w14:textId="77777777" w:rsidR="009829A9" w:rsidRPr="00AC5BEF" w:rsidRDefault="009829A9" w:rsidP="000E76A5">
            <w:pPr>
              <w:pStyle w:val="TableText"/>
            </w:pPr>
          </w:p>
        </w:tc>
        <w:tc>
          <w:tcPr>
            <w:tcW w:w="1574" w:type="dxa"/>
            <w:tcBorders>
              <w:left w:val="nil"/>
              <w:bottom w:val="single" w:sz="4" w:space="0" w:color="auto"/>
              <w:right w:val="nil"/>
            </w:tcBorders>
            <w:vAlign w:val="center"/>
          </w:tcPr>
          <w:p w14:paraId="1A097DC5" w14:textId="77777777" w:rsidR="009829A9" w:rsidRPr="00AC5BEF" w:rsidRDefault="009829A9" w:rsidP="000E76A5">
            <w:pPr>
              <w:pStyle w:val="TableText"/>
            </w:pPr>
            <w:r>
              <w:t>No thresholds</w:t>
            </w:r>
          </w:p>
        </w:tc>
        <w:tc>
          <w:tcPr>
            <w:tcW w:w="1574" w:type="dxa"/>
            <w:tcBorders>
              <w:left w:val="nil"/>
              <w:bottom w:val="single" w:sz="4" w:space="0" w:color="auto"/>
              <w:right w:val="nil"/>
            </w:tcBorders>
            <w:vAlign w:val="center"/>
          </w:tcPr>
          <w:p w14:paraId="792ABE23" w14:textId="77777777" w:rsidR="009829A9" w:rsidRPr="00AC5BEF" w:rsidRDefault="009829A9" w:rsidP="000E76A5">
            <w:pPr>
              <w:pStyle w:val="TableText"/>
            </w:pPr>
            <w:r>
              <w:t>No thresholds</w:t>
            </w:r>
          </w:p>
        </w:tc>
        <w:tc>
          <w:tcPr>
            <w:tcW w:w="1574" w:type="dxa"/>
            <w:tcBorders>
              <w:left w:val="nil"/>
              <w:bottom w:val="single" w:sz="4" w:space="0" w:color="auto"/>
              <w:right w:val="nil"/>
            </w:tcBorders>
            <w:vAlign w:val="center"/>
          </w:tcPr>
          <w:p w14:paraId="77CD412B" w14:textId="77777777" w:rsidR="009829A9" w:rsidRPr="00AC5BEF" w:rsidRDefault="009829A9" w:rsidP="000E76A5">
            <w:pPr>
              <w:pStyle w:val="TableText"/>
            </w:pPr>
          </w:p>
        </w:tc>
        <w:tc>
          <w:tcPr>
            <w:tcW w:w="1574" w:type="dxa"/>
            <w:tcBorders>
              <w:left w:val="nil"/>
              <w:bottom w:val="single" w:sz="4" w:space="0" w:color="auto"/>
              <w:right w:val="nil"/>
            </w:tcBorders>
            <w:vAlign w:val="center"/>
          </w:tcPr>
          <w:p w14:paraId="184A0396" w14:textId="77777777" w:rsidR="009829A9" w:rsidRPr="00AC5BEF" w:rsidRDefault="009829A9" w:rsidP="000E76A5">
            <w:pPr>
              <w:pStyle w:val="TableText"/>
            </w:pPr>
          </w:p>
        </w:tc>
        <w:tc>
          <w:tcPr>
            <w:tcW w:w="1575" w:type="dxa"/>
            <w:tcBorders>
              <w:left w:val="nil"/>
              <w:bottom w:val="single" w:sz="4" w:space="0" w:color="auto"/>
              <w:right w:val="nil"/>
            </w:tcBorders>
            <w:vAlign w:val="center"/>
          </w:tcPr>
          <w:p w14:paraId="6A7859CC" w14:textId="77777777" w:rsidR="009829A9" w:rsidRPr="00AC5BEF" w:rsidRDefault="009829A9" w:rsidP="000E76A5">
            <w:pPr>
              <w:pStyle w:val="TableText"/>
            </w:pPr>
          </w:p>
        </w:tc>
      </w:tr>
      <w:tr w:rsidR="00800DA6" w14:paraId="5D2F657D" w14:textId="77777777" w:rsidTr="00800DA6">
        <w:trPr>
          <w:trHeight w:val="20"/>
          <w:jc w:val="center"/>
        </w:trPr>
        <w:tc>
          <w:tcPr>
            <w:tcW w:w="3430" w:type="dxa"/>
            <w:tcBorders>
              <w:left w:val="nil"/>
            </w:tcBorders>
            <w:vAlign w:val="center"/>
          </w:tcPr>
          <w:p w14:paraId="46ACC932" w14:textId="77777777" w:rsidR="009829A9" w:rsidRPr="00AC5BEF" w:rsidRDefault="009829A9" w:rsidP="000E76A5">
            <w:pPr>
              <w:pStyle w:val="TableText"/>
            </w:pPr>
            <w:r w:rsidRPr="00AC5BEF">
              <w:t>Feather River AQMD</w:t>
            </w:r>
            <w:r>
              <w:t xml:space="preserve"> (Sutter and Yuba County)</w:t>
            </w:r>
          </w:p>
        </w:tc>
        <w:tc>
          <w:tcPr>
            <w:tcW w:w="1574" w:type="dxa"/>
            <w:tcBorders>
              <w:bottom w:val="single" w:sz="4" w:space="0" w:color="auto"/>
            </w:tcBorders>
            <w:vAlign w:val="center"/>
          </w:tcPr>
          <w:p w14:paraId="6DAF6CCF" w14:textId="77777777" w:rsidR="009829A9" w:rsidRPr="00AC5BEF" w:rsidRDefault="009829A9" w:rsidP="000E76A5">
            <w:pPr>
              <w:pStyle w:val="TableText"/>
            </w:pPr>
            <w:r>
              <w:t xml:space="preserve">25 </w:t>
            </w:r>
            <w:proofErr w:type="spellStart"/>
            <w:r>
              <w:t>lb</w:t>
            </w:r>
            <w:proofErr w:type="spellEnd"/>
            <w:r>
              <w:t xml:space="preserve">/day multiplied by project length; not to exceed 4.5 </w:t>
            </w:r>
            <w:proofErr w:type="spellStart"/>
            <w:r>
              <w:t>tpy</w:t>
            </w:r>
            <w:proofErr w:type="spellEnd"/>
          </w:p>
        </w:tc>
        <w:tc>
          <w:tcPr>
            <w:tcW w:w="1574" w:type="dxa"/>
            <w:tcBorders>
              <w:bottom w:val="single" w:sz="4" w:space="0" w:color="auto"/>
            </w:tcBorders>
            <w:vAlign w:val="center"/>
          </w:tcPr>
          <w:p w14:paraId="7DEE45BE" w14:textId="77777777" w:rsidR="009829A9" w:rsidRPr="00AC5BEF" w:rsidRDefault="009829A9" w:rsidP="000E76A5">
            <w:pPr>
              <w:pStyle w:val="TableText"/>
            </w:pPr>
            <w:r>
              <w:t xml:space="preserve">25 </w:t>
            </w:r>
            <w:proofErr w:type="spellStart"/>
            <w:r>
              <w:t>lb</w:t>
            </w:r>
            <w:proofErr w:type="spellEnd"/>
            <w:r>
              <w:t>/day</w:t>
            </w:r>
          </w:p>
        </w:tc>
        <w:tc>
          <w:tcPr>
            <w:tcW w:w="1574" w:type="dxa"/>
            <w:tcBorders>
              <w:bottom w:val="single" w:sz="4" w:space="0" w:color="auto"/>
            </w:tcBorders>
            <w:vAlign w:val="center"/>
          </w:tcPr>
          <w:p w14:paraId="38F696AA" w14:textId="77777777" w:rsidR="009829A9" w:rsidRPr="00AC5BEF" w:rsidRDefault="009829A9" w:rsidP="000E76A5">
            <w:pPr>
              <w:pStyle w:val="TableText"/>
            </w:pPr>
            <w:r w:rsidRPr="008B1841">
              <w:t xml:space="preserve">25 </w:t>
            </w:r>
            <w:proofErr w:type="spellStart"/>
            <w:r w:rsidRPr="008B1841">
              <w:t>lb</w:t>
            </w:r>
            <w:proofErr w:type="spellEnd"/>
            <w:r w:rsidRPr="008B1841">
              <w:t xml:space="preserve">/day multiplied by project length; not to exceed 4.5 </w:t>
            </w:r>
            <w:proofErr w:type="spellStart"/>
            <w:r w:rsidRPr="008B1841">
              <w:t>tpy</w:t>
            </w:r>
            <w:proofErr w:type="spellEnd"/>
          </w:p>
        </w:tc>
        <w:tc>
          <w:tcPr>
            <w:tcW w:w="1574" w:type="dxa"/>
            <w:tcBorders>
              <w:bottom w:val="single" w:sz="4" w:space="0" w:color="auto"/>
            </w:tcBorders>
            <w:vAlign w:val="center"/>
          </w:tcPr>
          <w:p w14:paraId="66FECF59" w14:textId="77777777" w:rsidR="009829A9" w:rsidRPr="00AC5BEF" w:rsidRDefault="009829A9" w:rsidP="000E76A5">
            <w:pPr>
              <w:pStyle w:val="TableText"/>
            </w:pPr>
            <w:r>
              <w:t xml:space="preserve">25 </w:t>
            </w:r>
            <w:proofErr w:type="spellStart"/>
            <w:r>
              <w:t>lb</w:t>
            </w:r>
            <w:proofErr w:type="spellEnd"/>
            <w:r>
              <w:t>/day</w:t>
            </w:r>
          </w:p>
        </w:tc>
        <w:tc>
          <w:tcPr>
            <w:tcW w:w="1574" w:type="dxa"/>
            <w:tcBorders>
              <w:bottom w:val="single" w:sz="4" w:space="0" w:color="auto"/>
            </w:tcBorders>
            <w:vAlign w:val="center"/>
          </w:tcPr>
          <w:p w14:paraId="58657022" w14:textId="77777777" w:rsidR="009829A9" w:rsidRPr="00AC5BEF" w:rsidRDefault="009829A9" w:rsidP="000E76A5">
            <w:pPr>
              <w:pStyle w:val="TableText"/>
            </w:pPr>
            <w:r>
              <w:t xml:space="preserve">80 </w:t>
            </w:r>
            <w:proofErr w:type="spellStart"/>
            <w:r>
              <w:t>lb</w:t>
            </w:r>
            <w:proofErr w:type="spellEnd"/>
            <w:r>
              <w:t>/day</w:t>
            </w:r>
          </w:p>
        </w:tc>
        <w:tc>
          <w:tcPr>
            <w:tcW w:w="1575" w:type="dxa"/>
            <w:tcBorders>
              <w:bottom w:val="single" w:sz="4" w:space="0" w:color="auto"/>
            </w:tcBorders>
            <w:vAlign w:val="center"/>
          </w:tcPr>
          <w:p w14:paraId="468BAA48" w14:textId="77777777" w:rsidR="009829A9" w:rsidRPr="00AC5BEF" w:rsidRDefault="009829A9" w:rsidP="000E76A5">
            <w:pPr>
              <w:pStyle w:val="TableText"/>
            </w:pPr>
            <w:r>
              <w:t xml:space="preserve">80 </w:t>
            </w:r>
            <w:proofErr w:type="spellStart"/>
            <w:r>
              <w:t>lb</w:t>
            </w:r>
            <w:proofErr w:type="spellEnd"/>
            <w:r>
              <w:t>/day</w:t>
            </w:r>
          </w:p>
        </w:tc>
        <w:tc>
          <w:tcPr>
            <w:tcW w:w="1574" w:type="dxa"/>
            <w:tcBorders>
              <w:bottom w:val="single" w:sz="4" w:space="0" w:color="auto"/>
              <w:right w:val="nil"/>
            </w:tcBorders>
            <w:vAlign w:val="center"/>
          </w:tcPr>
          <w:p w14:paraId="77107581" w14:textId="77777777" w:rsidR="009829A9" w:rsidRPr="00AC5BEF" w:rsidRDefault="009829A9" w:rsidP="000E76A5">
            <w:pPr>
              <w:pStyle w:val="TableText"/>
            </w:pPr>
          </w:p>
        </w:tc>
        <w:tc>
          <w:tcPr>
            <w:tcW w:w="1574" w:type="dxa"/>
            <w:tcBorders>
              <w:left w:val="nil"/>
              <w:bottom w:val="single" w:sz="4" w:space="0" w:color="auto"/>
              <w:right w:val="nil"/>
            </w:tcBorders>
            <w:vAlign w:val="center"/>
          </w:tcPr>
          <w:p w14:paraId="4D78BE8A" w14:textId="77777777" w:rsidR="009829A9" w:rsidRPr="00AC5BEF" w:rsidRDefault="009829A9" w:rsidP="000E76A5">
            <w:pPr>
              <w:pStyle w:val="TableText"/>
            </w:pPr>
          </w:p>
        </w:tc>
        <w:tc>
          <w:tcPr>
            <w:tcW w:w="1574" w:type="dxa"/>
            <w:tcBorders>
              <w:left w:val="nil"/>
              <w:bottom w:val="single" w:sz="4" w:space="0" w:color="auto"/>
              <w:right w:val="nil"/>
            </w:tcBorders>
            <w:vAlign w:val="center"/>
          </w:tcPr>
          <w:p w14:paraId="2C328488" w14:textId="77777777" w:rsidR="009829A9" w:rsidRPr="00AC5BEF" w:rsidRDefault="009829A9" w:rsidP="000E76A5">
            <w:pPr>
              <w:pStyle w:val="TableText"/>
            </w:pPr>
            <w:r>
              <w:t>No thresholds</w:t>
            </w:r>
          </w:p>
        </w:tc>
        <w:tc>
          <w:tcPr>
            <w:tcW w:w="1574" w:type="dxa"/>
            <w:tcBorders>
              <w:left w:val="nil"/>
              <w:bottom w:val="single" w:sz="4" w:space="0" w:color="auto"/>
              <w:right w:val="nil"/>
            </w:tcBorders>
            <w:vAlign w:val="center"/>
          </w:tcPr>
          <w:p w14:paraId="29132B6D" w14:textId="77777777" w:rsidR="009829A9" w:rsidRPr="00AC5BEF" w:rsidRDefault="009829A9" w:rsidP="000E76A5">
            <w:pPr>
              <w:pStyle w:val="TableText"/>
            </w:pPr>
            <w:r>
              <w:t>No thresholds</w:t>
            </w:r>
          </w:p>
        </w:tc>
        <w:tc>
          <w:tcPr>
            <w:tcW w:w="1574" w:type="dxa"/>
            <w:tcBorders>
              <w:left w:val="nil"/>
              <w:bottom w:val="single" w:sz="4" w:space="0" w:color="auto"/>
              <w:right w:val="nil"/>
            </w:tcBorders>
            <w:vAlign w:val="center"/>
          </w:tcPr>
          <w:p w14:paraId="5F75BC27" w14:textId="77777777" w:rsidR="009829A9" w:rsidRPr="00AC5BEF" w:rsidRDefault="009829A9" w:rsidP="000E76A5">
            <w:pPr>
              <w:pStyle w:val="TableText"/>
            </w:pPr>
          </w:p>
        </w:tc>
        <w:tc>
          <w:tcPr>
            <w:tcW w:w="1575" w:type="dxa"/>
            <w:tcBorders>
              <w:left w:val="nil"/>
              <w:bottom w:val="single" w:sz="4" w:space="0" w:color="auto"/>
              <w:right w:val="nil"/>
            </w:tcBorders>
            <w:vAlign w:val="center"/>
          </w:tcPr>
          <w:p w14:paraId="42C00FEA" w14:textId="77777777" w:rsidR="009829A9" w:rsidRPr="00AC5BEF" w:rsidRDefault="009829A9" w:rsidP="000E76A5">
            <w:pPr>
              <w:pStyle w:val="TableText"/>
            </w:pPr>
          </w:p>
        </w:tc>
      </w:tr>
      <w:tr w:rsidR="00DC3126" w14:paraId="560CA183" w14:textId="77777777" w:rsidTr="00800DA6">
        <w:trPr>
          <w:trHeight w:val="20"/>
          <w:jc w:val="center"/>
        </w:trPr>
        <w:tc>
          <w:tcPr>
            <w:tcW w:w="3430" w:type="dxa"/>
            <w:tcBorders>
              <w:left w:val="nil"/>
            </w:tcBorders>
            <w:vAlign w:val="center"/>
          </w:tcPr>
          <w:p w14:paraId="7E55524F" w14:textId="77777777" w:rsidR="009829A9" w:rsidRPr="00AC5BEF" w:rsidRDefault="009829A9" w:rsidP="000E76A5">
            <w:pPr>
              <w:pStyle w:val="TableText"/>
            </w:pPr>
            <w:r w:rsidRPr="00AC5BEF">
              <w:t>Glenn County APCD</w:t>
            </w:r>
          </w:p>
        </w:tc>
        <w:tc>
          <w:tcPr>
            <w:tcW w:w="1574" w:type="dxa"/>
            <w:tcBorders>
              <w:right w:val="nil"/>
            </w:tcBorders>
            <w:vAlign w:val="center"/>
          </w:tcPr>
          <w:p w14:paraId="2A43A21A" w14:textId="77777777" w:rsidR="009829A9" w:rsidRPr="00AC5BEF" w:rsidRDefault="009829A9" w:rsidP="000E76A5">
            <w:pPr>
              <w:pStyle w:val="TableText"/>
            </w:pPr>
          </w:p>
        </w:tc>
        <w:tc>
          <w:tcPr>
            <w:tcW w:w="1574" w:type="dxa"/>
            <w:tcBorders>
              <w:left w:val="nil"/>
              <w:right w:val="nil"/>
            </w:tcBorders>
            <w:vAlign w:val="center"/>
          </w:tcPr>
          <w:p w14:paraId="7FAE8D98" w14:textId="77777777" w:rsidR="009829A9" w:rsidRPr="00AC5BEF" w:rsidRDefault="009829A9" w:rsidP="000E76A5">
            <w:pPr>
              <w:pStyle w:val="TableText"/>
            </w:pPr>
          </w:p>
        </w:tc>
        <w:tc>
          <w:tcPr>
            <w:tcW w:w="1574" w:type="dxa"/>
            <w:tcBorders>
              <w:left w:val="nil"/>
              <w:right w:val="nil"/>
            </w:tcBorders>
            <w:vAlign w:val="center"/>
          </w:tcPr>
          <w:p w14:paraId="667AEB5D" w14:textId="77777777" w:rsidR="009829A9" w:rsidRPr="00AC5BEF" w:rsidRDefault="009829A9" w:rsidP="000E76A5">
            <w:pPr>
              <w:pStyle w:val="TableText"/>
            </w:pPr>
          </w:p>
        </w:tc>
        <w:tc>
          <w:tcPr>
            <w:tcW w:w="1574" w:type="dxa"/>
            <w:tcBorders>
              <w:left w:val="nil"/>
              <w:right w:val="nil"/>
            </w:tcBorders>
            <w:vAlign w:val="center"/>
          </w:tcPr>
          <w:p w14:paraId="14A44566" w14:textId="77777777" w:rsidR="009829A9" w:rsidRPr="00AC5BEF" w:rsidRDefault="009829A9" w:rsidP="000E76A5">
            <w:pPr>
              <w:pStyle w:val="TableText"/>
            </w:pPr>
          </w:p>
        </w:tc>
        <w:tc>
          <w:tcPr>
            <w:tcW w:w="1574" w:type="dxa"/>
            <w:tcBorders>
              <w:left w:val="nil"/>
              <w:right w:val="nil"/>
            </w:tcBorders>
            <w:vAlign w:val="center"/>
          </w:tcPr>
          <w:p w14:paraId="7D072222" w14:textId="77777777" w:rsidR="009829A9" w:rsidRPr="00AC5BEF" w:rsidRDefault="009829A9" w:rsidP="000E76A5">
            <w:pPr>
              <w:pStyle w:val="TableText"/>
            </w:pPr>
          </w:p>
        </w:tc>
        <w:tc>
          <w:tcPr>
            <w:tcW w:w="1575" w:type="dxa"/>
            <w:tcBorders>
              <w:left w:val="nil"/>
              <w:right w:val="nil"/>
            </w:tcBorders>
            <w:vAlign w:val="center"/>
          </w:tcPr>
          <w:p w14:paraId="15B56884" w14:textId="77777777" w:rsidR="009829A9" w:rsidRPr="00AC5BEF" w:rsidRDefault="009829A9" w:rsidP="000E76A5">
            <w:pPr>
              <w:pStyle w:val="TableText"/>
            </w:pPr>
            <w:r>
              <w:t>No thresholds</w:t>
            </w:r>
          </w:p>
        </w:tc>
        <w:tc>
          <w:tcPr>
            <w:tcW w:w="1574" w:type="dxa"/>
            <w:tcBorders>
              <w:left w:val="nil"/>
              <w:right w:val="nil"/>
            </w:tcBorders>
            <w:vAlign w:val="center"/>
          </w:tcPr>
          <w:p w14:paraId="6B7754A9" w14:textId="77777777" w:rsidR="009829A9" w:rsidRPr="00AC5BEF" w:rsidRDefault="009829A9" w:rsidP="000E76A5">
            <w:pPr>
              <w:pStyle w:val="TableText"/>
            </w:pPr>
          </w:p>
        </w:tc>
        <w:tc>
          <w:tcPr>
            <w:tcW w:w="1574" w:type="dxa"/>
            <w:tcBorders>
              <w:left w:val="nil"/>
              <w:right w:val="nil"/>
            </w:tcBorders>
            <w:vAlign w:val="center"/>
          </w:tcPr>
          <w:p w14:paraId="5BF7C6E3" w14:textId="77777777" w:rsidR="009829A9" w:rsidRPr="00AC5BEF" w:rsidRDefault="009829A9" w:rsidP="000E76A5">
            <w:pPr>
              <w:pStyle w:val="TableText"/>
            </w:pPr>
          </w:p>
        </w:tc>
        <w:tc>
          <w:tcPr>
            <w:tcW w:w="1574" w:type="dxa"/>
            <w:tcBorders>
              <w:left w:val="nil"/>
              <w:right w:val="nil"/>
            </w:tcBorders>
            <w:vAlign w:val="center"/>
          </w:tcPr>
          <w:p w14:paraId="4B95D718" w14:textId="77777777" w:rsidR="009829A9" w:rsidRPr="00AC5BEF" w:rsidRDefault="009829A9" w:rsidP="000E76A5">
            <w:pPr>
              <w:pStyle w:val="TableText"/>
            </w:pPr>
          </w:p>
        </w:tc>
        <w:tc>
          <w:tcPr>
            <w:tcW w:w="1574" w:type="dxa"/>
            <w:tcBorders>
              <w:left w:val="nil"/>
              <w:right w:val="nil"/>
            </w:tcBorders>
            <w:vAlign w:val="center"/>
          </w:tcPr>
          <w:p w14:paraId="4E698B62" w14:textId="77777777" w:rsidR="009829A9" w:rsidRPr="00AC5BEF" w:rsidRDefault="009829A9" w:rsidP="000E76A5">
            <w:pPr>
              <w:pStyle w:val="TableText"/>
            </w:pPr>
          </w:p>
        </w:tc>
        <w:tc>
          <w:tcPr>
            <w:tcW w:w="1574" w:type="dxa"/>
            <w:tcBorders>
              <w:left w:val="nil"/>
              <w:right w:val="nil"/>
            </w:tcBorders>
            <w:vAlign w:val="center"/>
          </w:tcPr>
          <w:p w14:paraId="42151C5F" w14:textId="77777777" w:rsidR="009829A9" w:rsidRPr="00AC5BEF" w:rsidRDefault="009829A9" w:rsidP="000E76A5">
            <w:pPr>
              <w:pStyle w:val="TableText"/>
            </w:pPr>
          </w:p>
        </w:tc>
        <w:tc>
          <w:tcPr>
            <w:tcW w:w="1575" w:type="dxa"/>
            <w:tcBorders>
              <w:left w:val="nil"/>
              <w:right w:val="nil"/>
            </w:tcBorders>
            <w:vAlign w:val="center"/>
          </w:tcPr>
          <w:p w14:paraId="3EEE4653" w14:textId="77777777" w:rsidR="009829A9" w:rsidRPr="00AC5BEF" w:rsidRDefault="009829A9" w:rsidP="000E76A5">
            <w:pPr>
              <w:pStyle w:val="TableText"/>
            </w:pPr>
          </w:p>
        </w:tc>
      </w:tr>
      <w:tr w:rsidR="00DC3126" w14:paraId="09776A54" w14:textId="77777777" w:rsidTr="00800DA6">
        <w:trPr>
          <w:trHeight w:val="20"/>
          <w:jc w:val="center"/>
        </w:trPr>
        <w:tc>
          <w:tcPr>
            <w:tcW w:w="3430" w:type="dxa"/>
            <w:tcBorders>
              <w:left w:val="nil"/>
            </w:tcBorders>
            <w:vAlign w:val="center"/>
          </w:tcPr>
          <w:p w14:paraId="3D9D03BE" w14:textId="77777777" w:rsidR="009829A9" w:rsidRPr="00AC5BEF" w:rsidRDefault="009829A9" w:rsidP="000E76A5">
            <w:pPr>
              <w:pStyle w:val="TableText"/>
            </w:pPr>
            <w:r w:rsidRPr="00AC5BEF">
              <w:t>Great Basin Unified APCD</w:t>
            </w:r>
            <w:r>
              <w:t xml:space="preserve"> (Inyo, Mono, and Alpine County)</w:t>
            </w:r>
          </w:p>
        </w:tc>
        <w:tc>
          <w:tcPr>
            <w:tcW w:w="1574" w:type="dxa"/>
            <w:tcBorders>
              <w:right w:val="nil"/>
            </w:tcBorders>
            <w:vAlign w:val="center"/>
          </w:tcPr>
          <w:p w14:paraId="4BA5721B" w14:textId="77777777" w:rsidR="009829A9" w:rsidRPr="00AC5BEF" w:rsidRDefault="009829A9" w:rsidP="000E76A5">
            <w:pPr>
              <w:pStyle w:val="TableText"/>
            </w:pPr>
          </w:p>
        </w:tc>
        <w:tc>
          <w:tcPr>
            <w:tcW w:w="1574" w:type="dxa"/>
            <w:tcBorders>
              <w:left w:val="nil"/>
              <w:right w:val="nil"/>
            </w:tcBorders>
            <w:vAlign w:val="center"/>
          </w:tcPr>
          <w:p w14:paraId="251746BC" w14:textId="77777777" w:rsidR="009829A9" w:rsidRPr="00AC5BEF" w:rsidRDefault="009829A9" w:rsidP="000E76A5">
            <w:pPr>
              <w:pStyle w:val="TableText"/>
            </w:pPr>
          </w:p>
        </w:tc>
        <w:tc>
          <w:tcPr>
            <w:tcW w:w="1574" w:type="dxa"/>
            <w:tcBorders>
              <w:left w:val="nil"/>
              <w:right w:val="nil"/>
            </w:tcBorders>
            <w:vAlign w:val="center"/>
          </w:tcPr>
          <w:p w14:paraId="0901545F" w14:textId="77777777" w:rsidR="009829A9" w:rsidRPr="00AC5BEF" w:rsidRDefault="009829A9" w:rsidP="000E76A5">
            <w:pPr>
              <w:pStyle w:val="TableText"/>
            </w:pPr>
          </w:p>
        </w:tc>
        <w:tc>
          <w:tcPr>
            <w:tcW w:w="1574" w:type="dxa"/>
            <w:tcBorders>
              <w:left w:val="nil"/>
              <w:right w:val="nil"/>
            </w:tcBorders>
            <w:vAlign w:val="center"/>
          </w:tcPr>
          <w:p w14:paraId="130E6B39" w14:textId="77777777" w:rsidR="009829A9" w:rsidRPr="00AC5BEF" w:rsidRDefault="009829A9" w:rsidP="000E76A5">
            <w:pPr>
              <w:pStyle w:val="TableText"/>
            </w:pPr>
          </w:p>
        </w:tc>
        <w:tc>
          <w:tcPr>
            <w:tcW w:w="1574" w:type="dxa"/>
            <w:tcBorders>
              <w:left w:val="nil"/>
              <w:right w:val="nil"/>
            </w:tcBorders>
            <w:vAlign w:val="center"/>
          </w:tcPr>
          <w:p w14:paraId="2B3431B7" w14:textId="77777777" w:rsidR="009829A9" w:rsidRPr="00AC5BEF" w:rsidRDefault="009829A9" w:rsidP="000E76A5">
            <w:pPr>
              <w:pStyle w:val="TableText"/>
            </w:pPr>
          </w:p>
        </w:tc>
        <w:tc>
          <w:tcPr>
            <w:tcW w:w="1575" w:type="dxa"/>
            <w:tcBorders>
              <w:left w:val="nil"/>
              <w:right w:val="nil"/>
            </w:tcBorders>
            <w:vAlign w:val="center"/>
          </w:tcPr>
          <w:p w14:paraId="0C640250" w14:textId="77777777" w:rsidR="009829A9" w:rsidRPr="00AC5BEF" w:rsidRDefault="009829A9" w:rsidP="000E76A5">
            <w:pPr>
              <w:pStyle w:val="TableText"/>
            </w:pPr>
            <w:r>
              <w:t>No thresholds</w:t>
            </w:r>
          </w:p>
        </w:tc>
        <w:tc>
          <w:tcPr>
            <w:tcW w:w="1574" w:type="dxa"/>
            <w:tcBorders>
              <w:left w:val="nil"/>
              <w:right w:val="nil"/>
            </w:tcBorders>
            <w:vAlign w:val="center"/>
          </w:tcPr>
          <w:p w14:paraId="73B97FD1" w14:textId="77777777" w:rsidR="009829A9" w:rsidRPr="00AC5BEF" w:rsidRDefault="009829A9" w:rsidP="000E76A5">
            <w:pPr>
              <w:pStyle w:val="TableText"/>
            </w:pPr>
          </w:p>
        </w:tc>
        <w:tc>
          <w:tcPr>
            <w:tcW w:w="1574" w:type="dxa"/>
            <w:tcBorders>
              <w:left w:val="nil"/>
              <w:right w:val="nil"/>
            </w:tcBorders>
            <w:vAlign w:val="center"/>
          </w:tcPr>
          <w:p w14:paraId="2E695D14" w14:textId="77777777" w:rsidR="009829A9" w:rsidRPr="00AC5BEF" w:rsidRDefault="009829A9" w:rsidP="000E76A5">
            <w:pPr>
              <w:pStyle w:val="TableText"/>
            </w:pPr>
          </w:p>
        </w:tc>
        <w:tc>
          <w:tcPr>
            <w:tcW w:w="1574" w:type="dxa"/>
            <w:tcBorders>
              <w:left w:val="nil"/>
              <w:right w:val="nil"/>
            </w:tcBorders>
            <w:vAlign w:val="center"/>
          </w:tcPr>
          <w:p w14:paraId="1B248E53" w14:textId="77777777" w:rsidR="009829A9" w:rsidRPr="00AC5BEF" w:rsidRDefault="009829A9" w:rsidP="000E76A5">
            <w:pPr>
              <w:pStyle w:val="TableText"/>
            </w:pPr>
          </w:p>
        </w:tc>
        <w:tc>
          <w:tcPr>
            <w:tcW w:w="1574" w:type="dxa"/>
            <w:tcBorders>
              <w:left w:val="nil"/>
              <w:right w:val="nil"/>
            </w:tcBorders>
            <w:vAlign w:val="center"/>
          </w:tcPr>
          <w:p w14:paraId="6474D99F" w14:textId="77777777" w:rsidR="009829A9" w:rsidRPr="00AC5BEF" w:rsidRDefault="009829A9" w:rsidP="000E76A5">
            <w:pPr>
              <w:pStyle w:val="TableText"/>
            </w:pPr>
          </w:p>
        </w:tc>
        <w:tc>
          <w:tcPr>
            <w:tcW w:w="1574" w:type="dxa"/>
            <w:tcBorders>
              <w:left w:val="nil"/>
              <w:right w:val="nil"/>
            </w:tcBorders>
            <w:vAlign w:val="center"/>
          </w:tcPr>
          <w:p w14:paraId="71CD8FEF" w14:textId="77777777" w:rsidR="009829A9" w:rsidRPr="00AC5BEF" w:rsidRDefault="009829A9" w:rsidP="000E76A5">
            <w:pPr>
              <w:pStyle w:val="TableText"/>
            </w:pPr>
          </w:p>
        </w:tc>
        <w:tc>
          <w:tcPr>
            <w:tcW w:w="1575" w:type="dxa"/>
            <w:tcBorders>
              <w:left w:val="nil"/>
              <w:right w:val="nil"/>
            </w:tcBorders>
            <w:vAlign w:val="center"/>
          </w:tcPr>
          <w:p w14:paraId="7617C898" w14:textId="77777777" w:rsidR="009829A9" w:rsidRPr="00AC5BEF" w:rsidRDefault="009829A9" w:rsidP="000E76A5">
            <w:pPr>
              <w:pStyle w:val="TableText"/>
            </w:pPr>
          </w:p>
        </w:tc>
      </w:tr>
      <w:tr w:rsidR="00DC3126" w14:paraId="718D9D84" w14:textId="77777777" w:rsidTr="00800DA6">
        <w:trPr>
          <w:trHeight w:val="20"/>
          <w:jc w:val="center"/>
        </w:trPr>
        <w:tc>
          <w:tcPr>
            <w:tcW w:w="3430" w:type="dxa"/>
            <w:tcBorders>
              <w:left w:val="nil"/>
            </w:tcBorders>
            <w:vAlign w:val="center"/>
          </w:tcPr>
          <w:p w14:paraId="4536DCC6" w14:textId="77777777" w:rsidR="009829A9" w:rsidRPr="00AC5BEF" w:rsidRDefault="009829A9" w:rsidP="000E76A5">
            <w:pPr>
              <w:pStyle w:val="TableText"/>
            </w:pPr>
            <w:r w:rsidRPr="00AC5BEF">
              <w:t>Imperial County APCD</w:t>
            </w:r>
          </w:p>
        </w:tc>
        <w:tc>
          <w:tcPr>
            <w:tcW w:w="1574" w:type="dxa"/>
            <w:vAlign w:val="center"/>
          </w:tcPr>
          <w:p w14:paraId="64C083F9" w14:textId="77777777" w:rsidR="009829A9" w:rsidRPr="00AC5BEF" w:rsidRDefault="009829A9" w:rsidP="000E76A5">
            <w:pPr>
              <w:pStyle w:val="TableText"/>
            </w:pPr>
            <w:r>
              <w:t>Implement mitigation</w:t>
            </w:r>
          </w:p>
        </w:tc>
        <w:tc>
          <w:tcPr>
            <w:tcW w:w="1574" w:type="dxa"/>
            <w:vAlign w:val="center"/>
          </w:tcPr>
          <w:p w14:paraId="4893E4D0" w14:textId="77777777" w:rsidR="009829A9" w:rsidRPr="00AC5BEF" w:rsidRDefault="009829A9" w:rsidP="000E76A5">
            <w:pPr>
              <w:pStyle w:val="TableText"/>
            </w:pPr>
            <w:r>
              <w:t xml:space="preserve">137 </w:t>
            </w:r>
            <w:proofErr w:type="spellStart"/>
            <w:r>
              <w:t>lb</w:t>
            </w:r>
            <w:proofErr w:type="spellEnd"/>
            <w:r>
              <w:t>/day</w:t>
            </w:r>
          </w:p>
        </w:tc>
        <w:tc>
          <w:tcPr>
            <w:tcW w:w="1574" w:type="dxa"/>
            <w:vAlign w:val="center"/>
          </w:tcPr>
          <w:p w14:paraId="6CBDD4FA" w14:textId="77777777" w:rsidR="009829A9" w:rsidRPr="00AC5BEF" w:rsidRDefault="009829A9" w:rsidP="000E76A5">
            <w:pPr>
              <w:pStyle w:val="TableText"/>
            </w:pPr>
            <w:r>
              <w:t>Implement mitigation</w:t>
            </w:r>
          </w:p>
        </w:tc>
        <w:tc>
          <w:tcPr>
            <w:tcW w:w="1574" w:type="dxa"/>
            <w:vAlign w:val="center"/>
          </w:tcPr>
          <w:p w14:paraId="49A07DB8" w14:textId="77777777" w:rsidR="009829A9" w:rsidRPr="00AC5BEF" w:rsidRDefault="009829A9" w:rsidP="000E76A5">
            <w:pPr>
              <w:pStyle w:val="TableText"/>
            </w:pPr>
            <w:r w:rsidRPr="005234D7">
              <w:t xml:space="preserve">137 </w:t>
            </w:r>
            <w:proofErr w:type="spellStart"/>
            <w:r w:rsidRPr="005234D7">
              <w:t>lb</w:t>
            </w:r>
            <w:proofErr w:type="spellEnd"/>
            <w:r w:rsidRPr="005234D7">
              <w:t>/day</w:t>
            </w:r>
          </w:p>
        </w:tc>
        <w:tc>
          <w:tcPr>
            <w:tcW w:w="1574" w:type="dxa"/>
            <w:vAlign w:val="center"/>
          </w:tcPr>
          <w:p w14:paraId="2D03E246" w14:textId="77777777" w:rsidR="009829A9" w:rsidRPr="00AC5BEF" w:rsidRDefault="009829A9" w:rsidP="000E76A5">
            <w:pPr>
              <w:pStyle w:val="TableText"/>
            </w:pPr>
            <w:r>
              <w:t>Implement mitigation</w:t>
            </w:r>
          </w:p>
        </w:tc>
        <w:tc>
          <w:tcPr>
            <w:tcW w:w="1575" w:type="dxa"/>
            <w:vAlign w:val="center"/>
          </w:tcPr>
          <w:p w14:paraId="090C5686" w14:textId="77777777" w:rsidR="009829A9" w:rsidRPr="00AC5BEF" w:rsidRDefault="009829A9" w:rsidP="000E76A5">
            <w:pPr>
              <w:pStyle w:val="TableText"/>
            </w:pPr>
            <w:r>
              <w:t xml:space="preserve">150 </w:t>
            </w:r>
            <w:proofErr w:type="spellStart"/>
            <w:r>
              <w:t>lb</w:t>
            </w:r>
            <w:proofErr w:type="spellEnd"/>
            <w:r>
              <w:t>/day</w:t>
            </w:r>
          </w:p>
        </w:tc>
        <w:tc>
          <w:tcPr>
            <w:tcW w:w="1574" w:type="dxa"/>
            <w:vAlign w:val="center"/>
          </w:tcPr>
          <w:p w14:paraId="396003E9" w14:textId="77777777" w:rsidR="009829A9" w:rsidRPr="00AC5BEF" w:rsidRDefault="009829A9" w:rsidP="000E76A5">
            <w:pPr>
              <w:pStyle w:val="TableText"/>
            </w:pPr>
            <w:r>
              <w:t>Implement mitigation</w:t>
            </w:r>
          </w:p>
        </w:tc>
        <w:tc>
          <w:tcPr>
            <w:tcW w:w="1574" w:type="dxa"/>
            <w:vAlign w:val="center"/>
          </w:tcPr>
          <w:p w14:paraId="3382C215" w14:textId="77777777" w:rsidR="009829A9" w:rsidRPr="00AC5BEF" w:rsidRDefault="009829A9" w:rsidP="000E76A5">
            <w:pPr>
              <w:pStyle w:val="TableText"/>
            </w:pPr>
            <w:r>
              <w:t xml:space="preserve">550 </w:t>
            </w:r>
            <w:proofErr w:type="spellStart"/>
            <w:r>
              <w:t>lb</w:t>
            </w:r>
            <w:proofErr w:type="spellEnd"/>
            <w:r>
              <w:t>/day</w:t>
            </w:r>
          </w:p>
        </w:tc>
        <w:tc>
          <w:tcPr>
            <w:tcW w:w="1574" w:type="dxa"/>
            <w:vAlign w:val="center"/>
          </w:tcPr>
          <w:p w14:paraId="3A5C8190" w14:textId="77777777" w:rsidR="009829A9" w:rsidRPr="00AC5BEF" w:rsidRDefault="009829A9" w:rsidP="000E76A5">
            <w:pPr>
              <w:pStyle w:val="TableText"/>
            </w:pPr>
            <w:r>
              <w:t>Implement mitigation</w:t>
            </w:r>
          </w:p>
        </w:tc>
        <w:tc>
          <w:tcPr>
            <w:tcW w:w="1574" w:type="dxa"/>
            <w:vAlign w:val="center"/>
          </w:tcPr>
          <w:p w14:paraId="09E3344D" w14:textId="77777777" w:rsidR="009829A9" w:rsidRPr="00AC5BEF" w:rsidRDefault="009829A9" w:rsidP="000E76A5">
            <w:pPr>
              <w:pStyle w:val="TableText"/>
            </w:pPr>
            <w:r>
              <w:t xml:space="preserve">150 </w:t>
            </w:r>
            <w:proofErr w:type="spellStart"/>
            <w:r>
              <w:t>lb</w:t>
            </w:r>
            <w:proofErr w:type="spellEnd"/>
            <w:r>
              <w:t>/day</w:t>
            </w:r>
          </w:p>
        </w:tc>
        <w:tc>
          <w:tcPr>
            <w:tcW w:w="1574" w:type="dxa"/>
            <w:vAlign w:val="center"/>
          </w:tcPr>
          <w:p w14:paraId="6C5A3048" w14:textId="77777777" w:rsidR="009829A9" w:rsidRPr="00AC5BEF" w:rsidRDefault="009829A9" w:rsidP="000E76A5">
            <w:pPr>
              <w:pStyle w:val="TableText"/>
            </w:pPr>
            <w:r>
              <w:t>Implement mitigation</w:t>
            </w:r>
          </w:p>
        </w:tc>
        <w:tc>
          <w:tcPr>
            <w:tcW w:w="1575" w:type="dxa"/>
            <w:tcBorders>
              <w:right w:val="nil"/>
            </w:tcBorders>
            <w:vAlign w:val="center"/>
          </w:tcPr>
          <w:p w14:paraId="5AFB30D7" w14:textId="77777777" w:rsidR="009829A9" w:rsidRPr="00AC5BEF" w:rsidRDefault="009829A9" w:rsidP="000E76A5">
            <w:pPr>
              <w:pStyle w:val="TableText"/>
            </w:pPr>
            <w:r>
              <w:t xml:space="preserve">550 </w:t>
            </w:r>
            <w:proofErr w:type="spellStart"/>
            <w:r>
              <w:t>lb</w:t>
            </w:r>
            <w:proofErr w:type="spellEnd"/>
            <w:r>
              <w:t>/day</w:t>
            </w:r>
          </w:p>
        </w:tc>
      </w:tr>
      <w:tr w:rsidR="00DC3126" w14:paraId="17694619" w14:textId="77777777" w:rsidTr="00800DA6">
        <w:trPr>
          <w:trHeight w:val="20"/>
          <w:jc w:val="center"/>
        </w:trPr>
        <w:tc>
          <w:tcPr>
            <w:tcW w:w="3430" w:type="dxa"/>
            <w:tcBorders>
              <w:left w:val="nil"/>
            </w:tcBorders>
            <w:vAlign w:val="center"/>
          </w:tcPr>
          <w:p w14:paraId="60E0C2FE" w14:textId="77777777" w:rsidR="009829A9" w:rsidRPr="00AC5BEF" w:rsidRDefault="009829A9" w:rsidP="000E76A5">
            <w:pPr>
              <w:pStyle w:val="TableText"/>
            </w:pPr>
            <w:r w:rsidRPr="00AC5BEF">
              <w:t>Lake County AQMD</w:t>
            </w:r>
          </w:p>
        </w:tc>
        <w:tc>
          <w:tcPr>
            <w:tcW w:w="1574" w:type="dxa"/>
            <w:tcBorders>
              <w:right w:val="nil"/>
            </w:tcBorders>
            <w:vAlign w:val="center"/>
          </w:tcPr>
          <w:p w14:paraId="29A575CC" w14:textId="77777777" w:rsidR="009829A9" w:rsidRPr="00AC5BEF" w:rsidRDefault="009829A9" w:rsidP="000E76A5">
            <w:pPr>
              <w:pStyle w:val="TableText"/>
            </w:pPr>
          </w:p>
        </w:tc>
        <w:tc>
          <w:tcPr>
            <w:tcW w:w="1574" w:type="dxa"/>
            <w:tcBorders>
              <w:left w:val="nil"/>
              <w:right w:val="nil"/>
            </w:tcBorders>
            <w:vAlign w:val="center"/>
          </w:tcPr>
          <w:p w14:paraId="4BA4DFB0" w14:textId="77777777" w:rsidR="009829A9" w:rsidRPr="00AC5BEF" w:rsidRDefault="009829A9" w:rsidP="000E76A5">
            <w:pPr>
              <w:pStyle w:val="TableText"/>
            </w:pPr>
          </w:p>
        </w:tc>
        <w:tc>
          <w:tcPr>
            <w:tcW w:w="1574" w:type="dxa"/>
            <w:tcBorders>
              <w:left w:val="nil"/>
              <w:right w:val="nil"/>
            </w:tcBorders>
            <w:vAlign w:val="center"/>
          </w:tcPr>
          <w:p w14:paraId="0F262ED8" w14:textId="77777777" w:rsidR="009829A9" w:rsidRPr="00AC5BEF" w:rsidRDefault="009829A9" w:rsidP="000E76A5">
            <w:pPr>
              <w:pStyle w:val="TableText"/>
            </w:pPr>
          </w:p>
        </w:tc>
        <w:tc>
          <w:tcPr>
            <w:tcW w:w="1574" w:type="dxa"/>
            <w:tcBorders>
              <w:left w:val="nil"/>
              <w:right w:val="nil"/>
            </w:tcBorders>
            <w:vAlign w:val="center"/>
          </w:tcPr>
          <w:p w14:paraId="46DFC805" w14:textId="77777777" w:rsidR="009829A9" w:rsidRPr="00AC5BEF" w:rsidRDefault="009829A9" w:rsidP="000E76A5">
            <w:pPr>
              <w:pStyle w:val="TableText"/>
            </w:pPr>
          </w:p>
        </w:tc>
        <w:tc>
          <w:tcPr>
            <w:tcW w:w="1574" w:type="dxa"/>
            <w:tcBorders>
              <w:left w:val="nil"/>
              <w:right w:val="nil"/>
            </w:tcBorders>
            <w:vAlign w:val="center"/>
          </w:tcPr>
          <w:p w14:paraId="12094076" w14:textId="77777777" w:rsidR="009829A9" w:rsidRPr="00AC5BEF" w:rsidRDefault="009829A9" w:rsidP="000E76A5">
            <w:pPr>
              <w:pStyle w:val="TableText"/>
            </w:pPr>
          </w:p>
        </w:tc>
        <w:tc>
          <w:tcPr>
            <w:tcW w:w="1575" w:type="dxa"/>
            <w:tcBorders>
              <w:left w:val="nil"/>
              <w:right w:val="nil"/>
            </w:tcBorders>
            <w:vAlign w:val="center"/>
          </w:tcPr>
          <w:p w14:paraId="07FA9DC7" w14:textId="77777777" w:rsidR="009829A9" w:rsidRPr="00AC5BEF" w:rsidRDefault="009829A9" w:rsidP="000E76A5">
            <w:pPr>
              <w:pStyle w:val="TableText"/>
            </w:pPr>
            <w:r>
              <w:t>No thresholds</w:t>
            </w:r>
          </w:p>
        </w:tc>
        <w:tc>
          <w:tcPr>
            <w:tcW w:w="1574" w:type="dxa"/>
            <w:tcBorders>
              <w:left w:val="nil"/>
              <w:right w:val="nil"/>
            </w:tcBorders>
            <w:vAlign w:val="center"/>
          </w:tcPr>
          <w:p w14:paraId="34838388" w14:textId="77777777" w:rsidR="009829A9" w:rsidRPr="00AC5BEF" w:rsidRDefault="009829A9" w:rsidP="000E76A5">
            <w:pPr>
              <w:pStyle w:val="TableText"/>
            </w:pPr>
          </w:p>
        </w:tc>
        <w:tc>
          <w:tcPr>
            <w:tcW w:w="1574" w:type="dxa"/>
            <w:tcBorders>
              <w:left w:val="nil"/>
              <w:right w:val="nil"/>
            </w:tcBorders>
            <w:vAlign w:val="center"/>
          </w:tcPr>
          <w:p w14:paraId="3459C0A3" w14:textId="77777777" w:rsidR="009829A9" w:rsidRPr="00AC5BEF" w:rsidRDefault="009829A9" w:rsidP="000E76A5">
            <w:pPr>
              <w:pStyle w:val="TableText"/>
            </w:pPr>
          </w:p>
        </w:tc>
        <w:tc>
          <w:tcPr>
            <w:tcW w:w="1574" w:type="dxa"/>
            <w:tcBorders>
              <w:left w:val="nil"/>
              <w:right w:val="nil"/>
            </w:tcBorders>
            <w:vAlign w:val="center"/>
          </w:tcPr>
          <w:p w14:paraId="72400AF3" w14:textId="77777777" w:rsidR="009829A9" w:rsidRPr="00AC5BEF" w:rsidRDefault="009829A9" w:rsidP="000E76A5">
            <w:pPr>
              <w:pStyle w:val="TableText"/>
            </w:pPr>
          </w:p>
        </w:tc>
        <w:tc>
          <w:tcPr>
            <w:tcW w:w="1574" w:type="dxa"/>
            <w:tcBorders>
              <w:left w:val="nil"/>
              <w:right w:val="nil"/>
            </w:tcBorders>
            <w:vAlign w:val="center"/>
          </w:tcPr>
          <w:p w14:paraId="1DF0EF09" w14:textId="77777777" w:rsidR="009829A9" w:rsidRPr="00AC5BEF" w:rsidRDefault="009829A9" w:rsidP="000E76A5">
            <w:pPr>
              <w:pStyle w:val="TableText"/>
            </w:pPr>
          </w:p>
        </w:tc>
        <w:tc>
          <w:tcPr>
            <w:tcW w:w="1574" w:type="dxa"/>
            <w:tcBorders>
              <w:left w:val="nil"/>
              <w:right w:val="nil"/>
            </w:tcBorders>
            <w:vAlign w:val="center"/>
          </w:tcPr>
          <w:p w14:paraId="3F0EEF55" w14:textId="77777777" w:rsidR="009829A9" w:rsidRPr="00AC5BEF" w:rsidRDefault="009829A9" w:rsidP="000E76A5">
            <w:pPr>
              <w:pStyle w:val="TableText"/>
            </w:pPr>
          </w:p>
        </w:tc>
        <w:tc>
          <w:tcPr>
            <w:tcW w:w="1575" w:type="dxa"/>
            <w:tcBorders>
              <w:left w:val="nil"/>
              <w:right w:val="nil"/>
            </w:tcBorders>
            <w:vAlign w:val="center"/>
          </w:tcPr>
          <w:p w14:paraId="3B005929" w14:textId="77777777" w:rsidR="009829A9" w:rsidRPr="00AC5BEF" w:rsidRDefault="009829A9" w:rsidP="000E76A5">
            <w:pPr>
              <w:pStyle w:val="TableText"/>
            </w:pPr>
          </w:p>
        </w:tc>
      </w:tr>
      <w:tr w:rsidR="00DC3126" w14:paraId="16BE1CAD" w14:textId="77777777" w:rsidTr="00800DA6">
        <w:trPr>
          <w:trHeight w:val="20"/>
          <w:jc w:val="center"/>
        </w:trPr>
        <w:tc>
          <w:tcPr>
            <w:tcW w:w="3430" w:type="dxa"/>
            <w:tcBorders>
              <w:left w:val="nil"/>
            </w:tcBorders>
            <w:vAlign w:val="center"/>
          </w:tcPr>
          <w:p w14:paraId="3CB2FC82" w14:textId="77777777" w:rsidR="009829A9" w:rsidRPr="00AC5BEF" w:rsidRDefault="009829A9" w:rsidP="000E76A5">
            <w:pPr>
              <w:pStyle w:val="TableText"/>
            </w:pPr>
            <w:r w:rsidRPr="00AC5BEF">
              <w:t>Lassen County APCD</w:t>
            </w:r>
          </w:p>
        </w:tc>
        <w:tc>
          <w:tcPr>
            <w:tcW w:w="1574" w:type="dxa"/>
            <w:tcBorders>
              <w:right w:val="nil"/>
            </w:tcBorders>
            <w:vAlign w:val="center"/>
          </w:tcPr>
          <w:p w14:paraId="398DCF62" w14:textId="77777777" w:rsidR="009829A9" w:rsidRPr="00AC5BEF" w:rsidRDefault="009829A9" w:rsidP="000E76A5">
            <w:pPr>
              <w:pStyle w:val="TableText"/>
            </w:pPr>
          </w:p>
        </w:tc>
        <w:tc>
          <w:tcPr>
            <w:tcW w:w="1574" w:type="dxa"/>
            <w:tcBorders>
              <w:left w:val="nil"/>
              <w:right w:val="nil"/>
            </w:tcBorders>
            <w:vAlign w:val="center"/>
          </w:tcPr>
          <w:p w14:paraId="1059B95F" w14:textId="77777777" w:rsidR="009829A9" w:rsidRPr="00AC5BEF" w:rsidRDefault="009829A9" w:rsidP="000E76A5">
            <w:pPr>
              <w:pStyle w:val="TableText"/>
            </w:pPr>
          </w:p>
        </w:tc>
        <w:tc>
          <w:tcPr>
            <w:tcW w:w="1574" w:type="dxa"/>
            <w:tcBorders>
              <w:left w:val="nil"/>
              <w:right w:val="nil"/>
            </w:tcBorders>
            <w:vAlign w:val="center"/>
          </w:tcPr>
          <w:p w14:paraId="5D293206" w14:textId="77777777" w:rsidR="009829A9" w:rsidRPr="00AC5BEF" w:rsidRDefault="009829A9" w:rsidP="000E76A5">
            <w:pPr>
              <w:pStyle w:val="TableText"/>
            </w:pPr>
          </w:p>
        </w:tc>
        <w:tc>
          <w:tcPr>
            <w:tcW w:w="1574" w:type="dxa"/>
            <w:tcBorders>
              <w:left w:val="nil"/>
              <w:right w:val="nil"/>
            </w:tcBorders>
            <w:vAlign w:val="center"/>
          </w:tcPr>
          <w:p w14:paraId="1070F915" w14:textId="77777777" w:rsidR="009829A9" w:rsidRPr="00AC5BEF" w:rsidRDefault="009829A9" w:rsidP="000E76A5">
            <w:pPr>
              <w:pStyle w:val="TableText"/>
            </w:pPr>
          </w:p>
        </w:tc>
        <w:tc>
          <w:tcPr>
            <w:tcW w:w="1574" w:type="dxa"/>
            <w:tcBorders>
              <w:left w:val="nil"/>
              <w:right w:val="nil"/>
            </w:tcBorders>
            <w:vAlign w:val="center"/>
          </w:tcPr>
          <w:p w14:paraId="5910597E" w14:textId="77777777" w:rsidR="009829A9" w:rsidRPr="00AC5BEF" w:rsidRDefault="009829A9" w:rsidP="000E76A5">
            <w:pPr>
              <w:pStyle w:val="TableText"/>
            </w:pPr>
          </w:p>
        </w:tc>
        <w:tc>
          <w:tcPr>
            <w:tcW w:w="1575" w:type="dxa"/>
            <w:tcBorders>
              <w:left w:val="nil"/>
              <w:right w:val="nil"/>
            </w:tcBorders>
            <w:vAlign w:val="center"/>
          </w:tcPr>
          <w:p w14:paraId="63461FD2" w14:textId="77777777" w:rsidR="009829A9" w:rsidRPr="00AC5BEF" w:rsidRDefault="009829A9" w:rsidP="000E76A5">
            <w:pPr>
              <w:pStyle w:val="TableText"/>
            </w:pPr>
            <w:r>
              <w:t>No thresholds</w:t>
            </w:r>
          </w:p>
        </w:tc>
        <w:tc>
          <w:tcPr>
            <w:tcW w:w="1574" w:type="dxa"/>
            <w:tcBorders>
              <w:left w:val="nil"/>
              <w:right w:val="nil"/>
            </w:tcBorders>
            <w:vAlign w:val="center"/>
          </w:tcPr>
          <w:p w14:paraId="143FAE75" w14:textId="77777777" w:rsidR="009829A9" w:rsidRPr="00AC5BEF" w:rsidRDefault="009829A9" w:rsidP="000E76A5">
            <w:pPr>
              <w:pStyle w:val="TableText"/>
            </w:pPr>
          </w:p>
        </w:tc>
        <w:tc>
          <w:tcPr>
            <w:tcW w:w="1574" w:type="dxa"/>
            <w:tcBorders>
              <w:left w:val="nil"/>
              <w:right w:val="nil"/>
            </w:tcBorders>
            <w:vAlign w:val="center"/>
          </w:tcPr>
          <w:p w14:paraId="6A1478F2" w14:textId="77777777" w:rsidR="009829A9" w:rsidRPr="00AC5BEF" w:rsidRDefault="009829A9" w:rsidP="000E76A5">
            <w:pPr>
              <w:pStyle w:val="TableText"/>
            </w:pPr>
          </w:p>
        </w:tc>
        <w:tc>
          <w:tcPr>
            <w:tcW w:w="1574" w:type="dxa"/>
            <w:tcBorders>
              <w:left w:val="nil"/>
              <w:right w:val="nil"/>
            </w:tcBorders>
            <w:vAlign w:val="center"/>
          </w:tcPr>
          <w:p w14:paraId="2E70CFD4" w14:textId="77777777" w:rsidR="009829A9" w:rsidRPr="00AC5BEF" w:rsidRDefault="009829A9" w:rsidP="000E76A5">
            <w:pPr>
              <w:pStyle w:val="TableText"/>
            </w:pPr>
          </w:p>
        </w:tc>
        <w:tc>
          <w:tcPr>
            <w:tcW w:w="1574" w:type="dxa"/>
            <w:tcBorders>
              <w:left w:val="nil"/>
              <w:right w:val="nil"/>
            </w:tcBorders>
            <w:vAlign w:val="center"/>
          </w:tcPr>
          <w:p w14:paraId="38E1D1C8" w14:textId="77777777" w:rsidR="009829A9" w:rsidRPr="00AC5BEF" w:rsidRDefault="009829A9" w:rsidP="000E76A5">
            <w:pPr>
              <w:pStyle w:val="TableText"/>
            </w:pPr>
          </w:p>
        </w:tc>
        <w:tc>
          <w:tcPr>
            <w:tcW w:w="1574" w:type="dxa"/>
            <w:tcBorders>
              <w:left w:val="nil"/>
              <w:right w:val="nil"/>
            </w:tcBorders>
            <w:vAlign w:val="center"/>
          </w:tcPr>
          <w:p w14:paraId="4A39B05C" w14:textId="77777777" w:rsidR="009829A9" w:rsidRPr="00AC5BEF" w:rsidRDefault="009829A9" w:rsidP="000E76A5">
            <w:pPr>
              <w:pStyle w:val="TableText"/>
            </w:pPr>
          </w:p>
        </w:tc>
        <w:tc>
          <w:tcPr>
            <w:tcW w:w="1575" w:type="dxa"/>
            <w:tcBorders>
              <w:left w:val="nil"/>
              <w:right w:val="nil"/>
            </w:tcBorders>
            <w:vAlign w:val="center"/>
          </w:tcPr>
          <w:p w14:paraId="222F96EF" w14:textId="77777777" w:rsidR="009829A9" w:rsidRPr="00AC5BEF" w:rsidRDefault="009829A9" w:rsidP="000E76A5">
            <w:pPr>
              <w:pStyle w:val="TableText"/>
            </w:pPr>
          </w:p>
        </w:tc>
      </w:tr>
      <w:tr w:rsidR="00800DA6" w14:paraId="5F356B87" w14:textId="77777777" w:rsidTr="00800DA6">
        <w:trPr>
          <w:trHeight w:val="20"/>
          <w:jc w:val="center"/>
        </w:trPr>
        <w:tc>
          <w:tcPr>
            <w:tcW w:w="3430" w:type="dxa"/>
            <w:tcBorders>
              <w:left w:val="nil"/>
            </w:tcBorders>
            <w:vAlign w:val="center"/>
          </w:tcPr>
          <w:p w14:paraId="165EE820" w14:textId="77777777" w:rsidR="009829A9" w:rsidRPr="00AC5BEF" w:rsidRDefault="009829A9" w:rsidP="000E76A5">
            <w:pPr>
              <w:pStyle w:val="TableText"/>
            </w:pPr>
            <w:r w:rsidRPr="00AC5BEF">
              <w:t>Mariposa County APCD</w:t>
            </w:r>
          </w:p>
        </w:tc>
        <w:tc>
          <w:tcPr>
            <w:tcW w:w="1574" w:type="dxa"/>
            <w:vAlign w:val="center"/>
          </w:tcPr>
          <w:p w14:paraId="51FBCDD8" w14:textId="77777777" w:rsidR="009829A9" w:rsidRPr="00AC5BEF" w:rsidRDefault="009829A9" w:rsidP="000E76A5">
            <w:pPr>
              <w:pStyle w:val="TableText"/>
            </w:pPr>
            <w:r>
              <w:t xml:space="preserve">100 </w:t>
            </w:r>
            <w:proofErr w:type="spellStart"/>
            <w:r>
              <w:t>tpy</w:t>
            </w:r>
            <w:proofErr w:type="spellEnd"/>
          </w:p>
        </w:tc>
        <w:tc>
          <w:tcPr>
            <w:tcW w:w="1574" w:type="dxa"/>
            <w:vAlign w:val="center"/>
          </w:tcPr>
          <w:p w14:paraId="4414B67A" w14:textId="77777777" w:rsidR="009829A9" w:rsidRPr="00AC5BEF" w:rsidRDefault="009829A9" w:rsidP="000E76A5">
            <w:pPr>
              <w:pStyle w:val="TableText"/>
            </w:pPr>
            <w:r>
              <w:t xml:space="preserve">100 </w:t>
            </w:r>
            <w:proofErr w:type="spellStart"/>
            <w:r>
              <w:t>tpy</w:t>
            </w:r>
            <w:proofErr w:type="spellEnd"/>
          </w:p>
        </w:tc>
        <w:tc>
          <w:tcPr>
            <w:tcW w:w="1574" w:type="dxa"/>
            <w:vAlign w:val="center"/>
          </w:tcPr>
          <w:p w14:paraId="69A94C72" w14:textId="77777777" w:rsidR="009829A9" w:rsidRPr="00AC5BEF" w:rsidRDefault="009829A9" w:rsidP="000E76A5">
            <w:pPr>
              <w:pStyle w:val="TableText"/>
            </w:pPr>
            <w:r>
              <w:t xml:space="preserve">100 </w:t>
            </w:r>
            <w:proofErr w:type="spellStart"/>
            <w:r>
              <w:t>tpy</w:t>
            </w:r>
            <w:proofErr w:type="spellEnd"/>
          </w:p>
        </w:tc>
        <w:tc>
          <w:tcPr>
            <w:tcW w:w="1574" w:type="dxa"/>
            <w:vAlign w:val="center"/>
          </w:tcPr>
          <w:p w14:paraId="1EE6A15C" w14:textId="77777777" w:rsidR="009829A9" w:rsidRPr="00AC5BEF" w:rsidRDefault="009829A9" w:rsidP="000E76A5">
            <w:pPr>
              <w:pStyle w:val="TableText"/>
            </w:pPr>
            <w:r>
              <w:t xml:space="preserve">100 </w:t>
            </w:r>
            <w:proofErr w:type="spellStart"/>
            <w:r>
              <w:t>tpy</w:t>
            </w:r>
            <w:proofErr w:type="spellEnd"/>
          </w:p>
        </w:tc>
        <w:tc>
          <w:tcPr>
            <w:tcW w:w="1574" w:type="dxa"/>
            <w:tcBorders>
              <w:bottom w:val="single" w:sz="4" w:space="0" w:color="auto"/>
            </w:tcBorders>
            <w:vAlign w:val="center"/>
          </w:tcPr>
          <w:p w14:paraId="10C90823" w14:textId="77777777" w:rsidR="009829A9" w:rsidRPr="00AC5BEF" w:rsidRDefault="009829A9" w:rsidP="000E76A5">
            <w:pPr>
              <w:pStyle w:val="TableText"/>
            </w:pPr>
            <w:r>
              <w:t xml:space="preserve">100 </w:t>
            </w:r>
            <w:proofErr w:type="spellStart"/>
            <w:r>
              <w:t>tpy</w:t>
            </w:r>
            <w:proofErr w:type="spellEnd"/>
          </w:p>
        </w:tc>
        <w:tc>
          <w:tcPr>
            <w:tcW w:w="1575" w:type="dxa"/>
            <w:tcBorders>
              <w:bottom w:val="single" w:sz="4" w:space="0" w:color="auto"/>
            </w:tcBorders>
            <w:vAlign w:val="center"/>
          </w:tcPr>
          <w:p w14:paraId="0B49E5A8" w14:textId="77777777" w:rsidR="009829A9" w:rsidRPr="00AC5BEF" w:rsidRDefault="009829A9" w:rsidP="000E76A5">
            <w:pPr>
              <w:pStyle w:val="TableText"/>
            </w:pPr>
            <w:r>
              <w:t xml:space="preserve">100 </w:t>
            </w:r>
            <w:proofErr w:type="spellStart"/>
            <w:r>
              <w:t>tpy</w:t>
            </w:r>
            <w:proofErr w:type="spellEnd"/>
          </w:p>
        </w:tc>
        <w:tc>
          <w:tcPr>
            <w:tcW w:w="1574" w:type="dxa"/>
            <w:tcBorders>
              <w:bottom w:val="single" w:sz="4" w:space="0" w:color="auto"/>
            </w:tcBorders>
            <w:vAlign w:val="center"/>
          </w:tcPr>
          <w:p w14:paraId="2CFC27B0" w14:textId="77777777" w:rsidR="009829A9" w:rsidRPr="00AC5BEF" w:rsidRDefault="009829A9" w:rsidP="000E76A5">
            <w:pPr>
              <w:pStyle w:val="TableText"/>
            </w:pPr>
            <w:r>
              <w:t xml:space="preserve">100 </w:t>
            </w:r>
            <w:proofErr w:type="spellStart"/>
            <w:r>
              <w:t>tpy</w:t>
            </w:r>
            <w:proofErr w:type="spellEnd"/>
          </w:p>
        </w:tc>
        <w:tc>
          <w:tcPr>
            <w:tcW w:w="1574" w:type="dxa"/>
            <w:tcBorders>
              <w:bottom w:val="single" w:sz="4" w:space="0" w:color="auto"/>
            </w:tcBorders>
            <w:vAlign w:val="center"/>
          </w:tcPr>
          <w:p w14:paraId="608B539E" w14:textId="77777777" w:rsidR="009829A9" w:rsidRPr="00AC5BEF" w:rsidRDefault="009829A9" w:rsidP="000E76A5">
            <w:pPr>
              <w:pStyle w:val="TableText"/>
            </w:pPr>
            <w:r>
              <w:t xml:space="preserve">100 </w:t>
            </w:r>
            <w:proofErr w:type="spellStart"/>
            <w:r>
              <w:t>tpy</w:t>
            </w:r>
            <w:proofErr w:type="spellEnd"/>
          </w:p>
        </w:tc>
        <w:tc>
          <w:tcPr>
            <w:tcW w:w="1574" w:type="dxa"/>
            <w:tcBorders>
              <w:bottom w:val="single" w:sz="4" w:space="0" w:color="auto"/>
            </w:tcBorders>
            <w:vAlign w:val="center"/>
          </w:tcPr>
          <w:p w14:paraId="5C13B594" w14:textId="77777777" w:rsidR="009829A9" w:rsidRPr="00AC5BEF" w:rsidRDefault="009829A9" w:rsidP="000E76A5">
            <w:pPr>
              <w:pStyle w:val="TableText"/>
            </w:pPr>
            <w:r>
              <w:t xml:space="preserve">100 </w:t>
            </w:r>
            <w:proofErr w:type="spellStart"/>
            <w:r>
              <w:t>tpy</w:t>
            </w:r>
            <w:proofErr w:type="spellEnd"/>
          </w:p>
        </w:tc>
        <w:tc>
          <w:tcPr>
            <w:tcW w:w="1574" w:type="dxa"/>
            <w:tcBorders>
              <w:bottom w:val="single" w:sz="4" w:space="0" w:color="auto"/>
            </w:tcBorders>
            <w:vAlign w:val="center"/>
          </w:tcPr>
          <w:p w14:paraId="7B29DF28" w14:textId="77777777" w:rsidR="009829A9" w:rsidRPr="00AC5BEF" w:rsidRDefault="009829A9" w:rsidP="000E76A5">
            <w:pPr>
              <w:pStyle w:val="TableText"/>
            </w:pPr>
            <w:r>
              <w:t xml:space="preserve">100 </w:t>
            </w:r>
            <w:proofErr w:type="spellStart"/>
            <w:r>
              <w:t>tpy</w:t>
            </w:r>
            <w:proofErr w:type="spellEnd"/>
          </w:p>
        </w:tc>
        <w:tc>
          <w:tcPr>
            <w:tcW w:w="1574" w:type="dxa"/>
            <w:tcBorders>
              <w:bottom w:val="single" w:sz="4" w:space="0" w:color="auto"/>
              <w:right w:val="nil"/>
            </w:tcBorders>
            <w:vAlign w:val="center"/>
          </w:tcPr>
          <w:p w14:paraId="1062ED0E" w14:textId="77777777" w:rsidR="009829A9" w:rsidRPr="00AC5BEF" w:rsidRDefault="009829A9" w:rsidP="000E76A5">
            <w:pPr>
              <w:pStyle w:val="TableText"/>
            </w:pPr>
            <w:r>
              <w:t xml:space="preserve">100 </w:t>
            </w:r>
            <w:proofErr w:type="spellStart"/>
            <w:r>
              <w:t>tpy</w:t>
            </w:r>
            <w:proofErr w:type="spellEnd"/>
          </w:p>
        </w:tc>
        <w:tc>
          <w:tcPr>
            <w:tcW w:w="1575" w:type="dxa"/>
            <w:tcBorders>
              <w:bottom w:val="single" w:sz="4" w:space="0" w:color="auto"/>
              <w:right w:val="nil"/>
            </w:tcBorders>
            <w:vAlign w:val="center"/>
          </w:tcPr>
          <w:p w14:paraId="3E2CFEBD" w14:textId="77777777" w:rsidR="009829A9" w:rsidRPr="00AC5BEF" w:rsidRDefault="009829A9" w:rsidP="000E76A5">
            <w:pPr>
              <w:pStyle w:val="TableText"/>
            </w:pPr>
            <w:r>
              <w:t xml:space="preserve">100 </w:t>
            </w:r>
            <w:proofErr w:type="spellStart"/>
            <w:r>
              <w:t>tpy</w:t>
            </w:r>
            <w:proofErr w:type="spellEnd"/>
          </w:p>
        </w:tc>
      </w:tr>
      <w:tr w:rsidR="009829A9" w14:paraId="06920485" w14:textId="77777777" w:rsidTr="00800DA6">
        <w:trPr>
          <w:trHeight w:val="20"/>
          <w:jc w:val="center"/>
        </w:trPr>
        <w:tc>
          <w:tcPr>
            <w:tcW w:w="3430" w:type="dxa"/>
            <w:tcBorders>
              <w:left w:val="nil"/>
            </w:tcBorders>
            <w:vAlign w:val="center"/>
          </w:tcPr>
          <w:p w14:paraId="1F6B1634" w14:textId="77777777" w:rsidR="009829A9" w:rsidRPr="00AC5BEF" w:rsidRDefault="009829A9" w:rsidP="000E76A5">
            <w:pPr>
              <w:pStyle w:val="TableText"/>
            </w:pPr>
            <w:r w:rsidRPr="00AC5BEF">
              <w:t>Mendocino County AQMD</w:t>
            </w:r>
            <w:r>
              <w:rPr>
                <w:vertAlign w:val="superscript"/>
              </w:rPr>
              <w:t>1</w:t>
            </w:r>
          </w:p>
        </w:tc>
        <w:tc>
          <w:tcPr>
            <w:tcW w:w="1574" w:type="dxa"/>
            <w:vAlign w:val="center"/>
          </w:tcPr>
          <w:p w14:paraId="6A3F7B8A" w14:textId="77777777" w:rsidR="009829A9" w:rsidRPr="00AC5BEF" w:rsidRDefault="009829A9" w:rsidP="000E76A5">
            <w:pPr>
              <w:pStyle w:val="TableText"/>
            </w:pPr>
            <w:r>
              <w:t>No threshold</w:t>
            </w:r>
          </w:p>
        </w:tc>
        <w:tc>
          <w:tcPr>
            <w:tcW w:w="1574" w:type="dxa"/>
            <w:vAlign w:val="center"/>
          </w:tcPr>
          <w:p w14:paraId="2073553F" w14:textId="77777777" w:rsidR="009829A9" w:rsidRPr="00AC5BEF" w:rsidRDefault="009829A9" w:rsidP="000E76A5">
            <w:pPr>
              <w:pStyle w:val="TableText"/>
            </w:pPr>
            <w:r>
              <w:t xml:space="preserve">40 </w:t>
            </w:r>
            <w:proofErr w:type="spellStart"/>
            <w:r>
              <w:t>tpy</w:t>
            </w:r>
            <w:proofErr w:type="spellEnd"/>
            <w:r>
              <w:t xml:space="preserve"> (stationary)</w:t>
            </w:r>
          </w:p>
        </w:tc>
        <w:tc>
          <w:tcPr>
            <w:tcW w:w="1574" w:type="dxa"/>
            <w:vAlign w:val="center"/>
          </w:tcPr>
          <w:p w14:paraId="039A0BE3" w14:textId="77777777" w:rsidR="009829A9" w:rsidRPr="00AC5BEF" w:rsidRDefault="009829A9" w:rsidP="000E76A5">
            <w:pPr>
              <w:pStyle w:val="TableText"/>
            </w:pPr>
            <w:r>
              <w:t>No threshold</w:t>
            </w:r>
          </w:p>
        </w:tc>
        <w:tc>
          <w:tcPr>
            <w:tcW w:w="1574" w:type="dxa"/>
            <w:vAlign w:val="center"/>
          </w:tcPr>
          <w:p w14:paraId="47C6A735" w14:textId="77777777" w:rsidR="009829A9" w:rsidRPr="00AC5BEF" w:rsidRDefault="009829A9" w:rsidP="000E76A5">
            <w:pPr>
              <w:pStyle w:val="TableText"/>
            </w:pPr>
            <w:r>
              <w:t xml:space="preserve">40 </w:t>
            </w:r>
            <w:proofErr w:type="spellStart"/>
            <w:r>
              <w:t>tpy</w:t>
            </w:r>
            <w:proofErr w:type="spellEnd"/>
            <w:r>
              <w:t xml:space="preserve"> (stationary)</w:t>
            </w:r>
          </w:p>
        </w:tc>
        <w:tc>
          <w:tcPr>
            <w:tcW w:w="1574" w:type="dxa"/>
            <w:tcBorders>
              <w:right w:val="nil"/>
            </w:tcBorders>
            <w:vAlign w:val="center"/>
          </w:tcPr>
          <w:p w14:paraId="2B096862" w14:textId="77777777" w:rsidR="009829A9" w:rsidRPr="00AC5BEF" w:rsidRDefault="009829A9" w:rsidP="000E76A5">
            <w:pPr>
              <w:pStyle w:val="TableText"/>
            </w:pPr>
          </w:p>
        </w:tc>
        <w:tc>
          <w:tcPr>
            <w:tcW w:w="1575" w:type="dxa"/>
            <w:tcBorders>
              <w:left w:val="nil"/>
              <w:right w:val="nil"/>
            </w:tcBorders>
            <w:vAlign w:val="center"/>
          </w:tcPr>
          <w:p w14:paraId="22F6400F" w14:textId="77777777" w:rsidR="009829A9" w:rsidRPr="00AC5BEF" w:rsidRDefault="009829A9" w:rsidP="000E76A5">
            <w:pPr>
              <w:pStyle w:val="TableText"/>
            </w:pPr>
          </w:p>
        </w:tc>
        <w:tc>
          <w:tcPr>
            <w:tcW w:w="1574" w:type="dxa"/>
            <w:tcBorders>
              <w:left w:val="nil"/>
              <w:right w:val="nil"/>
            </w:tcBorders>
            <w:vAlign w:val="center"/>
          </w:tcPr>
          <w:p w14:paraId="5C044BBA" w14:textId="77777777" w:rsidR="009829A9" w:rsidRPr="00AC5BEF" w:rsidRDefault="009829A9" w:rsidP="000E76A5">
            <w:pPr>
              <w:pStyle w:val="TableText"/>
            </w:pPr>
          </w:p>
        </w:tc>
        <w:tc>
          <w:tcPr>
            <w:tcW w:w="1574" w:type="dxa"/>
            <w:tcBorders>
              <w:left w:val="nil"/>
              <w:right w:val="nil"/>
            </w:tcBorders>
            <w:vAlign w:val="center"/>
          </w:tcPr>
          <w:p w14:paraId="2BD9F4F7" w14:textId="77777777" w:rsidR="009829A9" w:rsidRPr="00AC5BEF" w:rsidRDefault="009829A9" w:rsidP="000E76A5">
            <w:pPr>
              <w:pStyle w:val="TableText"/>
            </w:pPr>
            <w:r>
              <w:t>No thresholds</w:t>
            </w:r>
          </w:p>
        </w:tc>
        <w:tc>
          <w:tcPr>
            <w:tcW w:w="1574" w:type="dxa"/>
            <w:tcBorders>
              <w:left w:val="nil"/>
              <w:right w:val="nil"/>
            </w:tcBorders>
            <w:vAlign w:val="center"/>
          </w:tcPr>
          <w:p w14:paraId="63976BC3" w14:textId="77777777" w:rsidR="009829A9" w:rsidRPr="00AC5BEF" w:rsidRDefault="009829A9" w:rsidP="000E76A5">
            <w:pPr>
              <w:pStyle w:val="TableText"/>
            </w:pPr>
          </w:p>
        </w:tc>
        <w:tc>
          <w:tcPr>
            <w:tcW w:w="1574" w:type="dxa"/>
            <w:tcBorders>
              <w:left w:val="nil"/>
              <w:right w:val="nil"/>
            </w:tcBorders>
            <w:vAlign w:val="center"/>
          </w:tcPr>
          <w:p w14:paraId="430E1558" w14:textId="77777777" w:rsidR="009829A9" w:rsidRPr="00AC5BEF" w:rsidRDefault="009829A9" w:rsidP="000E76A5">
            <w:pPr>
              <w:pStyle w:val="TableText"/>
            </w:pPr>
          </w:p>
        </w:tc>
        <w:tc>
          <w:tcPr>
            <w:tcW w:w="1574" w:type="dxa"/>
            <w:tcBorders>
              <w:left w:val="nil"/>
              <w:right w:val="nil"/>
            </w:tcBorders>
            <w:vAlign w:val="center"/>
          </w:tcPr>
          <w:p w14:paraId="0E55B454" w14:textId="77777777" w:rsidR="009829A9" w:rsidRPr="00AC5BEF" w:rsidRDefault="009829A9" w:rsidP="000E76A5">
            <w:pPr>
              <w:pStyle w:val="TableText"/>
            </w:pPr>
          </w:p>
        </w:tc>
        <w:tc>
          <w:tcPr>
            <w:tcW w:w="1575" w:type="dxa"/>
            <w:tcBorders>
              <w:left w:val="nil"/>
              <w:right w:val="nil"/>
            </w:tcBorders>
            <w:vAlign w:val="center"/>
          </w:tcPr>
          <w:p w14:paraId="08F3A873" w14:textId="77777777" w:rsidR="009829A9" w:rsidRPr="00AC5BEF" w:rsidRDefault="009829A9" w:rsidP="000E76A5">
            <w:pPr>
              <w:pStyle w:val="TableText"/>
            </w:pPr>
          </w:p>
        </w:tc>
      </w:tr>
      <w:tr w:rsidR="009829A9" w14:paraId="7224CE5C" w14:textId="77777777" w:rsidTr="00800DA6">
        <w:trPr>
          <w:trHeight w:val="20"/>
          <w:jc w:val="center"/>
        </w:trPr>
        <w:tc>
          <w:tcPr>
            <w:tcW w:w="3430" w:type="dxa"/>
            <w:tcBorders>
              <w:left w:val="nil"/>
            </w:tcBorders>
            <w:vAlign w:val="center"/>
          </w:tcPr>
          <w:p w14:paraId="2AC41365" w14:textId="77777777" w:rsidR="009829A9" w:rsidRPr="00AC5BEF" w:rsidRDefault="009829A9" w:rsidP="000E76A5">
            <w:pPr>
              <w:pStyle w:val="TableText"/>
            </w:pPr>
            <w:r w:rsidRPr="00AC5BEF">
              <w:t>Modoc County APCD</w:t>
            </w:r>
          </w:p>
        </w:tc>
        <w:tc>
          <w:tcPr>
            <w:tcW w:w="1574" w:type="dxa"/>
            <w:tcBorders>
              <w:right w:val="nil"/>
            </w:tcBorders>
            <w:vAlign w:val="center"/>
          </w:tcPr>
          <w:p w14:paraId="3F28E28F" w14:textId="77777777" w:rsidR="009829A9" w:rsidRPr="00AC5BEF" w:rsidRDefault="009829A9" w:rsidP="000E76A5">
            <w:pPr>
              <w:pStyle w:val="TableText"/>
            </w:pPr>
          </w:p>
        </w:tc>
        <w:tc>
          <w:tcPr>
            <w:tcW w:w="1574" w:type="dxa"/>
            <w:tcBorders>
              <w:left w:val="nil"/>
              <w:right w:val="nil"/>
            </w:tcBorders>
            <w:vAlign w:val="center"/>
          </w:tcPr>
          <w:p w14:paraId="1E884BC3" w14:textId="77777777" w:rsidR="009829A9" w:rsidRPr="00AC5BEF" w:rsidRDefault="009829A9" w:rsidP="000E76A5">
            <w:pPr>
              <w:pStyle w:val="TableText"/>
            </w:pPr>
          </w:p>
        </w:tc>
        <w:tc>
          <w:tcPr>
            <w:tcW w:w="1574" w:type="dxa"/>
            <w:tcBorders>
              <w:left w:val="nil"/>
              <w:right w:val="nil"/>
            </w:tcBorders>
            <w:vAlign w:val="center"/>
          </w:tcPr>
          <w:p w14:paraId="6DCF3A13" w14:textId="77777777" w:rsidR="009829A9" w:rsidRPr="00AC5BEF" w:rsidRDefault="009829A9" w:rsidP="000E76A5">
            <w:pPr>
              <w:pStyle w:val="TableText"/>
            </w:pPr>
          </w:p>
        </w:tc>
        <w:tc>
          <w:tcPr>
            <w:tcW w:w="1574" w:type="dxa"/>
            <w:tcBorders>
              <w:left w:val="nil"/>
              <w:right w:val="nil"/>
            </w:tcBorders>
            <w:vAlign w:val="center"/>
          </w:tcPr>
          <w:p w14:paraId="41F3DA9F" w14:textId="77777777" w:rsidR="009829A9" w:rsidRPr="00AC5BEF" w:rsidRDefault="009829A9" w:rsidP="000E76A5">
            <w:pPr>
              <w:pStyle w:val="TableText"/>
            </w:pPr>
          </w:p>
        </w:tc>
        <w:tc>
          <w:tcPr>
            <w:tcW w:w="1574" w:type="dxa"/>
            <w:tcBorders>
              <w:left w:val="nil"/>
              <w:right w:val="nil"/>
            </w:tcBorders>
            <w:vAlign w:val="center"/>
          </w:tcPr>
          <w:p w14:paraId="4316D902" w14:textId="77777777" w:rsidR="009829A9" w:rsidRPr="00AC5BEF" w:rsidRDefault="009829A9" w:rsidP="000E76A5">
            <w:pPr>
              <w:pStyle w:val="TableText"/>
            </w:pPr>
          </w:p>
        </w:tc>
        <w:tc>
          <w:tcPr>
            <w:tcW w:w="1575" w:type="dxa"/>
            <w:tcBorders>
              <w:left w:val="nil"/>
              <w:right w:val="nil"/>
            </w:tcBorders>
            <w:vAlign w:val="center"/>
          </w:tcPr>
          <w:p w14:paraId="5E8FF3FF" w14:textId="77777777" w:rsidR="009829A9" w:rsidRPr="00AC5BEF" w:rsidRDefault="009829A9" w:rsidP="000E76A5">
            <w:pPr>
              <w:pStyle w:val="TableText"/>
            </w:pPr>
            <w:r>
              <w:t>No thresholds</w:t>
            </w:r>
          </w:p>
        </w:tc>
        <w:tc>
          <w:tcPr>
            <w:tcW w:w="1574" w:type="dxa"/>
            <w:tcBorders>
              <w:left w:val="nil"/>
              <w:right w:val="nil"/>
            </w:tcBorders>
            <w:vAlign w:val="center"/>
          </w:tcPr>
          <w:p w14:paraId="53906869" w14:textId="77777777" w:rsidR="009829A9" w:rsidRPr="00AC5BEF" w:rsidRDefault="009829A9" w:rsidP="000E76A5">
            <w:pPr>
              <w:pStyle w:val="TableText"/>
            </w:pPr>
          </w:p>
        </w:tc>
        <w:tc>
          <w:tcPr>
            <w:tcW w:w="1574" w:type="dxa"/>
            <w:tcBorders>
              <w:left w:val="nil"/>
              <w:right w:val="nil"/>
            </w:tcBorders>
            <w:vAlign w:val="center"/>
          </w:tcPr>
          <w:p w14:paraId="660257C3" w14:textId="77777777" w:rsidR="009829A9" w:rsidRPr="00AC5BEF" w:rsidRDefault="009829A9" w:rsidP="000E76A5">
            <w:pPr>
              <w:pStyle w:val="TableText"/>
            </w:pPr>
          </w:p>
        </w:tc>
        <w:tc>
          <w:tcPr>
            <w:tcW w:w="1574" w:type="dxa"/>
            <w:tcBorders>
              <w:left w:val="nil"/>
              <w:right w:val="nil"/>
            </w:tcBorders>
            <w:vAlign w:val="center"/>
          </w:tcPr>
          <w:p w14:paraId="02EDC8F5" w14:textId="77777777" w:rsidR="009829A9" w:rsidRPr="00AC5BEF" w:rsidRDefault="009829A9" w:rsidP="000E76A5">
            <w:pPr>
              <w:pStyle w:val="TableText"/>
            </w:pPr>
          </w:p>
        </w:tc>
        <w:tc>
          <w:tcPr>
            <w:tcW w:w="1574" w:type="dxa"/>
            <w:tcBorders>
              <w:left w:val="nil"/>
              <w:right w:val="nil"/>
            </w:tcBorders>
            <w:vAlign w:val="center"/>
          </w:tcPr>
          <w:p w14:paraId="77430ECE" w14:textId="77777777" w:rsidR="009829A9" w:rsidRPr="00AC5BEF" w:rsidRDefault="009829A9" w:rsidP="000E76A5">
            <w:pPr>
              <w:pStyle w:val="TableText"/>
            </w:pPr>
          </w:p>
        </w:tc>
        <w:tc>
          <w:tcPr>
            <w:tcW w:w="1574" w:type="dxa"/>
            <w:tcBorders>
              <w:left w:val="nil"/>
              <w:right w:val="nil"/>
            </w:tcBorders>
            <w:vAlign w:val="center"/>
          </w:tcPr>
          <w:p w14:paraId="629BF0B1" w14:textId="77777777" w:rsidR="009829A9" w:rsidRPr="00AC5BEF" w:rsidRDefault="009829A9" w:rsidP="000E76A5">
            <w:pPr>
              <w:pStyle w:val="TableText"/>
            </w:pPr>
          </w:p>
        </w:tc>
        <w:tc>
          <w:tcPr>
            <w:tcW w:w="1575" w:type="dxa"/>
            <w:tcBorders>
              <w:left w:val="nil"/>
              <w:right w:val="nil"/>
            </w:tcBorders>
            <w:vAlign w:val="center"/>
          </w:tcPr>
          <w:p w14:paraId="136DB0D0" w14:textId="77777777" w:rsidR="009829A9" w:rsidRPr="00AC5BEF" w:rsidRDefault="009829A9" w:rsidP="000E76A5">
            <w:pPr>
              <w:pStyle w:val="TableText"/>
            </w:pPr>
          </w:p>
        </w:tc>
      </w:tr>
      <w:tr w:rsidR="009829A9" w14:paraId="0F572634" w14:textId="77777777" w:rsidTr="00800DA6">
        <w:trPr>
          <w:trHeight w:val="20"/>
          <w:jc w:val="center"/>
        </w:trPr>
        <w:tc>
          <w:tcPr>
            <w:tcW w:w="3430" w:type="dxa"/>
            <w:tcBorders>
              <w:left w:val="nil"/>
            </w:tcBorders>
            <w:vAlign w:val="center"/>
          </w:tcPr>
          <w:p w14:paraId="090DA579" w14:textId="77777777" w:rsidR="009829A9" w:rsidRPr="00AC5BEF" w:rsidRDefault="009829A9" w:rsidP="000E76A5">
            <w:pPr>
              <w:pStyle w:val="TableText"/>
            </w:pPr>
            <w:r w:rsidRPr="00AC5BEF">
              <w:t>Mojave Desert AQMD</w:t>
            </w:r>
            <w:r>
              <w:t>* (North Eastern San Bernardino and Eastern Riverside County)</w:t>
            </w:r>
          </w:p>
        </w:tc>
        <w:tc>
          <w:tcPr>
            <w:tcW w:w="1574" w:type="dxa"/>
            <w:vAlign w:val="center"/>
          </w:tcPr>
          <w:p w14:paraId="6B91C4C8" w14:textId="734755CD" w:rsidR="009829A9" w:rsidRPr="00AC5BEF" w:rsidRDefault="009829A9" w:rsidP="000E76A5">
            <w:pPr>
              <w:pStyle w:val="TableText"/>
            </w:pPr>
            <w:r>
              <w:t xml:space="preserve">137 </w:t>
            </w:r>
            <w:proofErr w:type="spellStart"/>
            <w:r>
              <w:t>lb</w:t>
            </w:r>
            <w:proofErr w:type="spellEnd"/>
            <w:r>
              <w:t xml:space="preserve">/day or </w:t>
            </w:r>
            <w:r w:rsidR="00800DA6">
              <w:br/>
            </w:r>
            <w:r>
              <w:t xml:space="preserve">25 </w:t>
            </w:r>
            <w:proofErr w:type="spellStart"/>
            <w:r>
              <w:t>tpy</w:t>
            </w:r>
            <w:proofErr w:type="spellEnd"/>
          </w:p>
        </w:tc>
        <w:tc>
          <w:tcPr>
            <w:tcW w:w="1574" w:type="dxa"/>
            <w:vAlign w:val="center"/>
          </w:tcPr>
          <w:p w14:paraId="523724D7" w14:textId="12B394A8" w:rsidR="009829A9" w:rsidRPr="00AC5BEF" w:rsidRDefault="009829A9" w:rsidP="000E76A5">
            <w:pPr>
              <w:pStyle w:val="TableText"/>
            </w:pPr>
            <w:r>
              <w:t xml:space="preserve">137 </w:t>
            </w:r>
            <w:proofErr w:type="spellStart"/>
            <w:r>
              <w:t>lb</w:t>
            </w:r>
            <w:proofErr w:type="spellEnd"/>
            <w:r>
              <w:t xml:space="preserve">/day or </w:t>
            </w:r>
            <w:r w:rsidR="00800DA6">
              <w:br/>
            </w:r>
            <w:r>
              <w:t xml:space="preserve">25 </w:t>
            </w:r>
            <w:proofErr w:type="spellStart"/>
            <w:r>
              <w:t>tpy</w:t>
            </w:r>
            <w:proofErr w:type="spellEnd"/>
          </w:p>
        </w:tc>
        <w:tc>
          <w:tcPr>
            <w:tcW w:w="1574" w:type="dxa"/>
            <w:vAlign w:val="center"/>
          </w:tcPr>
          <w:p w14:paraId="288D336F" w14:textId="0E5ABC30" w:rsidR="009829A9" w:rsidRPr="00AC5BEF" w:rsidRDefault="009829A9" w:rsidP="000E76A5">
            <w:pPr>
              <w:pStyle w:val="TableText"/>
            </w:pPr>
            <w:r>
              <w:t xml:space="preserve">137 </w:t>
            </w:r>
            <w:proofErr w:type="spellStart"/>
            <w:r>
              <w:t>lb</w:t>
            </w:r>
            <w:proofErr w:type="spellEnd"/>
            <w:r>
              <w:t xml:space="preserve">/day or </w:t>
            </w:r>
            <w:r w:rsidR="00800DA6">
              <w:br/>
            </w:r>
            <w:r>
              <w:t xml:space="preserve">25 </w:t>
            </w:r>
            <w:proofErr w:type="spellStart"/>
            <w:r>
              <w:t>tpy</w:t>
            </w:r>
            <w:proofErr w:type="spellEnd"/>
          </w:p>
        </w:tc>
        <w:tc>
          <w:tcPr>
            <w:tcW w:w="1574" w:type="dxa"/>
            <w:vAlign w:val="center"/>
          </w:tcPr>
          <w:p w14:paraId="4BFAEF4F" w14:textId="49F23808" w:rsidR="009829A9" w:rsidRPr="00AC5BEF" w:rsidRDefault="009829A9" w:rsidP="000E76A5">
            <w:pPr>
              <w:pStyle w:val="TableText"/>
            </w:pPr>
            <w:r>
              <w:t xml:space="preserve">137 </w:t>
            </w:r>
            <w:proofErr w:type="spellStart"/>
            <w:r>
              <w:t>lb</w:t>
            </w:r>
            <w:proofErr w:type="spellEnd"/>
            <w:r>
              <w:t xml:space="preserve">/day or </w:t>
            </w:r>
            <w:r w:rsidR="00800DA6">
              <w:br/>
            </w:r>
            <w:r>
              <w:t xml:space="preserve">25 </w:t>
            </w:r>
            <w:proofErr w:type="spellStart"/>
            <w:r>
              <w:t>tpy</w:t>
            </w:r>
            <w:proofErr w:type="spellEnd"/>
          </w:p>
        </w:tc>
        <w:tc>
          <w:tcPr>
            <w:tcW w:w="1574" w:type="dxa"/>
            <w:vAlign w:val="center"/>
          </w:tcPr>
          <w:p w14:paraId="74BB7633" w14:textId="6C5C6664" w:rsidR="009829A9" w:rsidRPr="00AC5BEF" w:rsidRDefault="009829A9" w:rsidP="000E76A5">
            <w:pPr>
              <w:pStyle w:val="TableText"/>
            </w:pPr>
            <w:r>
              <w:t xml:space="preserve">82 </w:t>
            </w:r>
            <w:proofErr w:type="spellStart"/>
            <w:r>
              <w:t>lb</w:t>
            </w:r>
            <w:proofErr w:type="spellEnd"/>
            <w:r>
              <w:t xml:space="preserve">/day or </w:t>
            </w:r>
            <w:r w:rsidR="00800DA6">
              <w:br/>
            </w:r>
            <w:r>
              <w:t xml:space="preserve">15 </w:t>
            </w:r>
            <w:proofErr w:type="spellStart"/>
            <w:r>
              <w:t>tpy</w:t>
            </w:r>
            <w:proofErr w:type="spellEnd"/>
          </w:p>
        </w:tc>
        <w:tc>
          <w:tcPr>
            <w:tcW w:w="1575" w:type="dxa"/>
            <w:vAlign w:val="center"/>
          </w:tcPr>
          <w:p w14:paraId="56B26DD3" w14:textId="2FD10237" w:rsidR="009829A9" w:rsidRPr="00AC5BEF" w:rsidRDefault="009829A9" w:rsidP="000E76A5">
            <w:pPr>
              <w:pStyle w:val="TableText"/>
            </w:pPr>
            <w:r>
              <w:t xml:space="preserve">82 </w:t>
            </w:r>
            <w:proofErr w:type="spellStart"/>
            <w:r>
              <w:t>lb</w:t>
            </w:r>
            <w:proofErr w:type="spellEnd"/>
            <w:r>
              <w:t xml:space="preserve">/day or </w:t>
            </w:r>
            <w:r w:rsidR="00800DA6">
              <w:br/>
            </w:r>
            <w:r>
              <w:t xml:space="preserve">15 </w:t>
            </w:r>
            <w:proofErr w:type="spellStart"/>
            <w:r>
              <w:t>tpy</w:t>
            </w:r>
            <w:proofErr w:type="spellEnd"/>
          </w:p>
        </w:tc>
        <w:tc>
          <w:tcPr>
            <w:tcW w:w="1574" w:type="dxa"/>
            <w:tcBorders>
              <w:bottom w:val="single" w:sz="4" w:space="0" w:color="auto"/>
            </w:tcBorders>
            <w:vAlign w:val="center"/>
          </w:tcPr>
          <w:p w14:paraId="162C15B1" w14:textId="004EC370" w:rsidR="009829A9" w:rsidRPr="00AC5BEF" w:rsidRDefault="009829A9" w:rsidP="000E76A5">
            <w:pPr>
              <w:pStyle w:val="TableText"/>
            </w:pPr>
            <w:r>
              <w:t xml:space="preserve">65 </w:t>
            </w:r>
            <w:proofErr w:type="spellStart"/>
            <w:r>
              <w:t>lb</w:t>
            </w:r>
            <w:proofErr w:type="spellEnd"/>
            <w:r>
              <w:t xml:space="preserve">/day or </w:t>
            </w:r>
            <w:r w:rsidR="00800DA6">
              <w:br/>
            </w:r>
            <w:r>
              <w:t xml:space="preserve">12 </w:t>
            </w:r>
            <w:proofErr w:type="spellStart"/>
            <w:r>
              <w:t>tpy</w:t>
            </w:r>
            <w:proofErr w:type="spellEnd"/>
          </w:p>
        </w:tc>
        <w:tc>
          <w:tcPr>
            <w:tcW w:w="1574" w:type="dxa"/>
            <w:vAlign w:val="center"/>
          </w:tcPr>
          <w:p w14:paraId="3448D934" w14:textId="68AC4FCA" w:rsidR="009829A9" w:rsidRPr="00AC5BEF" w:rsidRDefault="009829A9" w:rsidP="000E76A5">
            <w:pPr>
              <w:pStyle w:val="TableText"/>
            </w:pPr>
            <w:r>
              <w:t xml:space="preserve">65 </w:t>
            </w:r>
            <w:proofErr w:type="spellStart"/>
            <w:r>
              <w:t>lb</w:t>
            </w:r>
            <w:proofErr w:type="spellEnd"/>
            <w:r>
              <w:t xml:space="preserve">/day or </w:t>
            </w:r>
            <w:r w:rsidR="00800DA6">
              <w:br/>
            </w:r>
            <w:r>
              <w:t xml:space="preserve">12 </w:t>
            </w:r>
            <w:proofErr w:type="spellStart"/>
            <w:r>
              <w:t>tpy</w:t>
            </w:r>
            <w:proofErr w:type="spellEnd"/>
          </w:p>
        </w:tc>
        <w:tc>
          <w:tcPr>
            <w:tcW w:w="1574" w:type="dxa"/>
            <w:vAlign w:val="center"/>
          </w:tcPr>
          <w:p w14:paraId="69C178AE" w14:textId="357DE9C0" w:rsidR="009829A9" w:rsidRPr="00AC5BEF" w:rsidRDefault="009829A9" w:rsidP="000E76A5">
            <w:pPr>
              <w:pStyle w:val="TableText"/>
            </w:pPr>
            <w:r>
              <w:t xml:space="preserve">137 </w:t>
            </w:r>
            <w:proofErr w:type="spellStart"/>
            <w:r>
              <w:t>lb</w:t>
            </w:r>
            <w:proofErr w:type="spellEnd"/>
            <w:r>
              <w:t xml:space="preserve">/day or </w:t>
            </w:r>
            <w:r w:rsidR="00800DA6">
              <w:br/>
            </w:r>
            <w:r>
              <w:t xml:space="preserve">25 </w:t>
            </w:r>
            <w:proofErr w:type="spellStart"/>
            <w:r>
              <w:t>tpy</w:t>
            </w:r>
            <w:proofErr w:type="spellEnd"/>
          </w:p>
        </w:tc>
        <w:tc>
          <w:tcPr>
            <w:tcW w:w="1574" w:type="dxa"/>
            <w:vAlign w:val="center"/>
          </w:tcPr>
          <w:p w14:paraId="3E3F8E6B" w14:textId="3A7D4C28" w:rsidR="009829A9" w:rsidRPr="00AC5BEF" w:rsidRDefault="009829A9" w:rsidP="000E76A5">
            <w:pPr>
              <w:pStyle w:val="TableText"/>
            </w:pPr>
            <w:r>
              <w:t xml:space="preserve">137 </w:t>
            </w:r>
            <w:proofErr w:type="spellStart"/>
            <w:r>
              <w:t>lb</w:t>
            </w:r>
            <w:proofErr w:type="spellEnd"/>
            <w:r>
              <w:t xml:space="preserve">/day or </w:t>
            </w:r>
            <w:r w:rsidR="00800DA6">
              <w:br/>
            </w:r>
            <w:r>
              <w:t xml:space="preserve">25 </w:t>
            </w:r>
            <w:proofErr w:type="spellStart"/>
            <w:r>
              <w:t>tpy</w:t>
            </w:r>
            <w:proofErr w:type="spellEnd"/>
          </w:p>
        </w:tc>
        <w:tc>
          <w:tcPr>
            <w:tcW w:w="1574" w:type="dxa"/>
            <w:tcBorders>
              <w:right w:val="nil"/>
            </w:tcBorders>
            <w:vAlign w:val="center"/>
          </w:tcPr>
          <w:p w14:paraId="2747653B" w14:textId="73DF7976" w:rsidR="009829A9" w:rsidRPr="00AC5BEF" w:rsidRDefault="009829A9" w:rsidP="000E76A5">
            <w:pPr>
              <w:pStyle w:val="TableText"/>
            </w:pPr>
            <w:r>
              <w:t xml:space="preserve">548 </w:t>
            </w:r>
            <w:proofErr w:type="spellStart"/>
            <w:r>
              <w:t>lb</w:t>
            </w:r>
            <w:proofErr w:type="spellEnd"/>
            <w:r>
              <w:t xml:space="preserve">/day or </w:t>
            </w:r>
            <w:r w:rsidR="00800DA6">
              <w:br/>
            </w:r>
            <w:r>
              <w:t xml:space="preserve">100 </w:t>
            </w:r>
            <w:proofErr w:type="spellStart"/>
            <w:r>
              <w:t>tpy</w:t>
            </w:r>
            <w:proofErr w:type="spellEnd"/>
          </w:p>
        </w:tc>
        <w:tc>
          <w:tcPr>
            <w:tcW w:w="1575" w:type="dxa"/>
            <w:tcBorders>
              <w:right w:val="nil"/>
            </w:tcBorders>
            <w:vAlign w:val="center"/>
          </w:tcPr>
          <w:p w14:paraId="79035169" w14:textId="5F43A963" w:rsidR="009829A9" w:rsidRPr="00AC5BEF" w:rsidRDefault="009829A9" w:rsidP="000E76A5">
            <w:pPr>
              <w:pStyle w:val="TableText"/>
            </w:pPr>
            <w:r>
              <w:t xml:space="preserve">548 </w:t>
            </w:r>
            <w:proofErr w:type="spellStart"/>
            <w:r>
              <w:t>lb</w:t>
            </w:r>
            <w:proofErr w:type="spellEnd"/>
            <w:r>
              <w:t xml:space="preserve">/day or </w:t>
            </w:r>
            <w:r w:rsidR="00800DA6">
              <w:br/>
            </w:r>
            <w:r>
              <w:t xml:space="preserve">100 </w:t>
            </w:r>
            <w:proofErr w:type="spellStart"/>
            <w:r>
              <w:t>tpy</w:t>
            </w:r>
            <w:proofErr w:type="spellEnd"/>
          </w:p>
        </w:tc>
      </w:tr>
      <w:tr w:rsidR="009829A9" w14:paraId="1669DD0C" w14:textId="77777777" w:rsidTr="00800DA6">
        <w:trPr>
          <w:trHeight w:val="20"/>
          <w:jc w:val="center"/>
        </w:trPr>
        <w:tc>
          <w:tcPr>
            <w:tcW w:w="3430" w:type="dxa"/>
            <w:tcBorders>
              <w:left w:val="nil"/>
            </w:tcBorders>
            <w:vAlign w:val="center"/>
          </w:tcPr>
          <w:p w14:paraId="1D615283" w14:textId="77777777" w:rsidR="009829A9" w:rsidRPr="00AC5BEF" w:rsidRDefault="009829A9" w:rsidP="000E76A5">
            <w:pPr>
              <w:pStyle w:val="TableText"/>
            </w:pPr>
            <w:r w:rsidRPr="00AC5BEF">
              <w:t xml:space="preserve">Monterey Bay </w:t>
            </w:r>
            <w:r>
              <w:t>Unified APCD (Santa Cruz, Monterey, and San Benito County)</w:t>
            </w:r>
          </w:p>
        </w:tc>
        <w:tc>
          <w:tcPr>
            <w:tcW w:w="1574" w:type="dxa"/>
            <w:vAlign w:val="center"/>
          </w:tcPr>
          <w:p w14:paraId="39A73937" w14:textId="77777777" w:rsidR="009829A9" w:rsidRPr="00AC5BEF" w:rsidRDefault="009829A9" w:rsidP="000E76A5">
            <w:pPr>
              <w:pStyle w:val="TableText"/>
            </w:pPr>
            <w:r>
              <w:t>No threshold</w:t>
            </w:r>
          </w:p>
        </w:tc>
        <w:tc>
          <w:tcPr>
            <w:tcW w:w="1574" w:type="dxa"/>
            <w:vAlign w:val="center"/>
          </w:tcPr>
          <w:p w14:paraId="5F4AD3B6" w14:textId="77777777" w:rsidR="009829A9" w:rsidRPr="00AC5BEF" w:rsidRDefault="009829A9" w:rsidP="000E76A5">
            <w:pPr>
              <w:pStyle w:val="TableText"/>
            </w:pPr>
            <w:r>
              <w:t xml:space="preserve">137 </w:t>
            </w:r>
            <w:proofErr w:type="spellStart"/>
            <w:r>
              <w:t>lb</w:t>
            </w:r>
            <w:proofErr w:type="spellEnd"/>
            <w:r>
              <w:t>/day</w:t>
            </w:r>
          </w:p>
        </w:tc>
        <w:tc>
          <w:tcPr>
            <w:tcW w:w="1574" w:type="dxa"/>
            <w:vAlign w:val="center"/>
          </w:tcPr>
          <w:p w14:paraId="54A8DA10" w14:textId="77777777" w:rsidR="009829A9" w:rsidRPr="00AC5BEF" w:rsidRDefault="009829A9" w:rsidP="000E76A5">
            <w:pPr>
              <w:pStyle w:val="TableText"/>
            </w:pPr>
            <w:r>
              <w:t>No threshold</w:t>
            </w:r>
          </w:p>
        </w:tc>
        <w:tc>
          <w:tcPr>
            <w:tcW w:w="1574" w:type="dxa"/>
            <w:vAlign w:val="center"/>
          </w:tcPr>
          <w:p w14:paraId="6CC275B2" w14:textId="77777777" w:rsidR="009829A9" w:rsidRPr="00AC5BEF" w:rsidRDefault="009829A9" w:rsidP="000E76A5">
            <w:pPr>
              <w:pStyle w:val="TableText"/>
            </w:pPr>
            <w:r>
              <w:t xml:space="preserve">137 </w:t>
            </w:r>
            <w:proofErr w:type="spellStart"/>
            <w:r>
              <w:t>lb</w:t>
            </w:r>
            <w:proofErr w:type="spellEnd"/>
            <w:r>
              <w:t>/day</w:t>
            </w:r>
          </w:p>
        </w:tc>
        <w:tc>
          <w:tcPr>
            <w:tcW w:w="1574" w:type="dxa"/>
            <w:vAlign w:val="center"/>
          </w:tcPr>
          <w:p w14:paraId="7B2A1E5A" w14:textId="77777777" w:rsidR="009829A9" w:rsidRPr="00AC5BEF" w:rsidRDefault="009829A9" w:rsidP="000E76A5">
            <w:pPr>
              <w:pStyle w:val="TableText"/>
            </w:pPr>
            <w:r>
              <w:t xml:space="preserve">82 </w:t>
            </w:r>
            <w:proofErr w:type="spellStart"/>
            <w:r>
              <w:t>lb</w:t>
            </w:r>
            <w:proofErr w:type="spellEnd"/>
            <w:r>
              <w:t>/day</w:t>
            </w:r>
          </w:p>
        </w:tc>
        <w:tc>
          <w:tcPr>
            <w:tcW w:w="1575" w:type="dxa"/>
            <w:vAlign w:val="center"/>
          </w:tcPr>
          <w:p w14:paraId="19DB6A18" w14:textId="77777777" w:rsidR="009829A9" w:rsidRPr="00AC5BEF" w:rsidRDefault="009829A9" w:rsidP="000E76A5">
            <w:pPr>
              <w:pStyle w:val="TableText"/>
            </w:pPr>
            <w:r>
              <w:t xml:space="preserve">82 </w:t>
            </w:r>
            <w:proofErr w:type="spellStart"/>
            <w:r>
              <w:t>lb</w:t>
            </w:r>
            <w:proofErr w:type="spellEnd"/>
            <w:r>
              <w:t>/day</w:t>
            </w:r>
          </w:p>
        </w:tc>
        <w:tc>
          <w:tcPr>
            <w:tcW w:w="1574" w:type="dxa"/>
            <w:tcBorders>
              <w:right w:val="nil"/>
            </w:tcBorders>
            <w:vAlign w:val="center"/>
          </w:tcPr>
          <w:p w14:paraId="1181D6E4" w14:textId="77777777" w:rsidR="009829A9" w:rsidRPr="00AC5BEF" w:rsidRDefault="009829A9" w:rsidP="000E76A5">
            <w:pPr>
              <w:pStyle w:val="TableText"/>
            </w:pPr>
            <w:r>
              <w:t>No thresholds</w:t>
            </w:r>
          </w:p>
        </w:tc>
        <w:tc>
          <w:tcPr>
            <w:tcW w:w="1574" w:type="dxa"/>
            <w:tcBorders>
              <w:left w:val="nil"/>
            </w:tcBorders>
            <w:vAlign w:val="center"/>
          </w:tcPr>
          <w:p w14:paraId="3D1D96D6" w14:textId="77777777" w:rsidR="009829A9" w:rsidRPr="00AC5BEF" w:rsidRDefault="009829A9" w:rsidP="000E76A5">
            <w:pPr>
              <w:pStyle w:val="TableText"/>
            </w:pPr>
          </w:p>
        </w:tc>
        <w:tc>
          <w:tcPr>
            <w:tcW w:w="1574" w:type="dxa"/>
            <w:vAlign w:val="center"/>
          </w:tcPr>
          <w:p w14:paraId="33305773" w14:textId="77777777" w:rsidR="009829A9" w:rsidRPr="00AC5BEF" w:rsidRDefault="009829A9" w:rsidP="000E76A5">
            <w:pPr>
              <w:pStyle w:val="TableText"/>
            </w:pPr>
            <w:r>
              <w:t>No threshold</w:t>
            </w:r>
          </w:p>
        </w:tc>
        <w:tc>
          <w:tcPr>
            <w:tcW w:w="1574" w:type="dxa"/>
            <w:vAlign w:val="center"/>
          </w:tcPr>
          <w:p w14:paraId="6097AA19" w14:textId="77777777" w:rsidR="009829A9" w:rsidRPr="00AC5BEF" w:rsidRDefault="009829A9" w:rsidP="000E76A5">
            <w:pPr>
              <w:pStyle w:val="TableText"/>
            </w:pPr>
            <w:r>
              <w:t xml:space="preserve">150 </w:t>
            </w:r>
            <w:proofErr w:type="spellStart"/>
            <w:r>
              <w:t>lb</w:t>
            </w:r>
            <w:proofErr w:type="spellEnd"/>
            <w:r>
              <w:t>/day</w:t>
            </w:r>
          </w:p>
        </w:tc>
        <w:tc>
          <w:tcPr>
            <w:tcW w:w="1574" w:type="dxa"/>
            <w:vAlign w:val="center"/>
          </w:tcPr>
          <w:p w14:paraId="35655A53" w14:textId="77777777" w:rsidR="009829A9" w:rsidRPr="00AC5BEF" w:rsidRDefault="009829A9" w:rsidP="000E76A5">
            <w:pPr>
              <w:pStyle w:val="TableText"/>
            </w:pPr>
            <w:r>
              <w:t>No threshold</w:t>
            </w:r>
          </w:p>
        </w:tc>
        <w:tc>
          <w:tcPr>
            <w:tcW w:w="1575" w:type="dxa"/>
            <w:tcBorders>
              <w:right w:val="nil"/>
            </w:tcBorders>
            <w:vAlign w:val="center"/>
          </w:tcPr>
          <w:p w14:paraId="0C46E272" w14:textId="77777777" w:rsidR="009829A9" w:rsidRPr="00AC5BEF" w:rsidRDefault="009829A9" w:rsidP="000E76A5">
            <w:pPr>
              <w:pStyle w:val="TableText"/>
            </w:pPr>
            <w:r>
              <w:t xml:space="preserve">550 </w:t>
            </w:r>
            <w:proofErr w:type="spellStart"/>
            <w:r>
              <w:t>lb</w:t>
            </w:r>
            <w:proofErr w:type="spellEnd"/>
            <w:r>
              <w:t>/day</w:t>
            </w:r>
          </w:p>
        </w:tc>
      </w:tr>
      <w:tr w:rsidR="00DC3126" w14:paraId="1D4F3491" w14:textId="77777777" w:rsidTr="00800DA6">
        <w:trPr>
          <w:trHeight w:val="20"/>
          <w:jc w:val="center"/>
        </w:trPr>
        <w:tc>
          <w:tcPr>
            <w:tcW w:w="3430" w:type="dxa"/>
            <w:tcBorders>
              <w:left w:val="nil"/>
            </w:tcBorders>
            <w:vAlign w:val="center"/>
          </w:tcPr>
          <w:p w14:paraId="7651E096" w14:textId="77777777" w:rsidR="009829A9" w:rsidRPr="00AC5BEF" w:rsidRDefault="009829A9" w:rsidP="000E76A5">
            <w:pPr>
              <w:pStyle w:val="TableText"/>
            </w:pPr>
            <w:r w:rsidRPr="00AC5BEF">
              <w:t>North Coast Unified AQMD</w:t>
            </w:r>
            <w:r>
              <w:t xml:space="preserve"> (Del Norte, Humboldt, and Trinity County)</w:t>
            </w:r>
          </w:p>
        </w:tc>
        <w:tc>
          <w:tcPr>
            <w:tcW w:w="1574" w:type="dxa"/>
            <w:tcBorders>
              <w:right w:val="nil"/>
            </w:tcBorders>
            <w:vAlign w:val="center"/>
          </w:tcPr>
          <w:p w14:paraId="3E21C26B" w14:textId="77777777" w:rsidR="009829A9" w:rsidRPr="00AC5BEF" w:rsidRDefault="009829A9" w:rsidP="000E76A5">
            <w:pPr>
              <w:pStyle w:val="TableText"/>
            </w:pPr>
          </w:p>
        </w:tc>
        <w:tc>
          <w:tcPr>
            <w:tcW w:w="1574" w:type="dxa"/>
            <w:tcBorders>
              <w:left w:val="nil"/>
              <w:right w:val="nil"/>
            </w:tcBorders>
            <w:vAlign w:val="center"/>
          </w:tcPr>
          <w:p w14:paraId="302C5A50" w14:textId="77777777" w:rsidR="009829A9" w:rsidRPr="00AC5BEF" w:rsidRDefault="009829A9" w:rsidP="000E76A5">
            <w:pPr>
              <w:pStyle w:val="TableText"/>
            </w:pPr>
          </w:p>
        </w:tc>
        <w:tc>
          <w:tcPr>
            <w:tcW w:w="1574" w:type="dxa"/>
            <w:tcBorders>
              <w:left w:val="nil"/>
              <w:right w:val="nil"/>
            </w:tcBorders>
            <w:vAlign w:val="center"/>
          </w:tcPr>
          <w:p w14:paraId="309187EE" w14:textId="77777777" w:rsidR="009829A9" w:rsidRPr="00AC5BEF" w:rsidRDefault="009829A9" w:rsidP="000E76A5">
            <w:pPr>
              <w:pStyle w:val="TableText"/>
            </w:pPr>
          </w:p>
        </w:tc>
        <w:tc>
          <w:tcPr>
            <w:tcW w:w="1574" w:type="dxa"/>
            <w:tcBorders>
              <w:left w:val="nil"/>
              <w:right w:val="nil"/>
            </w:tcBorders>
            <w:vAlign w:val="center"/>
          </w:tcPr>
          <w:p w14:paraId="5A187945" w14:textId="77777777" w:rsidR="009829A9" w:rsidRPr="00AC5BEF" w:rsidRDefault="009829A9" w:rsidP="000E76A5">
            <w:pPr>
              <w:pStyle w:val="TableText"/>
            </w:pPr>
          </w:p>
        </w:tc>
        <w:tc>
          <w:tcPr>
            <w:tcW w:w="1574" w:type="dxa"/>
            <w:tcBorders>
              <w:left w:val="nil"/>
              <w:right w:val="nil"/>
            </w:tcBorders>
            <w:vAlign w:val="center"/>
          </w:tcPr>
          <w:p w14:paraId="77F134AA" w14:textId="77777777" w:rsidR="009829A9" w:rsidRPr="00AC5BEF" w:rsidRDefault="009829A9" w:rsidP="000E76A5">
            <w:pPr>
              <w:pStyle w:val="TableText"/>
            </w:pPr>
          </w:p>
        </w:tc>
        <w:tc>
          <w:tcPr>
            <w:tcW w:w="1575" w:type="dxa"/>
            <w:tcBorders>
              <w:left w:val="nil"/>
              <w:right w:val="nil"/>
            </w:tcBorders>
            <w:vAlign w:val="center"/>
          </w:tcPr>
          <w:p w14:paraId="7B7E4D79" w14:textId="77777777" w:rsidR="009829A9" w:rsidRPr="00AC5BEF" w:rsidRDefault="009829A9" w:rsidP="000E76A5">
            <w:pPr>
              <w:pStyle w:val="TableText"/>
            </w:pPr>
            <w:r>
              <w:t>No thresholds</w:t>
            </w:r>
          </w:p>
        </w:tc>
        <w:tc>
          <w:tcPr>
            <w:tcW w:w="1574" w:type="dxa"/>
            <w:tcBorders>
              <w:left w:val="nil"/>
              <w:right w:val="nil"/>
            </w:tcBorders>
            <w:vAlign w:val="center"/>
          </w:tcPr>
          <w:p w14:paraId="376F1491" w14:textId="77777777" w:rsidR="009829A9" w:rsidRPr="00AC5BEF" w:rsidRDefault="009829A9" w:rsidP="000E76A5">
            <w:pPr>
              <w:pStyle w:val="TableText"/>
            </w:pPr>
          </w:p>
        </w:tc>
        <w:tc>
          <w:tcPr>
            <w:tcW w:w="1574" w:type="dxa"/>
            <w:tcBorders>
              <w:left w:val="nil"/>
              <w:right w:val="nil"/>
            </w:tcBorders>
            <w:vAlign w:val="center"/>
          </w:tcPr>
          <w:p w14:paraId="3B74D106" w14:textId="77777777" w:rsidR="009829A9" w:rsidRPr="00AC5BEF" w:rsidRDefault="009829A9" w:rsidP="000E76A5">
            <w:pPr>
              <w:pStyle w:val="TableText"/>
            </w:pPr>
          </w:p>
        </w:tc>
        <w:tc>
          <w:tcPr>
            <w:tcW w:w="1574" w:type="dxa"/>
            <w:tcBorders>
              <w:left w:val="nil"/>
              <w:right w:val="nil"/>
            </w:tcBorders>
            <w:vAlign w:val="center"/>
          </w:tcPr>
          <w:p w14:paraId="0B839E90" w14:textId="77777777" w:rsidR="009829A9" w:rsidRPr="00AC5BEF" w:rsidRDefault="009829A9" w:rsidP="000E76A5">
            <w:pPr>
              <w:pStyle w:val="TableText"/>
            </w:pPr>
          </w:p>
        </w:tc>
        <w:tc>
          <w:tcPr>
            <w:tcW w:w="1574" w:type="dxa"/>
            <w:tcBorders>
              <w:left w:val="nil"/>
              <w:right w:val="nil"/>
            </w:tcBorders>
            <w:vAlign w:val="center"/>
          </w:tcPr>
          <w:p w14:paraId="5366A373" w14:textId="77777777" w:rsidR="009829A9" w:rsidRPr="00AC5BEF" w:rsidRDefault="009829A9" w:rsidP="000E76A5">
            <w:pPr>
              <w:pStyle w:val="TableText"/>
            </w:pPr>
          </w:p>
        </w:tc>
        <w:tc>
          <w:tcPr>
            <w:tcW w:w="1574" w:type="dxa"/>
            <w:tcBorders>
              <w:left w:val="nil"/>
              <w:right w:val="nil"/>
            </w:tcBorders>
            <w:vAlign w:val="center"/>
          </w:tcPr>
          <w:p w14:paraId="239941E7" w14:textId="77777777" w:rsidR="009829A9" w:rsidRPr="00AC5BEF" w:rsidRDefault="009829A9" w:rsidP="000E76A5">
            <w:pPr>
              <w:pStyle w:val="TableText"/>
            </w:pPr>
          </w:p>
        </w:tc>
        <w:tc>
          <w:tcPr>
            <w:tcW w:w="1575" w:type="dxa"/>
            <w:tcBorders>
              <w:left w:val="nil"/>
              <w:right w:val="nil"/>
            </w:tcBorders>
            <w:vAlign w:val="center"/>
          </w:tcPr>
          <w:p w14:paraId="49820D90" w14:textId="77777777" w:rsidR="009829A9" w:rsidRPr="00AC5BEF" w:rsidRDefault="009829A9" w:rsidP="000E76A5">
            <w:pPr>
              <w:pStyle w:val="TableText"/>
            </w:pPr>
          </w:p>
        </w:tc>
      </w:tr>
      <w:tr w:rsidR="00800DA6" w14:paraId="239CEAAB" w14:textId="77777777" w:rsidTr="00800DA6">
        <w:trPr>
          <w:trHeight w:val="20"/>
          <w:jc w:val="center"/>
        </w:trPr>
        <w:tc>
          <w:tcPr>
            <w:tcW w:w="3430" w:type="dxa"/>
            <w:tcBorders>
              <w:left w:val="nil"/>
            </w:tcBorders>
            <w:vAlign w:val="center"/>
          </w:tcPr>
          <w:p w14:paraId="02A05DB2" w14:textId="77777777" w:rsidR="009829A9" w:rsidRPr="00AC5BEF" w:rsidRDefault="009829A9" w:rsidP="000E76A5">
            <w:pPr>
              <w:pStyle w:val="TableText"/>
            </w:pPr>
            <w:r w:rsidRPr="00AC5BEF">
              <w:t>Northern Sierra AQMD</w:t>
            </w:r>
            <w:r>
              <w:t>* (Nevada, Sierra, and Plumas County)</w:t>
            </w:r>
          </w:p>
        </w:tc>
        <w:tc>
          <w:tcPr>
            <w:tcW w:w="1574" w:type="dxa"/>
            <w:vAlign w:val="center"/>
          </w:tcPr>
          <w:p w14:paraId="5D371FEC" w14:textId="77777777" w:rsidR="009829A9" w:rsidRPr="00800DA6" w:rsidRDefault="009829A9" w:rsidP="000E76A5">
            <w:pPr>
              <w:pStyle w:val="TableText"/>
              <w:rPr>
                <w:spacing w:val="-4"/>
              </w:rPr>
            </w:pPr>
            <w:r w:rsidRPr="00800DA6">
              <w:rPr>
                <w:spacing w:val="-4"/>
              </w:rPr>
              <w:t xml:space="preserve">&lt;24 </w:t>
            </w:r>
            <w:proofErr w:type="spellStart"/>
            <w:r w:rsidRPr="00800DA6">
              <w:rPr>
                <w:spacing w:val="-4"/>
              </w:rPr>
              <w:t>lb</w:t>
            </w:r>
            <w:proofErr w:type="spellEnd"/>
            <w:r w:rsidRPr="00800DA6">
              <w:rPr>
                <w:spacing w:val="-4"/>
              </w:rPr>
              <w:t>/day (Level A)</w:t>
            </w:r>
          </w:p>
          <w:p w14:paraId="26D08BA9" w14:textId="77777777" w:rsidR="009829A9" w:rsidRDefault="009829A9" w:rsidP="000E76A5">
            <w:pPr>
              <w:pStyle w:val="TableText"/>
            </w:pPr>
            <w:r>
              <w:t xml:space="preserve">24-136 </w:t>
            </w:r>
            <w:proofErr w:type="spellStart"/>
            <w:r>
              <w:t>lb</w:t>
            </w:r>
            <w:proofErr w:type="spellEnd"/>
            <w:r>
              <w:t xml:space="preserve">/day (Level B) &gt;136 </w:t>
            </w:r>
            <w:proofErr w:type="spellStart"/>
            <w:r>
              <w:t>lb</w:t>
            </w:r>
            <w:proofErr w:type="spellEnd"/>
            <w:r>
              <w:t>/day (Level C)</w:t>
            </w:r>
          </w:p>
        </w:tc>
        <w:tc>
          <w:tcPr>
            <w:tcW w:w="1574" w:type="dxa"/>
            <w:vAlign w:val="center"/>
          </w:tcPr>
          <w:p w14:paraId="298AA498" w14:textId="77777777" w:rsidR="009829A9" w:rsidRPr="00800DA6" w:rsidRDefault="009829A9" w:rsidP="000E76A5">
            <w:pPr>
              <w:pStyle w:val="TableText"/>
              <w:rPr>
                <w:spacing w:val="-4"/>
              </w:rPr>
            </w:pPr>
            <w:r w:rsidRPr="00800DA6">
              <w:rPr>
                <w:spacing w:val="-4"/>
              </w:rPr>
              <w:t xml:space="preserve">&lt;24 </w:t>
            </w:r>
            <w:proofErr w:type="spellStart"/>
            <w:r w:rsidRPr="00800DA6">
              <w:rPr>
                <w:spacing w:val="-4"/>
              </w:rPr>
              <w:t>lb</w:t>
            </w:r>
            <w:proofErr w:type="spellEnd"/>
            <w:r w:rsidRPr="00800DA6">
              <w:rPr>
                <w:spacing w:val="-4"/>
              </w:rPr>
              <w:t>/day (Level A)</w:t>
            </w:r>
          </w:p>
          <w:p w14:paraId="46D918A9" w14:textId="77777777" w:rsidR="009829A9" w:rsidRPr="00AC5BEF" w:rsidRDefault="009829A9" w:rsidP="000E76A5">
            <w:pPr>
              <w:pStyle w:val="TableText"/>
            </w:pPr>
            <w:r>
              <w:t xml:space="preserve">24-136 </w:t>
            </w:r>
            <w:proofErr w:type="spellStart"/>
            <w:r>
              <w:t>lb</w:t>
            </w:r>
            <w:proofErr w:type="spellEnd"/>
            <w:r>
              <w:t xml:space="preserve">/day (Level B) &gt;136 </w:t>
            </w:r>
            <w:proofErr w:type="spellStart"/>
            <w:r>
              <w:t>lb</w:t>
            </w:r>
            <w:proofErr w:type="spellEnd"/>
            <w:r>
              <w:t>/day (Level C)</w:t>
            </w:r>
          </w:p>
        </w:tc>
        <w:tc>
          <w:tcPr>
            <w:tcW w:w="1574" w:type="dxa"/>
            <w:vAlign w:val="center"/>
          </w:tcPr>
          <w:p w14:paraId="1193E324" w14:textId="77777777" w:rsidR="009829A9" w:rsidRPr="00800DA6" w:rsidRDefault="009829A9" w:rsidP="000E76A5">
            <w:pPr>
              <w:pStyle w:val="TableText"/>
              <w:rPr>
                <w:spacing w:val="-4"/>
              </w:rPr>
            </w:pPr>
            <w:r w:rsidRPr="00800DA6">
              <w:rPr>
                <w:spacing w:val="-4"/>
              </w:rPr>
              <w:t xml:space="preserve">&lt;24 </w:t>
            </w:r>
            <w:proofErr w:type="spellStart"/>
            <w:r w:rsidRPr="00800DA6">
              <w:rPr>
                <w:spacing w:val="-4"/>
              </w:rPr>
              <w:t>lb</w:t>
            </w:r>
            <w:proofErr w:type="spellEnd"/>
            <w:r w:rsidRPr="00800DA6">
              <w:rPr>
                <w:spacing w:val="-4"/>
              </w:rPr>
              <w:t>/day (Level A)</w:t>
            </w:r>
          </w:p>
          <w:p w14:paraId="717D8416" w14:textId="77777777" w:rsidR="009829A9" w:rsidRPr="00CC5444" w:rsidRDefault="009829A9" w:rsidP="000E76A5">
            <w:pPr>
              <w:pStyle w:val="TableText"/>
            </w:pPr>
            <w:r w:rsidRPr="00CC5444">
              <w:t xml:space="preserve">24-136 </w:t>
            </w:r>
            <w:proofErr w:type="spellStart"/>
            <w:r w:rsidRPr="00CC5444">
              <w:t>lb</w:t>
            </w:r>
            <w:proofErr w:type="spellEnd"/>
            <w:r w:rsidRPr="00CC5444">
              <w:t xml:space="preserve">/day (Level B) &gt;136 </w:t>
            </w:r>
            <w:proofErr w:type="spellStart"/>
            <w:r w:rsidRPr="00CC5444">
              <w:t>lb</w:t>
            </w:r>
            <w:proofErr w:type="spellEnd"/>
            <w:r w:rsidRPr="00CC5444">
              <w:t>/day (Level C)</w:t>
            </w:r>
          </w:p>
        </w:tc>
        <w:tc>
          <w:tcPr>
            <w:tcW w:w="1574" w:type="dxa"/>
            <w:vAlign w:val="center"/>
          </w:tcPr>
          <w:p w14:paraId="7741400B" w14:textId="77777777" w:rsidR="009829A9" w:rsidRPr="00800DA6" w:rsidRDefault="009829A9" w:rsidP="000E76A5">
            <w:pPr>
              <w:pStyle w:val="TableText"/>
              <w:rPr>
                <w:spacing w:val="-4"/>
              </w:rPr>
            </w:pPr>
            <w:r w:rsidRPr="00800DA6">
              <w:rPr>
                <w:spacing w:val="-4"/>
              </w:rPr>
              <w:t xml:space="preserve">&lt;24 </w:t>
            </w:r>
            <w:proofErr w:type="spellStart"/>
            <w:r w:rsidRPr="00800DA6">
              <w:rPr>
                <w:spacing w:val="-4"/>
              </w:rPr>
              <w:t>lb</w:t>
            </w:r>
            <w:proofErr w:type="spellEnd"/>
            <w:r w:rsidRPr="00800DA6">
              <w:rPr>
                <w:spacing w:val="-4"/>
              </w:rPr>
              <w:t>/day (Level A)</w:t>
            </w:r>
          </w:p>
          <w:p w14:paraId="1D42D02C" w14:textId="77777777" w:rsidR="009829A9" w:rsidRPr="00AC5BEF" w:rsidRDefault="009829A9" w:rsidP="000E76A5">
            <w:pPr>
              <w:pStyle w:val="TableText"/>
            </w:pPr>
            <w:r w:rsidRPr="00CC5444">
              <w:t xml:space="preserve">24-136 </w:t>
            </w:r>
            <w:proofErr w:type="spellStart"/>
            <w:r w:rsidRPr="00CC5444">
              <w:t>lb</w:t>
            </w:r>
            <w:proofErr w:type="spellEnd"/>
            <w:r w:rsidRPr="00CC5444">
              <w:t xml:space="preserve">/day (Level B) &gt;136 </w:t>
            </w:r>
            <w:proofErr w:type="spellStart"/>
            <w:r w:rsidRPr="00CC5444">
              <w:t>lb</w:t>
            </w:r>
            <w:proofErr w:type="spellEnd"/>
            <w:r w:rsidRPr="00CC5444">
              <w:t>/day (Level C)</w:t>
            </w:r>
          </w:p>
        </w:tc>
        <w:tc>
          <w:tcPr>
            <w:tcW w:w="1574" w:type="dxa"/>
            <w:vAlign w:val="center"/>
          </w:tcPr>
          <w:p w14:paraId="2738EA4C" w14:textId="77777777" w:rsidR="009829A9" w:rsidRPr="00800DA6" w:rsidRDefault="009829A9" w:rsidP="000E76A5">
            <w:pPr>
              <w:pStyle w:val="TableText"/>
              <w:rPr>
                <w:spacing w:val="-4"/>
              </w:rPr>
            </w:pPr>
            <w:r w:rsidRPr="00800DA6">
              <w:rPr>
                <w:spacing w:val="-4"/>
              </w:rPr>
              <w:t xml:space="preserve">&lt;79 </w:t>
            </w:r>
            <w:proofErr w:type="spellStart"/>
            <w:r w:rsidRPr="00800DA6">
              <w:rPr>
                <w:spacing w:val="-4"/>
              </w:rPr>
              <w:t>lb</w:t>
            </w:r>
            <w:proofErr w:type="spellEnd"/>
            <w:r w:rsidRPr="00800DA6">
              <w:rPr>
                <w:spacing w:val="-4"/>
              </w:rPr>
              <w:t>/day (Level A)</w:t>
            </w:r>
          </w:p>
          <w:p w14:paraId="4D8135EF" w14:textId="77777777" w:rsidR="009829A9" w:rsidRDefault="009829A9" w:rsidP="000E76A5">
            <w:pPr>
              <w:pStyle w:val="TableText"/>
            </w:pPr>
            <w:r>
              <w:t xml:space="preserve">79-136 </w:t>
            </w:r>
            <w:proofErr w:type="spellStart"/>
            <w:r>
              <w:t>lb</w:t>
            </w:r>
            <w:proofErr w:type="spellEnd"/>
            <w:r>
              <w:t xml:space="preserve">/day (Level B) &gt;136 </w:t>
            </w:r>
            <w:proofErr w:type="spellStart"/>
            <w:r>
              <w:t>lb</w:t>
            </w:r>
            <w:proofErr w:type="spellEnd"/>
            <w:r>
              <w:t>/day (Level C)</w:t>
            </w:r>
          </w:p>
        </w:tc>
        <w:tc>
          <w:tcPr>
            <w:tcW w:w="1575" w:type="dxa"/>
            <w:vAlign w:val="center"/>
          </w:tcPr>
          <w:p w14:paraId="70FEE0DF" w14:textId="77777777" w:rsidR="009829A9" w:rsidRPr="00800DA6" w:rsidRDefault="009829A9" w:rsidP="000E76A5">
            <w:pPr>
              <w:pStyle w:val="TableText"/>
              <w:rPr>
                <w:spacing w:val="-4"/>
              </w:rPr>
            </w:pPr>
            <w:r w:rsidRPr="00800DA6">
              <w:rPr>
                <w:spacing w:val="-4"/>
              </w:rPr>
              <w:t xml:space="preserve">&lt;79 </w:t>
            </w:r>
            <w:proofErr w:type="spellStart"/>
            <w:r w:rsidRPr="00800DA6">
              <w:rPr>
                <w:spacing w:val="-4"/>
              </w:rPr>
              <w:t>lb</w:t>
            </w:r>
            <w:proofErr w:type="spellEnd"/>
            <w:r w:rsidRPr="00800DA6">
              <w:rPr>
                <w:spacing w:val="-4"/>
              </w:rPr>
              <w:t>/day (Level A)</w:t>
            </w:r>
          </w:p>
          <w:p w14:paraId="7D05BD0D" w14:textId="77777777" w:rsidR="009829A9" w:rsidRPr="00AC5BEF" w:rsidRDefault="009829A9" w:rsidP="000E76A5">
            <w:pPr>
              <w:pStyle w:val="TableText"/>
            </w:pPr>
            <w:r>
              <w:t xml:space="preserve">79-136 </w:t>
            </w:r>
            <w:proofErr w:type="spellStart"/>
            <w:r>
              <w:t>lb</w:t>
            </w:r>
            <w:proofErr w:type="spellEnd"/>
            <w:r>
              <w:t xml:space="preserve">/day (Level B) &gt;136 </w:t>
            </w:r>
            <w:proofErr w:type="spellStart"/>
            <w:r>
              <w:t>lb</w:t>
            </w:r>
            <w:proofErr w:type="spellEnd"/>
            <w:r>
              <w:t>/day (Level C)</w:t>
            </w:r>
          </w:p>
        </w:tc>
        <w:tc>
          <w:tcPr>
            <w:tcW w:w="1574" w:type="dxa"/>
            <w:tcBorders>
              <w:right w:val="nil"/>
            </w:tcBorders>
            <w:vAlign w:val="center"/>
          </w:tcPr>
          <w:p w14:paraId="6032873E" w14:textId="77777777" w:rsidR="009829A9" w:rsidRPr="00AC5BEF" w:rsidRDefault="009829A9" w:rsidP="000E76A5">
            <w:pPr>
              <w:pStyle w:val="TableText"/>
            </w:pPr>
          </w:p>
        </w:tc>
        <w:tc>
          <w:tcPr>
            <w:tcW w:w="1574" w:type="dxa"/>
            <w:tcBorders>
              <w:left w:val="nil"/>
              <w:right w:val="nil"/>
            </w:tcBorders>
            <w:vAlign w:val="center"/>
          </w:tcPr>
          <w:p w14:paraId="0D7B488B" w14:textId="77777777" w:rsidR="009829A9" w:rsidRPr="00AC5BEF" w:rsidRDefault="009829A9" w:rsidP="000E76A5">
            <w:pPr>
              <w:pStyle w:val="TableText"/>
            </w:pPr>
          </w:p>
        </w:tc>
        <w:tc>
          <w:tcPr>
            <w:tcW w:w="1574" w:type="dxa"/>
            <w:tcBorders>
              <w:left w:val="nil"/>
              <w:right w:val="nil"/>
            </w:tcBorders>
            <w:vAlign w:val="center"/>
          </w:tcPr>
          <w:p w14:paraId="4D9AA901" w14:textId="77777777" w:rsidR="009829A9" w:rsidRPr="00AC5BEF" w:rsidRDefault="009829A9" w:rsidP="000E76A5">
            <w:pPr>
              <w:pStyle w:val="TableText"/>
            </w:pPr>
            <w:r>
              <w:t>No thresholds</w:t>
            </w:r>
          </w:p>
        </w:tc>
        <w:tc>
          <w:tcPr>
            <w:tcW w:w="1574" w:type="dxa"/>
            <w:tcBorders>
              <w:left w:val="nil"/>
              <w:right w:val="nil"/>
            </w:tcBorders>
            <w:vAlign w:val="center"/>
          </w:tcPr>
          <w:p w14:paraId="41526128" w14:textId="77777777" w:rsidR="009829A9" w:rsidRPr="00AC5BEF" w:rsidRDefault="009829A9" w:rsidP="000E76A5">
            <w:pPr>
              <w:pStyle w:val="TableText"/>
            </w:pPr>
          </w:p>
        </w:tc>
        <w:tc>
          <w:tcPr>
            <w:tcW w:w="1574" w:type="dxa"/>
            <w:tcBorders>
              <w:left w:val="nil"/>
              <w:right w:val="nil"/>
            </w:tcBorders>
            <w:vAlign w:val="center"/>
          </w:tcPr>
          <w:p w14:paraId="1066148D" w14:textId="77777777" w:rsidR="009829A9" w:rsidRPr="00AC5BEF" w:rsidRDefault="009829A9" w:rsidP="000E76A5">
            <w:pPr>
              <w:pStyle w:val="TableText"/>
            </w:pPr>
          </w:p>
        </w:tc>
        <w:tc>
          <w:tcPr>
            <w:tcW w:w="1575" w:type="dxa"/>
            <w:tcBorders>
              <w:left w:val="nil"/>
              <w:right w:val="nil"/>
            </w:tcBorders>
            <w:vAlign w:val="center"/>
          </w:tcPr>
          <w:p w14:paraId="372F109B" w14:textId="77777777" w:rsidR="009829A9" w:rsidRPr="00AC5BEF" w:rsidRDefault="009829A9" w:rsidP="000E76A5">
            <w:pPr>
              <w:pStyle w:val="TableText"/>
            </w:pPr>
          </w:p>
        </w:tc>
      </w:tr>
      <w:tr w:rsidR="009829A9" w14:paraId="0F6B2855" w14:textId="77777777" w:rsidTr="00800DA6">
        <w:trPr>
          <w:trHeight w:val="20"/>
          <w:jc w:val="center"/>
        </w:trPr>
        <w:tc>
          <w:tcPr>
            <w:tcW w:w="3430" w:type="dxa"/>
            <w:tcBorders>
              <w:left w:val="nil"/>
            </w:tcBorders>
            <w:vAlign w:val="center"/>
          </w:tcPr>
          <w:p w14:paraId="55E36C39" w14:textId="77777777" w:rsidR="009829A9" w:rsidRPr="00AC5BEF" w:rsidRDefault="009829A9" w:rsidP="000E76A5">
            <w:pPr>
              <w:pStyle w:val="TableText"/>
            </w:pPr>
            <w:r w:rsidRPr="00AC5BEF">
              <w:t>Northern Sonoma County AQMD</w:t>
            </w:r>
          </w:p>
        </w:tc>
        <w:tc>
          <w:tcPr>
            <w:tcW w:w="1574" w:type="dxa"/>
            <w:tcBorders>
              <w:right w:val="nil"/>
            </w:tcBorders>
            <w:vAlign w:val="center"/>
          </w:tcPr>
          <w:p w14:paraId="10BBB933" w14:textId="77777777" w:rsidR="009829A9" w:rsidRPr="00AC5BEF" w:rsidRDefault="009829A9" w:rsidP="000E76A5">
            <w:pPr>
              <w:pStyle w:val="TableText"/>
            </w:pPr>
          </w:p>
        </w:tc>
        <w:tc>
          <w:tcPr>
            <w:tcW w:w="1574" w:type="dxa"/>
            <w:tcBorders>
              <w:left w:val="nil"/>
              <w:right w:val="nil"/>
            </w:tcBorders>
            <w:vAlign w:val="center"/>
          </w:tcPr>
          <w:p w14:paraId="0CBCA1FD" w14:textId="77777777" w:rsidR="009829A9" w:rsidRPr="00AC5BEF" w:rsidRDefault="009829A9" w:rsidP="000E76A5">
            <w:pPr>
              <w:pStyle w:val="TableText"/>
            </w:pPr>
          </w:p>
        </w:tc>
        <w:tc>
          <w:tcPr>
            <w:tcW w:w="1574" w:type="dxa"/>
            <w:tcBorders>
              <w:left w:val="nil"/>
              <w:right w:val="nil"/>
            </w:tcBorders>
            <w:vAlign w:val="center"/>
          </w:tcPr>
          <w:p w14:paraId="3B9F0CD3" w14:textId="77777777" w:rsidR="009829A9" w:rsidRPr="00AC5BEF" w:rsidRDefault="009829A9" w:rsidP="000E76A5">
            <w:pPr>
              <w:pStyle w:val="TableText"/>
            </w:pPr>
          </w:p>
        </w:tc>
        <w:tc>
          <w:tcPr>
            <w:tcW w:w="1574" w:type="dxa"/>
            <w:tcBorders>
              <w:left w:val="nil"/>
              <w:right w:val="nil"/>
            </w:tcBorders>
            <w:vAlign w:val="center"/>
          </w:tcPr>
          <w:p w14:paraId="5FBBD10B" w14:textId="77777777" w:rsidR="009829A9" w:rsidRPr="00AC5BEF" w:rsidRDefault="009829A9" w:rsidP="000E76A5">
            <w:pPr>
              <w:pStyle w:val="TableText"/>
            </w:pPr>
          </w:p>
        </w:tc>
        <w:tc>
          <w:tcPr>
            <w:tcW w:w="1574" w:type="dxa"/>
            <w:tcBorders>
              <w:left w:val="nil"/>
              <w:right w:val="nil"/>
            </w:tcBorders>
            <w:vAlign w:val="center"/>
          </w:tcPr>
          <w:p w14:paraId="434F7D65" w14:textId="77777777" w:rsidR="009829A9" w:rsidRPr="00AC5BEF" w:rsidRDefault="009829A9" w:rsidP="000E76A5">
            <w:pPr>
              <w:pStyle w:val="TableText"/>
            </w:pPr>
          </w:p>
        </w:tc>
        <w:tc>
          <w:tcPr>
            <w:tcW w:w="1575" w:type="dxa"/>
            <w:tcBorders>
              <w:left w:val="nil"/>
              <w:right w:val="nil"/>
            </w:tcBorders>
            <w:vAlign w:val="center"/>
          </w:tcPr>
          <w:p w14:paraId="5B8A62D5" w14:textId="77777777" w:rsidR="009829A9" w:rsidRPr="00AC5BEF" w:rsidRDefault="009829A9" w:rsidP="000E76A5">
            <w:pPr>
              <w:pStyle w:val="TableText"/>
            </w:pPr>
            <w:r>
              <w:t>No thresholds</w:t>
            </w:r>
          </w:p>
        </w:tc>
        <w:tc>
          <w:tcPr>
            <w:tcW w:w="1574" w:type="dxa"/>
            <w:tcBorders>
              <w:left w:val="nil"/>
              <w:right w:val="nil"/>
            </w:tcBorders>
            <w:vAlign w:val="center"/>
          </w:tcPr>
          <w:p w14:paraId="66FE68BB" w14:textId="77777777" w:rsidR="009829A9" w:rsidRPr="00AC5BEF" w:rsidRDefault="009829A9" w:rsidP="000E76A5">
            <w:pPr>
              <w:pStyle w:val="TableText"/>
            </w:pPr>
          </w:p>
        </w:tc>
        <w:tc>
          <w:tcPr>
            <w:tcW w:w="1574" w:type="dxa"/>
            <w:tcBorders>
              <w:left w:val="nil"/>
              <w:right w:val="nil"/>
            </w:tcBorders>
            <w:vAlign w:val="center"/>
          </w:tcPr>
          <w:p w14:paraId="4904C897" w14:textId="77777777" w:rsidR="009829A9" w:rsidRPr="00AC5BEF" w:rsidRDefault="009829A9" w:rsidP="000E76A5">
            <w:pPr>
              <w:pStyle w:val="TableText"/>
            </w:pPr>
          </w:p>
        </w:tc>
        <w:tc>
          <w:tcPr>
            <w:tcW w:w="1574" w:type="dxa"/>
            <w:tcBorders>
              <w:left w:val="nil"/>
              <w:right w:val="nil"/>
            </w:tcBorders>
            <w:vAlign w:val="center"/>
          </w:tcPr>
          <w:p w14:paraId="57902FF5" w14:textId="77777777" w:rsidR="009829A9" w:rsidRPr="00AC5BEF" w:rsidRDefault="009829A9" w:rsidP="000E76A5">
            <w:pPr>
              <w:pStyle w:val="TableText"/>
            </w:pPr>
          </w:p>
        </w:tc>
        <w:tc>
          <w:tcPr>
            <w:tcW w:w="1574" w:type="dxa"/>
            <w:tcBorders>
              <w:left w:val="nil"/>
              <w:right w:val="nil"/>
            </w:tcBorders>
            <w:vAlign w:val="center"/>
          </w:tcPr>
          <w:p w14:paraId="518CA172" w14:textId="77777777" w:rsidR="009829A9" w:rsidRPr="00AC5BEF" w:rsidRDefault="009829A9" w:rsidP="000E76A5">
            <w:pPr>
              <w:pStyle w:val="TableText"/>
            </w:pPr>
          </w:p>
        </w:tc>
        <w:tc>
          <w:tcPr>
            <w:tcW w:w="1574" w:type="dxa"/>
            <w:tcBorders>
              <w:left w:val="nil"/>
              <w:right w:val="nil"/>
            </w:tcBorders>
            <w:vAlign w:val="center"/>
          </w:tcPr>
          <w:p w14:paraId="1B1A6B48" w14:textId="77777777" w:rsidR="009829A9" w:rsidRPr="00AC5BEF" w:rsidRDefault="009829A9" w:rsidP="000E76A5">
            <w:pPr>
              <w:pStyle w:val="TableText"/>
            </w:pPr>
          </w:p>
        </w:tc>
        <w:tc>
          <w:tcPr>
            <w:tcW w:w="1575" w:type="dxa"/>
            <w:tcBorders>
              <w:left w:val="nil"/>
              <w:right w:val="nil"/>
            </w:tcBorders>
            <w:vAlign w:val="center"/>
          </w:tcPr>
          <w:p w14:paraId="5F926CF7" w14:textId="77777777" w:rsidR="009829A9" w:rsidRPr="00AC5BEF" w:rsidRDefault="009829A9" w:rsidP="000E76A5">
            <w:pPr>
              <w:pStyle w:val="TableText"/>
            </w:pPr>
          </w:p>
        </w:tc>
      </w:tr>
      <w:tr w:rsidR="00DC3126" w14:paraId="32F6B1EF" w14:textId="77777777" w:rsidTr="00800DA6">
        <w:trPr>
          <w:trHeight w:val="20"/>
          <w:jc w:val="center"/>
        </w:trPr>
        <w:tc>
          <w:tcPr>
            <w:tcW w:w="3430" w:type="dxa"/>
            <w:tcBorders>
              <w:left w:val="nil"/>
            </w:tcBorders>
            <w:vAlign w:val="center"/>
          </w:tcPr>
          <w:p w14:paraId="1CF70E3C" w14:textId="77777777" w:rsidR="009829A9" w:rsidRPr="00AC5BEF" w:rsidRDefault="009829A9" w:rsidP="000E76A5">
            <w:pPr>
              <w:pStyle w:val="TableText"/>
            </w:pPr>
            <w:r w:rsidRPr="00AC5BEF">
              <w:t>Placer County APCD</w:t>
            </w:r>
          </w:p>
        </w:tc>
        <w:tc>
          <w:tcPr>
            <w:tcW w:w="1574" w:type="dxa"/>
            <w:vAlign w:val="center"/>
          </w:tcPr>
          <w:p w14:paraId="4CE9E6F8" w14:textId="77777777" w:rsidR="009829A9" w:rsidRPr="00AC5BEF" w:rsidRDefault="009829A9" w:rsidP="000E76A5">
            <w:pPr>
              <w:pStyle w:val="TableText"/>
            </w:pPr>
            <w:r>
              <w:t xml:space="preserve">82 </w:t>
            </w:r>
            <w:proofErr w:type="spellStart"/>
            <w:r>
              <w:t>lb</w:t>
            </w:r>
            <w:proofErr w:type="spellEnd"/>
            <w:r>
              <w:t>/day</w:t>
            </w:r>
          </w:p>
        </w:tc>
        <w:tc>
          <w:tcPr>
            <w:tcW w:w="1574" w:type="dxa"/>
            <w:vAlign w:val="center"/>
          </w:tcPr>
          <w:p w14:paraId="444E8366" w14:textId="77777777" w:rsidR="009829A9" w:rsidRPr="00AC5BEF" w:rsidRDefault="009829A9" w:rsidP="000E76A5">
            <w:pPr>
              <w:pStyle w:val="TableText"/>
            </w:pPr>
            <w:r>
              <w:t xml:space="preserve">55 </w:t>
            </w:r>
            <w:proofErr w:type="spellStart"/>
            <w:r>
              <w:t>lb</w:t>
            </w:r>
            <w:proofErr w:type="spellEnd"/>
            <w:r>
              <w:t>/day</w:t>
            </w:r>
          </w:p>
        </w:tc>
        <w:tc>
          <w:tcPr>
            <w:tcW w:w="1574" w:type="dxa"/>
            <w:vAlign w:val="center"/>
          </w:tcPr>
          <w:p w14:paraId="1313A897" w14:textId="77777777" w:rsidR="009829A9" w:rsidRPr="00AC5BEF" w:rsidRDefault="009829A9" w:rsidP="000E76A5">
            <w:pPr>
              <w:pStyle w:val="TableText"/>
            </w:pPr>
            <w:r>
              <w:t xml:space="preserve">82 </w:t>
            </w:r>
            <w:proofErr w:type="spellStart"/>
            <w:r>
              <w:t>lb</w:t>
            </w:r>
            <w:proofErr w:type="spellEnd"/>
            <w:r>
              <w:t>/day</w:t>
            </w:r>
          </w:p>
        </w:tc>
        <w:tc>
          <w:tcPr>
            <w:tcW w:w="1574" w:type="dxa"/>
            <w:vAlign w:val="center"/>
          </w:tcPr>
          <w:p w14:paraId="743755BC" w14:textId="77777777" w:rsidR="009829A9" w:rsidRPr="00AC5BEF" w:rsidRDefault="009829A9" w:rsidP="000E76A5">
            <w:pPr>
              <w:pStyle w:val="TableText"/>
            </w:pPr>
            <w:r>
              <w:t xml:space="preserve">55 </w:t>
            </w:r>
            <w:proofErr w:type="spellStart"/>
            <w:r>
              <w:t>lb</w:t>
            </w:r>
            <w:proofErr w:type="spellEnd"/>
            <w:r>
              <w:t>/day</w:t>
            </w:r>
          </w:p>
        </w:tc>
        <w:tc>
          <w:tcPr>
            <w:tcW w:w="1574" w:type="dxa"/>
            <w:vAlign w:val="center"/>
          </w:tcPr>
          <w:p w14:paraId="09E105EF" w14:textId="77777777" w:rsidR="009829A9" w:rsidRPr="00AC5BEF" w:rsidRDefault="009829A9" w:rsidP="000E76A5">
            <w:pPr>
              <w:pStyle w:val="TableText"/>
            </w:pPr>
            <w:r>
              <w:t xml:space="preserve">82 </w:t>
            </w:r>
            <w:proofErr w:type="spellStart"/>
            <w:r>
              <w:t>lb</w:t>
            </w:r>
            <w:proofErr w:type="spellEnd"/>
            <w:r>
              <w:t>/day</w:t>
            </w:r>
          </w:p>
        </w:tc>
        <w:tc>
          <w:tcPr>
            <w:tcW w:w="1575" w:type="dxa"/>
            <w:vAlign w:val="center"/>
          </w:tcPr>
          <w:p w14:paraId="18AD6663" w14:textId="77777777" w:rsidR="009829A9" w:rsidRPr="00AC5BEF" w:rsidRDefault="009829A9" w:rsidP="000E76A5">
            <w:pPr>
              <w:pStyle w:val="TableText"/>
            </w:pPr>
            <w:r>
              <w:t xml:space="preserve">55 </w:t>
            </w:r>
            <w:proofErr w:type="spellStart"/>
            <w:r>
              <w:t>lb</w:t>
            </w:r>
            <w:proofErr w:type="spellEnd"/>
            <w:r>
              <w:t>/day</w:t>
            </w:r>
          </w:p>
        </w:tc>
        <w:tc>
          <w:tcPr>
            <w:tcW w:w="1574" w:type="dxa"/>
            <w:tcBorders>
              <w:right w:val="nil"/>
            </w:tcBorders>
            <w:vAlign w:val="center"/>
          </w:tcPr>
          <w:p w14:paraId="4F3D9F28" w14:textId="77777777" w:rsidR="009829A9" w:rsidRPr="00AC5BEF" w:rsidRDefault="009829A9" w:rsidP="000E76A5">
            <w:pPr>
              <w:pStyle w:val="TableText"/>
            </w:pPr>
          </w:p>
        </w:tc>
        <w:tc>
          <w:tcPr>
            <w:tcW w:w="1574" w:type="dxa"/>
            <w:tcBorders>
              <w:left w:val="nil"/>
              <w:right w:val="nil"/>
            </w:tcBorders>
            <w:vAlign w:val="center"/>
          </w:tcPr>
          <w:p w14:paraId="0A0FAE68" w14:textId="77777777" w:rsidR="009829A9" w:rsidRPr="00AC5BEF" w:rsidRDefault="009829A9" w:rsidP="000E76A5">
            <w:pPr>
              <w:pStyle w:val="TableText"/>
            </w:pPr>
          </w:p>
        </w:tc>
        <w:tc>
          <w:tcPr>
            <w:tcW w:w="1574" w:type="dxa"/>
            <w:tcBorders>
              <w:left w:val="nil"/>
              <w:right w:val="nil"/>
            </w:tcBorders>
            <w:vAlign w:val="center"/>
          </w:tcPr>
          <w:p w14:paraId="16A27C56" w14:textId="77777777" w:rsidR="009829A9" w:rsidRPr="00AC5BEF" w:rsidRDefault="009829A9" w:rsidP="000E76A5">
            <w:pPr>
              <w:pStyle w:val="TableText"/>
            </w:pPr>
            <w:r>
              <w:t>No thresholds</w:t>
            </w:r>
          </w:p>
        </w:tc>
        <w:tc>
          <w:tcPr>
            <w:tcW w:w="1574" w:type="dxa"/>
            <w:tcBorders>
              <w:left w:val="nil"/>
              <w:right w:val="nil"/>
            </w:tcBorders>
            <w:vAlign w:val="center"/>
          </w:tcPr>
          <w:p w14:paraId="7288BDB0" w14:textId="77777777" w:rsidR="009829A9" w:rsidRPr="00AC5BEF" w:rsidRDefault="009829A9" w:rsidP="000E76A5">
            <w:pPr>
              <w:pStyle w:val="TableText"/>
            </w:pPr>
          </w:p>
        </w:tc>
        <w:tc>
          <w:tcPr>
            <w:tcW w:w="1574" w:type="dxa"/>
            <w:tcBorders>
              <w:left w:val="nil"/>
              <w:right w:val="nil"/>
            </w:tcBorders>
            <w:vAlign w:val="center"/>
          </w:tcPr>
          <w:p w14:paraId="02E20FF6" w14:textId="77777777" w:rsidR="009829A9" w:rsidRPr="00AC5BEF" w:rsidRDefault="009829A9" w:rsidP="000E76A5">
            <w:pPr>
              <w:pStyle w:val="TableText"/>
            </w:pPr>
          </w:p>
        </w:tc>
        <w:tc>
          <w:tcPr>
            <w:tcW w:w="1575" w:type="dxa"/>
            <w:tcBorders>
              <w:left w:val="nil"/>
              <w:right w:val="nil"/>
            </w:tcBorders>
            <w:vAlign w:val="center"/>
          </w:tcPr>
          <w:p w14:paraId="358B1022" w14:textId="77777777" w:rsidR="009829A9" w:rsidRPr="00AC5BEF" w:rsidRDefault="009829A9" w:rsidP="000E76A5">
            <w:pPr>
              <w:pStyle w:val="TableText"/>
            </w:pPr>
          </w:p>
        </w:tc>
      </w:tr>
      <w:tr w:rsidR="009829A9" w14:paraId="71272651" w14:textId="77777777" w:rsidTr="00800DA6">
        <w:trPr>
          <w:trHeight w:val="20"/>
          <w:jc w:val="center"/>
        </w:trPr>
        <w:tc>
          <w:tcPr>
            <w:tcW w:w="3430" w:type="dxa"/>
            <w:tcBorders>
              <w:left w:val="nil"/>
            </w:tcBorders>
            <w:vAlign w:val="center"/>
          </w:tcPr>
          <w:p w14:paraId="3D14F68A" w14:textId="77777777" w:rsidR="009829A9" w:rsidRPr="00AC5BEF" w:rsidRDefault="009829A9" w:rsidP="000E76A5">
            <w:pPr>
              <w:pStyle w:val="TableText"/>
            </w:pPr>
            <w:r w:rsidRPr="00AC5BEF">
              <w:t>Sacramento Metropolitan AQMD</w:t>
            </w:r>
          </w:p>
        </w:tc>
        <w:tc>
          <w:tcPr>
            <w:tcW w:w="1574" w:type="dxa"/>
            <w:vAlign w:val="center"/>
          </w:tcPr>
          <w:p w14:paraId="6842E85E" w14:textId="77777777" w:rsidR="009829A9" w:rsidRPr="00AC5BEF" w:rsidRDefault="009829A9" w:rsidP="000E76A5">
            <w:pPr>
              <w:pStyle w:val="TableText"/>
            </w:pPr>
            <w:r>
              <w:t>No threshold</w:t>
            </w:r>
          </w:p>
        </w:tc>
        <w:tc>
          <w:tcPr>
            <w:tcW w:w="1574" w:type="dxa"/>
            <w:vAlign w:val="center"/>
          </w:tcPr>
          <w:p w14:paraId="69D94EFD" w14:textId="77777777" w:rsidR="009829A9" w:rsidRPr="00AC5BEF" w:rsidRDefault="009829A9" w:rsidP="000E76A5">
            <w:pPr>
              <w:pStyle w:val="TableText"/>
            </w:pPr>
            <w:r>
              <w:t xml:space="preserve">65 </w:t>
            </w:r>
            <w:proofErr w:type="spellStart"/>
            <w:r>
              <w:t>lb</w:t>
            </w:r>
            <w:proofErr w:type="spellEnd"/>
            <w:r>
              <w:t>/day</w:t>
            </w:r>
          </w:p>
        </w:tc>
        <w:tc>
          <w:tcPr>
            <w:tcW w:w="1574" w:type="dxa"/>
            <w:vAlign w:val="center"/>
          </w:tcPr>
          <w:p w14:paraId="50B82EE1" w14:textId="77777777" w:rsidR="009829A9" w:rsidRPr="00AC5BEF" w:rsidRDefault="009829A9" w:rsidP="000E76A5">
            <w:pPr>
              <w:pStyle w:val="TableText"/>
            </w:pPr>
            <w:r>
              <w:t xml:space="preserve">85 </w:t>
            </w:r>
            <w:proofErr w:type="spellStart"/>
            <w:r>
              <w:t>lb</w:t>
            </w:r>
            <w:proofErr w:type="spellEnd"/>
            <w:r>
              <w:t>/day</w:t>
            </w:r>
          </w:p>
        </w:tc>
        <w:tc>
          <w:tcPr>
            <w:tcW w:w="1574" w:type="dxa"/>
            <w:vAlign w:val="center"/>
          </w:tcPr>
          <w:p w14:paraId="44EB47F4" w14:textId="77777777" w:rsidR="009829A9" w:rsidRPr="00AC5BEF" w:rsidRDefault="009829A9" w:rsidP="000E76A5">
            <w:pPr>
              <w:pStyle w:val="TableText"/>
            </w:pPr>
            <w:r>
              <w:t xml:space="preserve">65 </w:t>
            </w:r>
            <w:proofErr w:type="spellStart"/>
            <w:r>
              <w:t>lb</w:t>
            </w:r>
            <w:proofErr w:type="spellEnd"/>
            <w:r>
              <w:t>/day</w:t>
            </w:r>
          </w:p>
        </w:tc>
        <w:tc>
          <w:tcPr>
            <w:tcW w:w="1574" w:type="dxa"/>
            <w:vAlign w:val="center"/>
          </w:tcPr>
          <w:p w14:paraId="113429CB" w14:textId="41C62F2E" w:rsidR="009829A9" w:rsidRPr="00AC5BEF" w:rsidRDefault="009829A9" w:rsidP="000E76A5">
            <w:pPr>
              <w:pStyle w:val="TableText"/>
            </w:pPr>
            <w:r>
              <w:t xml:space="preserve">80 </w:t>
            </w:r>
            <w:proofErr w:type="spellStart"/>
            <w:r>
              <w:t>lb</w:t>
            </w:r>
            <w:proofErr w:type="spellEnd"/>
            <w:r>
              <w:t xml:space="preserve">/day or </w:t>
            </w:r>
            <w:r w:rsidR="00800DA6">
              <w:br/>
            </w:r>
            <w:r>
              <w:t xml:space="preserve">14.6 </w:t>
            </w:r>
            <w:proofErr w:type="spellStart"/>
            <w:r>
              <w:t>tpy</w:t>
            </w:r>
            <w:proofErr w:type="spellEnd"/>
            <w:r>
              <w:t xml:space="preserve"> (following application of all feasible BMPs)</w:t>
            </w:r>
          </w:p>
        </w:tc>
        <w:tc>
          <w:tcPr>
            <w:tcW w:w="1575" w:type="dxa"/>
            <w:vAlign w:val="center"/>
          </w:tcPr>
          <w:p w14:paraId="19341588" w14:textId="6B0CC6FC" w:rsidR="009829A9" w:rsidRPr="00AC5BEF" w:rsidRDefault="009829A9" w:rsidP="000E76A5">
            <w:pPr>
              <w:pStyle w:val="TableText"/>
            </w:pPr>
            <w:r w:rsidRPr="00126DC4">
              <w:t xml:space="preserve">80 </w:t>
            </w:r>
            <w:proofErr w:type="spellStart"/>
            <w:r w:rsidRPr="00126DC4">
              <w:t>lb</w:t>
            </w:r>
            <w:proofErr w:type="spellEnd"/>
            <w:r w:rsidRPr="00126DC4">
              <w:t xml:space="preserve">/day or </w:t>
            </w:r>
            <w:r w:rsidR="00800DA6">
              <w:br/>
            </w:r>
            <w:r w:rsidRPr="00126DC4">
              <w:t xml:space="preserve">14.6 </w:t>
            </w:r>
            <w:proofErr w:type="spellStart"/>
            <w:r w:rsidRPr="00126DC4">
              <w:t>tpy</w:t>
            </w:r>
            <w:proofErr w:type="spellEnd"/>
            <w:r w:rsidRPr="00126DC4">
              <w:t xml:space="preserve"> (following application of all feasible BMPs)</w:t>
            </w:r>
          </w:p>
        </w:tc>
        <w:tc>
          <w:tcPr>
            <w:tcW w:w="1574" w:type="dxa"/>
            <w:vAlign w:val="center"/>
          </w:tcPr>
          <w:p w14:paraId="7E2AD280" w14:textId="77777777" w:rsidR="009829A9" w:rsidRPr="00AC5BEF" w:rsidRDefault="009829A9" w:rsidP="000E76A5">
            <w:pPr>
              <w:pStyle w:val="TableText"/>
            </w:pPr>
            <w:r w:rsidRPr="00126DC4">
              <w:t>8</w:t>
            </w:r>
            <w:r>
              <w:t>2</w:t>
            </w:r>
            <w:r w:rsidRPr="00126DC4">
              <w:t xml:space="preserve"> </w:t>
            </w:r>
            <w:proofErr w:type="spellStart"/>
            <w:r w:rsidRPr="00126DC4">
              <w:t>lb</w:t>
            </w:r>
            <w:proofErr w:type="spellEnd"/>
            <w:r w:rsidRPr="00126DC4">
              <w:t>/day or 1</w:t>
            </w:r>
            <w:r>
              <w:t>5</w:t>
            </w:r>
            <w:r w:rsidRPr="00126DC4">
              <w:t xml:space="preserve"> </w:t>
            </w:r>
            <w:proofErr w:type="spellStart"/>
            <w:r w:rsidRPr="00126DC4">
              <w:t>tpy</w:t>
            </w:r>
            <w:proofErr w:type="spellEnd"/>
            <w:r w:rsidRPr="00126DC4">
              <w:t xml:space="preserve"> (following application of all feasible BMPs)</w:t>
            </w:r>
          </w:p>
        </w:tc>
        <w:tc>
          <w:tcPr>
            <w:tcW w:w="1574" w:type="dxa"/>
            <w:vAlign w:val="center"/>
          </w:tcPr>
          <w:p w14:paraId="4BDA7F5F" w14:textId="77777777" w:rsidR="009829A9" w:rsidRPr="00AC5BEF" w:rsidRDefault="009829A9" w:rsidP="000E76A5">
            <w:pPr>
              <w:pStyle w:val="TableText"/>
            </w:pPr>
            <w:r w:rsidRPr="00126DC4">
              <w:t>8</w:t>
            </w:r>
            <w:r>
              <w:t>2</w:t>
            </w:r>
            <w:r w:rsidRPr="00126DC4">
              <w:t xml:space="preserve"> </w:t>
            </w:r>
            <w:proofErr w:type="spellStart"/>
            <w:r w:rsidRPr="00126DC4">
              <w:t>lb</w:t>
            </w:r>
            <w:proofErr w:type="spellEnd"/>
            <w:r w:rsidRPr="00126DC4">
              <w:t xml:space="preserve">/day or </w:t>
            </w:r>
            <w:r>
              <w:t>15</w:t>
            </w:r>
            <w:r w:rsidRPr="00126DC4">
              <w:t xml:space="preserve"> </w:t>
            </w:r>
            <w:proofErr w:type="spellStart"/>
            <w:r w:rsidRPr="00126DC4">
              <w:t>tpy</w:t>
            </w:r>
            <w:proofErr w:type="spellEnd"/>
            <w:r w:rsidRPr="00126DC4">
              <w:t xml:space="preserve"> (following application of all feasible BMPs)</w:t>
            </w:r>
          </w:p>
        </w:tc>
        <w:tc>
          <w:tcPr>
            <w:tcW w:w="1574" w:type="dxa"/>
            <w:vAlign w:val="center"/>
          </w:tcPr>
          <w:p w14:paraId="1855378E" w14:textId="59816AD9" w:rsidR="009829A9" w:rsidRPr="00800DA6" w:rsidRDefault="009829A9" w:rsidP="00800DA6">
            <w:pPr>
              <w:pStyle w:val="TableText"/>
              <w:ind w:left="-30" w:right="-63"/>
              <w:rPr>
                <w:vertAlign w:val="subscript"/>
              </w:rPr>
            </w:pPr>
            <w:r w:rsidRPr="00800DA6">
              <w:t>Concentrations below CAAQS</w:t>
            </w:r>
            <w:r w:rsidR="00800DA6">
              <w:br/>
            </w:r>
            <w:r w:rsidRPr="00800DA6">
              <w:t>for SO</w:t>
            </w:r>
            <w:r w:rsidRPr="00800DA6">
              <w:rPr>
                <w:vertAlign w:val="subscript"/>
              </w:rPr>
              <w:t>X</w:t>
            </w:r>
          </w:p>
        </w:tc>
        <w:tc>
          <w:tcPr>
            <w:tcW w:w="1574" w:type="dxa"/>
            <w:vAlign w:val="center"/>
          </w:tcPr>
          <w:p w14:paraId="18410679" w14:textId="54ECFB32" w:rsidR="009829A9" w:rsidRPr="00800DA6" w:rsidRDefault="009829A9" w:rsidP="000E76A5">
            <w:pPr>
              <w:pStyle w:val="TableText"/>
              <w:rPr>
                <w:vertAlign w:val="subscript"/>
              </w:rPr>
            </w:pPr>
            <w:r w:rsidRPr="00800DA6">
              <w:t xml:space="preserve">Concentrations below CAAQS </w:t>
            </w:r>
            <w:r w:rsidR="00800DA6">
              <w:br/>
            </w:r>
            <w:r w:rsidRPr="00800DA6">
              <w:t>for SO</w:t>
            </w:r>
            <w:r w:rsidRPr="00800DA6">
              <w:rPr>
                <w:vertAlign w:val="subscript"/>
              </w:rPr>
              <w:t>X</w:t>
            </w:r>
          </w:p>
        </w:tc>
        <w:tc>
          <w:tcPr>
            <w:tcW w:w="1574" w:type="dxa"/>
            <w:tcBorders>
              <w:right w:val="nil"/>
            </w:tcBorders>
            <w:vAlign w:val="center"/>
          </w:tcPr>
          <w:p w14:paraId="11A2192A" w14:textId="698E6FB8" w:rsidR="009829A9" w:rsidRPr="00800DA6" w:rsidRDefault="009829A9" w:rsidP="000E76A5">
            <w:pPr>
              <w:pStyle w:val="TableText"/>
            </w:pPr>
            <w:r w:rsidRPr="00800DA6">
              <w:t xml:space="preserve">Concentrations below CAAQS </w:t>
            </w:r>
            <w:r w:rsidR="00800DA6">
              <w:br/>
            </w:r>
            <w:r w:rsidRPr="00800DA6">
              <w:t>for CO</w:t>
            </w:r>
          </w:p>
        </w:tc>
        <w:tc>
          <w:tcPr>
            <w:tcW w:w="1575" w:type="dxa"/>
            <w:tcBorders>
              <w:right w:val="nil"/>
            </w:tcBorders>
            <w:vAlign w:val="center"/>
          </w:tcPr>
          <w:p w14:paraId="12AC257F" w14:textId="1860CE5F" w:rsidR="009829A9" w:rsidRPr="00800DA6" w:rsidRDefault="009829A9" w:rsidP="000E76A5">
            <w:pPr>
              <w:pStyle w:val="TableText"/>
            </w:pPr>
            <w:r w:rsidRPr="00800DA6">
              <w:t xml:space="preserve">Concentrations below CAAQS </w:t>
            </w:r>
            <w:r w:rsidR="00800DA6">
              <w:br/>
            </w:r>
            <w:r w:rsidRPr="00800DA6">
              <w:t>for CO</w:t>
            </w:r>
          </w:p>
        </w:tc>
      </w:tr>
      <w:tr w:rsidR="009829A9" w14:paraId="7EFFACD6" w14:textId="77777777" w:rsidTr="00800DA6">
        <w:trPr>
          <w:trHeight w:val="20"/>
          <w:jc w:val="center"/>
        </w:trPr>
        <w:tc>
          <w:tcPr>
            <w:tcW w:w="3430" w:type="dxa"/>
            <w:tcBorders>
              <w:left w:val="nil"/>
            </w:tcBorders>
            <w:vAlign w:val="center"/>
          </w:tcPr>
          <w:p w14:paraId="05F5DF93" w14:textId="77777777" w:rsidR="009829A9" w:rsidRPr="00AC5BEF" w:rsidRDefault="009829A9" w:rsidP="000E76A5">
            <w:pPr>
              <w:pStyle w:val="TableText"/>
            </w:pPr>
            <w:r w:rsidRPr="00AC5BEF">
              <w:lastRenderedPageBreak/>
              <w:t>San Diego County APCD</w:t>
            </w:r>
            <w:r>
              <w:t>*</w:t>
            </w:r>
          </w:p>
        </w:tc>
        <w:tc>
          <w:tcPr>
            <w:tcW w:w="1574" w:type="dxa"/>
            <w:vAlign w:val="center"/>
          </w:tcPr>
          <w:p w14:paraId="448EBE7A" w14:textId="71721EFF" w:rsidR="009829A9" w:rsidRPr="00AC5BEF" w:rsidRDefault="009829A9" w:rsidP="000E76A5">
            <w:pPr>
              <w:pStyle w:val="TableText"/>
            </w:pPr>
            <w:r>
              <w:t xml:space="preserve">75 </w:t>
            </w:r>
            <w:proofErr w:type="spellStart"/>
            <w:r>
              <w:t>lb</w:t>
            </w:r>
            <w:proofErr w:type="spellEnd"/>
            <w:r>
              <w:t xml:space="preserve">/day or </w:t>
            </w:r>
            <w:r w:rsidR="00800DA6">
              <w:br/>
            </w:r>
            <w:r>
              <w:t xml:space="preserve">13.7 </w:t>
            </w:r>
            <w:proofErr w:type="spellStart"/>
            <w:r>
              <w:t>tpy</w:t>
            </w:r>
            <w:proofErr w:type="spellEnd"/>
          </w:p>
        </w:tc>
        <w:tc>
          <w:tcPr>
            <w:tcW w:w="1574" w:type="dxa"/>
            <w:vAlign w:val="center"/>
          </w:tcPr>
          <w:p w14:paraId="332E3160" w14:textId="421C12F3" w:rsidR="009829A9" w:rsidRPr="00AC5BEF" w:rsidRDefault="009829A9" w:rsidP="000E76A5">
            <w:pPr>
              <w:pStyle w:val="TableText"/>
            </w:pPr>
            <w:r>
              <w:t xml:space="preserve">75 </w:t>
            </w:r>
            <w:proofErr w:type="spellStart"/>
            <w:r>
              <w:t>lb</w:t>
            </w:r>
            <w:proofErr w:type="spellEnd"/>
            <w:r>
              <w:t xml:space="preserve">/day or </w:t>
            </w:r>
            <w:r w:rsidR="00800DA6">
              <w:br/>
            </w:r>
            <w:r>
              <w:t xml:space="preserve">13.7 </w:t>
            </w:r>
            <w:proofErr w:type="spellStart"/>
            <w:r>
              <w:t>tpy</w:t>
            </w:r>
            <w:proofErr w:type="spellEnd"/>
          </w:p>
        </w:tc>
        <w:tc>
          <w:tcPr>
            <w:tcW w:w="1574" w:type="dxa"/>
            <w:vAlign w:val="center"/>
          </w:tcPr>
          <w:p w14:paraId="0E290EAA" w14:textId="77777777" w:rsidR="009829A9" w:rsidRPr="00AC5BEF" w:rsidRDefault="009829A9" w:rsidP="000E76A5">
            <w:pPr>
              <w:pStyle w:val="TableText"/>
            </w:pPr>
            <w:r>
              <w:t xml:space="preserve">25 </w:t>
            </w:r>
            <w:proofErr w:type="spellStart"/>
            <w:r>
              <w:t>lb</w:t>
            </w:r>
            <w:proofErr w:type="spellEnd"/>
            <w:r>
              <w:t xml:space="preserve">/hour, 250 </w:t>
            </w:r>
            <w:proofErr w:type="spellStart"/>
            <w:r>
              <w:t>lb</w:t>
            </w:r>
            <w:proofErr w:type="spellEnd"/>
            <w:r>
              <w:t xml:space="preserve">/day, or 40 </w:t>
            </w:r>
            <w:proofErr w:type="spellStart"/>
            <w:r>
              <w:t>tpy</w:t>
            </w:r>
            <w:proofErr w:type="spellEnd"/>
          </w:p>
        </w:tc>
        <w:tc>
          <w:tcPr>
            <w:tcW w:w="1574" w:type="dxa"/>
            <w:vAlign w:val="center"/>
          </w:tcPr>
          <w:p w14:paraId="58243A9E" w14:textId="77777777" w:rsidR="009829A9" w:rsidRPr="00AC5BEF" w:rsidRDefault="009829A9" w:rsidP="000E76A5">
            <w:pPr>
              <w:pStyle w:val="TableText"/>
            </w:pPr>
            <w:r>
              <w:t xml:space="preserve">25 </w:t>
            </w:r>
            <w:proofErr w:type="spellStart"/>
            <w:r>
              <w:t>lb</w:t>
            </w:r>
            <w:proofErr w:type="spellEnd"/>
            <w:r>
              <w:t xml:space="preserve">/hour, 250 </w:t>
            </w:r>
            <w:proofErr w:type="spellStart"/>
            <w:r>
              <w:t>lb</w:t>
            </w:r>
            <w:proofErr w:type="spellEnd"/>
            <w:r>
              <w:t xml:space="preserve">/day, or 40 </w:t>
            </w:r>
            <w:proofErr w:type="spellStart"/>
            <w:r>
              <w:t>tpy</w:t>
            </w:r>
            <w:proofErr w:type="spellEnd"/>
          </w:p>
        </w:tc>
        <w:tc>
          <w:tcPr>
            <w:tcW w:w="1574" w:type="dxa"/>
            <w:vAlign w:val="center"/>
          </w:tcPr>
          <w:p w14:paraId="00E99558" w14:textId="4A0FC6EC" w:rsidR="009829A9" w:rsidRPr="00AC5BEF" w:rsidRDefault="009829A9" w:rsidP="000E76A5">
            <w:pPr>
              <w:pStyle w:val="TableText"/>
            </w:pPr>
            <w:r>
              <w:t xml:space="preserve">100 </w:t>
            </w:r>
            <w:proofErr w:type="spellStart"/>
            <w:r>
              <w:t>lb</w:t>
            </w:r>
            <w:proofErr w:type="spellEnd"/>
            <w:r>
              <w:t xml:space="preserve">/day or </w:t>
            </w:r>
            <w:r w:rsidR="00800DA6">
              <w:br/>
            </w:r>
            <w:r>
              <w:t xml:space="preserve">15 </w:t>
            </w:r>
            <w:proofErr w:type="spellStart"/>
            <w:r>
              <w:t>tpy</w:t>
            </w:r>
            <w:proofErr w:type="spellEnd"/>
          </w:p>
        </w:tc>
        <w:tc>
          <w:tcPr>
            <w:tcW w:w="1575" w:type="dxa"/>
            <w:vAlign w:val="center"/>
          </w:tcPr>
          <w:p w14:paraId="1C13118F" w14:textId="2B63D2ED" w:rsidR="009829A9" w:rsidRPr="00AC5BEF" w:rsidRDefault="009829A9" w:rsidP="000E76A5">
            <w:pPr>
              <w:pStyle w:val="TableText"/>
            </w:pPr>
            <w:r>
              <w:t xml:space="preserve">100 </w:t>
            </w:r>
            <w:proofErr w:type="spellStart"/>
            <w:r>
              <w:t>lb</w:t>
            </w:r>
            <w:proofErr w:type="spellEnd"/>
            <w:r>
              <w:t>/day or</w:t>
            </w:r>
            <w:r w:rsidR="00800DA6">
              <w:br/>
            </w:r>
            <w:r>
              <w:t xml:space="preserve">15 </w:t>
            </w:r>
            <w:proofErr w:type="spellStart"/>
            <w:r>
              <w:t>tpy</w:t>
            </w:r>
            <w:proofErr w:type="spellEnd"/>
          </w:p>
        </w:tc>
        <w:tc>
          <w:tcPr>
            <w:tcW w:w="1574" w:type="dxa"/>
            <w:vAlign w:val="center"/>
          </w:tcPr>
          <w:p w14:paraId="22956475" w14:textId="2F9F9EB9" w:rsidR="009829A9" w:rsidRPr="00AC5BEF" w:rsidRDefault="009829A9" w:rsidP="000E76A5">
            <w:pPr>
              <w:pStyle w:val="TableText"/>
            </w:pPr>
            <w:r>
              <w:t xml:space="preserve">55 </w:t>
            </w:r>
            <w:proofErr w:type="spellStart"/>
            <w:r>
              <w:t>lb</w:t>
            </w:r>
            <w:proofErr w:type="spellEnd"/>
            <w:r>
              <w:t xml:space="preserve">/day or </w:t>
            </w:r>
            <w:r w:rsidR="00800DA6">
              <w:br/>
            </w:r>
            <w:r>
              <w:t xml:space="preserve">10 </w:t>
            </w:r>
            <w:proofErr w:type="spellStart"/>
            <w:r>
              <w:t>tpy</w:t>
            </w:r>
            <w:proofErr w:type="spellEnd"/>
          </w:p>
        </w:tc>
        <w:tc>
          <w:tcPr>
            <w:tcW w:w="1574" w:type="dxa"/>
            <w:vAlign w:val="center"/>
          </w:tcPr>
          <w:p w14:paraId="583BA2BF" w14:textId="1998E3C5" w:rsidR="009829A9" w:rsidRPr="00AC5BEF" w:rsidRDefault="009829A9" w:rsidP="000E76A5">
            <w:pPr>
              <w:pStyle w:val="TableText"/>
            </w:pPr>
            <w:r>
              <w:t xml:space="preserve">55 </w:t>
            </w:r>
            <w:proofErr w:type="spellStart"/>
            <w:r>
              <w:t>lb</w:t>
            </w:r>
            <w:proofErr w:type="spellEnd"/>
            <w:r>
              <w:t xml:space="preserve">/day or </w:t>
            </w:r>
            <w:r w:rsidR="00800DA6">
              <w:br/>
            </w:r>
            <w:r>
              <w:t xml:space="preserve">10 </w:t>
            </w:r>
            <w:proofErr w:type="spellStart"/>
            <w:r>
              <w:t>tpy</w:t>
            </w:r>
            <w:proofErr w:type="spellEnd"/>
          </w:p>
        </w:tc>
        <w:tc>
          <w:tcPr>
            <w:tcW w:w="1574" w:type="dxa"/>
            <w:vAlign w:val="center"/>
          </w:tcPr>
          <w:p w14:paraId="02DF7177" w14:textId="77777777" w:rsidR="009829A9" w:rsidRPr="00AC5BEF" w:rsidRDefault="009829A9" w:rsidP="000E76A5">
            <w:pPr>
              <w:pStyle w:val="TableText"/>
            </w:pPr>
            <w:r>
              <w:t xml:space="preserve">25 </w:t>
            </w:r>
            <w:proofErr w:type="spellStart"/>
            <w:r>
              <w:t>lb</w:t>
            </w:r>
            <w:proofErr w:type="spellEnd"/>
            <w:r>
              <w:t xml:space="preserve">/hour, 250 </w:t>
            </w:r>
            <w:proofErr w:type="spellStart"/>
            <w:r>
              <w:t>lb</w:t>
            </w:r>
            <w:proofErr w:type="spellEnd"/>
            <w:r>
              <w:t xml:space="preserve">/day, or 40 </w:t>
            </w:r>
            <w:proofErr w:type="spellStart"/>
            <w:r>
              <w:t>tpy</w:t>
            </w:r>
            <w:proofErr w:type="spellEnd"/>
          </w:p>
        </w:tc>
        <w:tc>
          <w:tcPr>
            <w:tcW w:w="1574" w:type="dxa"/>
            <w:vAlign w:val="center"/>
          </w:tcPr>
          <w:p w14:paraId="51108599" w14:textId="77777777" w:rsidR="009829A9" w:rsidRPr="00AC5BEF" w:rsidRDefault="009829A9" w:rsidP="000E76A5">
            <w:pPr>
              <w:pStyle w:val="TableText"/>
            </w:pPr>
            <w:r>
              <w:t xml:space="preserve">25 </w:t>
            </w:r>
            <w:proofErr w:type="spellStart"/>
            <w:r>
              <w:t>lb</w:t>
            </w:r>
            <w:proofErr w:type="spellEnd"/>
            <w:r>
              <w:t xml:space="preserve">/hour, 250 </w:t>
            </w:r>
            <w:proofErr w:type="spellStart"/>
            <w:r>
              <w:t>lb</w:t>
            </w:r>
            <w:proofErr w:type="spellEnd"/>
            <w:r>
              <w:t xml:space="preserve">/day, or 40 </w:t>
            </w:r>
            <w:proofErr w:type="spellStart"/>
            <w:r>
              <w:t>tpy</w:t>
            </w:r>
            <w:proofErr w:type="spellEnd"/>
          </w:p>
        </w:tc>
        <w:tc>
          <w:tcPr>
            <w:tcW w:w="1574" w:type="dxa"/>
            <w:tcBorders>
              <w:right w:val="nil"/>
            </w:tcBorders>
            <w:vAlign w:val="center"/>
          </w:tcPr>
          <w:p w14:paraId="01E20E3D" w14:textId="77777777" w:rsidR="009829A9" w:rsidRPr="00AC5BEF" w:rsidRDefault="009829A9" w:rsidP="000E76A5">
            <w:pPr>
              <w:pStyle w:val="TableText"/>
            </w:pPr>
            <w:r>
              <w:t xml:space="preserve">100 </w:t>
            </w:r>
            <w:proofErr w:type="spellStart"/>
            <w:r>
              <w:t>lb</w:t>
            </w:r>
            <w:proofErr w:type="spellEnd"/>
            <w:r>
              <w:t xml:space="preserve">/hour, 550 </w:t>
            </w:r>
            <w:proofErr w:type="spellStart"/>
            <w:r>
              <w:t>lb</w:t>
            </w:r>
            <w:proofErr w:type="spellEnd"/>
            <w:r>
              <w:t xml:space="preserve">/day, or 100 </w:t>
            </w:r>
            <w:proofErr w:type="spellStart"/>
            <w:r>
              <w:t>tpy</w:t>
            </w:r>
            <w:proofErr w:type="spellEnd"/>
          </w:p>
        </w:tc>
        <w:tc>
          <w:tcPr>
            <w:tcW w:w="1575" w:type="dxa"/>
            <w:tcBorders>
              <w:right w:val="nil"/>
            </w:tcBorders>
            <w:vAlign w:val="center"/>
          </w:tcPr>
          <w:p w14:paraId="5848E17F" w14:textId="77777777" w:rsidR="009829A9" w:rsidRPr="00AC5BEF" w:rsidRDefault="009829A9" w:rsidP="000E76A5">
            <w:pPr>
              <w:pStyle w:val="TableText"/>
            </w:pPr>
            <w:r>
              <w:t xml:space="preserve">100 </w:t>
            </w:r>
            <w:proofErr w:type="spellStart"/>
            <w:r>
              <w:t>lb</w:t>
            </w:r>
            <w:proofErr w:type="spellEnd"/>
            <w:r>
              <w:t xml:space="preserve">/hour, 550 </w:t>
            </w:r>
            <w:proofErr w:type="spellStart"/>
            <w:r>
              <w:t>lb</w:t>
            </w:r>
            <w:proofErr w:type="spellEnd"/>
            <w:r>
              <w:t xml:space="preserve">/day, or 100 </w:t>
            </w:r>
            <w:proofErr w:type="spellStart"/>
            <w:r>
              <w:t>tpy</w:t>
            </w:r>
            <w:proofErr w:type="spellEnd"/>
          </w:p>
        </w:tc>
      </w:tr>
      <w:tr w:rsidR="00DC3126" w14:paraId="139D9D88" w14:textId="77777777" w:rsidTr="00800DA6">
        <w:trPr>
          <w:trHeight w:val="20"/>
          <w:jc w:val="center"/>
        </w:trPr>
        <w:tc>
          <w:tcPr>
            <w:tcW w:w="3430" w:type="dxa"/>
            <w:tcBorders>
              <w:left w:val="nil"/>
            </w:tcBorders>
            <w:vAlign w:val="center"/>
          </w:tcPr>
          <w:p w14:paraId="31968D92" w14:textId="77777777" w:rsidR="009829A9" w:rsidRPr="00AC5BEF" w:rsidRDefault="009829A9" w:rsidP="000E76A5">
            <w:pPr>
              <w:pStyle w:val="TableText"/>
            </w:pPr>
            <w:r w:rsidRPr="00AC5BEF">
              <w:t>San Joaquin Valley APCD</w:t>
            </w:r>
            <w:r>
              <w:t xml:space="preserve"> (San Joaquin, Stanislaus, Merced, Madera, Fresno, Kings, Tulare, and Western Kern County)</w:t>
            </w:r>
          </w:p>
        </w:tc>
        <w:tc>
          <w:tcPr>
            <w:tcW w:w="1574" w:type="dxa"/>
            <w:vAlign w:val="center"/>
          </w:tcPr>
          <w:p w14:paraId="77C1EF61" w14:textId="77777777" w:rsidR="009829A9" w:rsidRPr="00AC5BEF" w:rsidRDefault="009829A9" w:rsidP="000E76A5">
            <w:pPr>
              <w:pStyle w:val="TableText"/>
            </w:pPr>
            <w:r>
              <w:t xml:space="preserve">10 </w:t>
            </w:r>
            <w:proofErr w:type="spellStart"/>
            <w:r>
              <w:t>tpy</w:t>
            </w:r>
            <w:proofErr w:type="spellEnd"/>
          </w:p>
        </w:tc>
        <w:tc>
          <w:tcPr>
            <w:tcW w:w="1574" w:type="dxa"/>
            <w:vAlign w:val="center"/>
          </w:tcPr>
          <w:p w14:paraId="6609582B" w14:textId="77777777" w:rsidR="009829A9" w:rsidRPr="00AC5BEF" w:rsidRDefault="009829A9" w:rsidP="000E76A5">
            <w:pPr>
              <w:pStyle w:val="TableText"/>
            </w:pPr>
            <w:r>
              <w:t xml:space="preserve">10 </w:t>
            </w:r>
            <w:proofErr w:type="spellStart"/>
            <w:r>
              <w:t>tpy</w:t>
            </w:r>
            <w:proofErr w:type="spellEnd"/>
          </w:p>
        </w:tc>
        <w:tc>
          <w:tcPr>
            <w:tcW w:w="1574" w:type="dxa"/>
            <w:vAlign w:val="center"/>
          </w:tcPr>
          <w:p w14:paraId="0F88543F" w14:textId="77777777" w:rsidR="009829A9" w:rsidRPr="00AC5BEF" w:rsidRDefault="009829A9" w:rsidP="000E76A5">
            <w:pPr>
              <w:pStyle w:val="TableText"/>
            </w:pPr>
            <w:r>
              <w:t xml:space="preserve">10 </w:t>
            </w:r>
            <w:proofErr w:type="spellStart"/>
            <w:r>
              <w:t>tpy</w:t>
            </w:r>
            <w:proofErr w:type="spellEnd"/>
          </w:p>
        </w:tc>
        <w:tc>
          <w:tcPr>
            <w:tcW w:w="1574" w:type="dxa"/>
            <w:vAlign w:val="center"/>
          </w:tcPr>
          <w:p w14:paraId="7C14BA91" w14:textId="77777777" w:rsidR="009829A9" w:rsidRPr="00AC5BEF" w:rsidRDefault="009829A9" w:rsidP="000E76A5">
            <w:pPr>
              <w:pStyle w:val="TableText"/>
            </w:pPr>
            <w:r>
              <w:t xml:space="preserve">10 </w:t>
            </w:r>
            <w:proofErr w:type="spellStart"/>
            <w:r>
              <w:t>tpy</w:t>
            </w:r>
            <w:proofErr w:type="spellEnd"/>
          </w:p>
        </w:tc>
        <w:tc>
          <w:tcPr>
            <w:tcW w:w="1574" w:type="dxa"/>
            <w:vAlign w:val="center"/>
          </w:tcPr>
          <w:p w14:paraId="42464A08" w14:textId="77777777" w:rsidR="009829A9" w:rsidRPr="00AC5BEF" w:rsidRDefault="009829A9" w:rsidP="000E76A5">
            <w:pPr>
              <w:pStyle w:val="TableText"/>
            </w:pPr>
            <w:r>
              <w:t xml:space="preserve">15 </w:t>
            </w:r>
            <w:proofErr w:type="spellStart"/>
            <w:r>
              <w:t>tpy</w:t>
            </w:r>
            <w:proofErr w:type="spellEnd"/>
          </w:p>
        </w:tc>
        <w:tc>
          <w:tcPr>
            <w:tcW w:w="1575" w:type="dxa"/>
            <w:vAlign w:val="center"/>
          </w:tcPr>
          <w:p w14:paraId="1D92EA67" w14:textId="77777777" w:rsidR="009829A9" w:rsidRPr="00AC5BEF" w:rsidRDefault="009829A9" w:rsidP="000E76A5">
            <w:pPr>
              <w:pStyle w:val="TableText"/>
            </w:pPr>
            <w:r>
              <w:t xml:space="preserve">15 </w:t>
            </w:r>
            <w:proofErr w:type="spellStart"/>
            <w:r>
              <w:t>tpy</w:t>
            </w:r>
            <w:proofErr w:type="spellEnd"/>
          </w:p>
        </w:tc>
        <w:tc>
          <w:tcPr>
            <w:tcW w:w="1574" w:type="dxa"/>
            <w:tcBorders>
              <w:bottom w:val="single" w:sz="4" w:space="0" w:color="auto"/>
            </w:tcBorders>
            <w:vAlign w:val="center"/>
          </w:tcPr>
          <w:p w14:paraId="28372E90" w14:textId="77777777" w:rsidR="009829A9" w:rsidRPr="00AC5BEF" w:rsidRDefault="009829A9" w:rsidP="000E76A5">
            <w:pPr>
              <w:pStyle w:val="TableText"/>
            </w:pPr>
            <w:r>
              <w:t xml:space="preserve">15 </w:t>
            </w:r>
            <w:proofErr w:type="spellStart"/>
            <w:r>
              <w:t>tpy</w:t>
            </w:r>
            <w:proofErr w:type="spellEnd"/>
          </w:p>
        </w:tc>
        <w:tc>
          <w:tcPr>
            <w:tcW w:w="1574" w:type="dxa"/>
            <w:tcBorders>
              <w:bottom w:val="single" w:sz="4" w:space="0" w:color="auto"/>
            </w:tcBorders>
            <w:vAlign w:val="center"/>
          </w:tcPr>
          <w:p w14:paraId="6802062E" w14:textId="77777777" w:rsidR="009829A9" w:rsidRPr="00AC5BEF" w:rsidRDefault="009829A9" w:rsidP="000E76A5">
            <w:pPr>
              <w:pStyle w:val="TableText"/>
            </w:pPr>
            <w:r>
              <w:t xml:space="preserve">15 </w:t>
            </w:r>
            <w:proofErr w:type="spellStart"/>
            <w:r>
              <w:t>tpy</w:t>
            </w:r>
            <w:proofErr w:type="spellEnd"/>
          </w:p>
        </w:tc>
        <w:tc>
          <w:tcPr>
            <w:tcW w:w="1574" w:type="dxa"/>
            <w:tcBorders>
              <w:bottom w:val="single" w:sz="4" w:space="0" w:color="auto"/>
            </w:tcBorders>
            <w:vAlign w:val="center"/>
          </w:tcPr>
          <w:p w14:paraId="30B3F192" w14:textId="77777777" w:rsidR="009829A9" w:rsidRPr="00AC5BEF" w:rsidRDefault="009829A9" w:rsidP="000E76A5">
            <w:pPr>
              <w:pStyle w:val="TableText"/>
            </w:pPr>
            <w:r>
              <w:t xml:space="preserve">27 </w:t>
            </w:r>
            <w:proofErr w:type="spellStart"/>
            <w:r>
              <w:t>tpy</w:t>
            </w:r>
            <w:proofErr w:type="spellEnd"/>
          </w:p>
        </w:tc>
        <w:tc>
          <w:tcPr>
            <w:tcW w:w="1574" w:type="dxa"/>
            <w:tcBorders>
              <w:bottom w:val="single" w:sz="4" w:space="0" w:color="auto"/>
            </w:tcBorders>
            <w:vAlign w:val="center"/>
          </w:tcPr>
          <w:p w14:paraId="0247463C" w14:textId="77777777" w:rsidR="009829A9" w:rsidRPr="00AC5BEF" w:rsidRDefault="009829A9" w:rsidP="000E76A5">
            <w:pPr>
              <w:pStyle w:val="TableText"/>
            </w:pPr>
            <w:r>
              <w:t xml:space="preserve">27 </w:t>
            </w:r>
            <w:proofErr w:type="spellStart"/>
            <w:r>
              <w:t>tpy</w:t>
            </w:r>
            <w:proofErr w:type="spellEnd"/>
          </w:p>
        </w:tc>
        <w:tc>
          <w:tcPr>
            <w:tcW w:w="1574" w:type="dxa"/>
            <w:tcBorders>
              <w:bottom w:val="single" w:sz="4" w:space="0" w:color="auto"/>
            </w:tcBorders>
            <w:vAlign w:val="center"/>
          </w:tcPr>
          <w:p w14:paraId="035E1742" w14:textId="77777777" w:rsidR="009829A9" w:rsidRPr="00AC5BEF" w:rsidRDefault="009829A9" w:rsidP="000E76A5">
            <w:pPr>
              <w:pStyle w:val="TableText"/>
            </w:pPr>
            <w:r>
              <w:t xml:space="preserve">100 </w:t>
            </w:r>
            <w:proofErr w:type="spellStart"/>
            <w:r>
              <w:t>tpy</w:t>
            </w:r>
            <w:proofErr w:type="spellEnd"/>
          </w:p>
        </w:tc>
        <w:tc>
          <w:tcPr>
            <w:tcW w:w="1575" w:type="dxa"/>
            <w:tcBorders>
              <w:right w:val="nil"/>
            </w:tcBorders>
            <w:vAlign w:val="center"/>
          </w:tcPr>
          <w:p w14:paraId="4BAEFFF1" w14:textId="77777777" w:rsidR="009829A9" w:rsidRPr="00AC5BEF" w:rsidRDefault="009829A9" w:rsidP="000E76A5">
            <w:pPr>
              <w:pStyle w:val="TableText"/>
            </w:pPr>
            <w:r>
              <w:t xml:space="preserve">100 </w:t>
            </w:r>
            <w:proofErr w:type="spellStart"/>
            <w:r>
              <w:t>tpy</w:t>
            </w:r>
            <w:proofErr w:type="spellEnd"/>
          </w:p>
        </w:tc>
      </w:tr>
      <w:tr w:rsidR="009829A9" w14:paraId="2DA0399B" w14:textId="77777777" w:rsidTr="00800DA6">
        <w:trPr>
          <w:trHeight w:val="20"/>
          <w:jc w:val="center"/>
        </w:trPr>
        <w:tc>
          <w:tcPr>
            <w:tcW w:w="3430" w:type="dxa"/>
            <w:tcBorders>
              <w:left w:val="nil"/>
            </w:tcBorders>
            <w:vAlign w:val="center"/>
          </w:tcPr>
          <w:p w14:paraId="20B11E8F" w14:textId="77777777" w:rsidR="009829A9" w:rsidRPr="00AC5BEF" w:rsidRDefault="009829A9" w:rsidP="000E76A5">
            <w:pPr>
              <w:pStyle w:val="TableText"/>
            </w:pPr>
            <w:r w:rsidRPr="00AC5BEF">
              <w:t>San Luis Obispo County APCD</w:t>
            </w:r>
            <w:r w:rsidRPr="005234D7">
              <w:rPr>
                <w:vertAlign w:val="superscript"/>
              </w:rPr>
              <w:t>2</w:t>
            </w:r>
          </w:p>
        </w:tc>
        <w:tc>
          <w:tcPr>
            <w:tcW w:w="1574" w:type="dxa"/>
            <w:vAlign w:val="center"/>
          </w:tcPr>
          <w:p w14:paraId="45EE179C" w14:textId="77777777" w:rsidR="009829A9" w:rsidRDefault="009829A9" w:rsidP="000E76A5">
            <w:pPr>
              <w:pStyle w:val="TableText"/>
            </w:pPr>
            <w:r>
              <w:t xml:space="preserve">137 </w:t>
            </w:r>
            <w:proofErr w:type="spellStart"/>
            <w:r>
              <w:t>lb</w:t>
            </w:r>
            <w:proofErr w:type="spellEnd"/>
            <w:r>
              <w:t>/day or 2.5 tons per quarter</w:t>
            </w:r>
          </w:p>
        </w:tc>
        <w:tc>
          <w:tcPr>
            <w:tcW w:w="1574" w:type="dxa"/>
            <w:vAlign w:val="center"/>
          </w:tcPr>
          <w:p w14:paraId="5A0C9655" w14:textId="77777777" w:rsidR="009829A9" w:rsidRDefault="009829A9" w:rsidP="000E76A5">
            <w:pPr>
              <w:pStyle w:val="TableText"/>
            </w:pPr>
            <w:r>
              <w:t xml:space="preserve">137 </w:t>
            </w:r>
            <w:proofErr w:type="spellStart"/>
            <w:r>
              <w:t>lb</w:t>
            </w:r>
            <w:proofErr w:type="spellEnd"/>
            <w:r>
              <w:t>/day or 2.5 tons per quarter</w:t>
            </w:r>
          </w:p>
        </w:tc>
        <w:tc>
          <w:tcPr>
            <w:tcW w:w="1574" w:type="dxa"/>
            <w:vAlign w:val="center"/>
          </w:tcPr>
          <w:p w14:paraId="2FF032D7" w14:textId="77777777" w:rsidR="009829A9" w:rsidRDefault="009829A9" w:rsidP="000E76A5">
            <w:pPr>
              <w:pStyle w:val="TableText"/>
            </w:pPr>
            <w:r>
              <w:t xml:space="preserve">25 </w:t>
            </w:r>
            <w:proofErr w:type="spellStart"/>
            <w:r>
              <w:t>lb</w:t>
            </w:r>
            <w:proofErr w:type="spellEnd"/>
            <w:r>
              <w:t xml:space="preserve">/day or 25 </w:t>
            </w:r>
            <w:proofErr w:type="spellStart"/>
            <w:r>
              <w:t>tpy</w:t>
            </w:r>
            <w:proofErr w:type="spellEnd"/>
          </w:p>
        </w:tc>
        <w:tc>
          <w:tcPr>
            <w:tcW w:w="1574" w:type="dxa"/>
            <w:vAlign w:val="center"/>
          </w:tcPr>
          <w:p w14:paraId="2CDB3487" w14:textId="77777777" w:rsidR="009829A9" w:rsidRDefault="009829A9" w:rsidP="000E76A5">
            <w:pPr>
              <w:pStyle w:val="TableText"/>
            </w:pPr>
            <w:r>
              <w:t xml:space="preserve">25 </w:t>
            </w:r>
            <w:proofErr w:type="spellStart"/>
            <w:r>
              <w:t>lb</w:t>
            </w:r>
            <w:proofErr w:type="spellEnd"/>
            <w:r>
              <w:t xml:space="preserve">/day or 25 </w:t>
            </w:r>
            <w:proofErr w:type="spellStart"/>
            <w:r>
              <w:t>tpy</w:t>
            </w:r>
            <w:proofErr w:type="spellEnd"/>
          </w:p>
        </w:tc>
        <w:tc>
          <w:tcPr>
            <w:tcW w:w="1574" w:type="dxa"/>
            <w:tcBorders>
              <w:bottom w:val="single" w:sz="4" w:space="0" w:color="auto"/>
            </w:tcBorders>
            <w:vAlign w:val="center"/>
          </w:tcPr>
          <w:p w14:paraId="707AF163" w14:textId="77777777" w:rsidR="009829A9" w:rsidRDefault="009829A9" w:rsidP="000E76A5">
            <w:pPr>
              <w:pStyle w:val="TableText"/>
            </w:pPr>
            <w:r>
              <w:t>No threshold</w:t>
            </w:r>
          </w:p>
        </w:tc>
        <w:tc>
          <w:tcPr>
            <w:tcW w:w="1575" w:type="dxa"/>
            <w:tcBorders>
              <w:bottom w:val="single" w:sz="4" w:space="0" w:color="auto"/>
            </w:tcBorders>
            <w:vAlign w:val="center"/>
          </w:tcPr>
          <w:p w14:paraId="378B54B5" w14:textId="77777777" w:rsidR="009829A9" w:rsidRDefault="009829A9" w:rsidP="000E76A5">
            <w:pPr>
              <w:pStyle w:val="TableText"/>
            </w:pPr>
            <w:r>
              <w:t xml:space="preserve">25 </w:t>
            </w:r>
            <w:proofErr w:type="spellStart"/>
            <w:r>
              <w:t>lb</w:t>
            </w:r>
            <w:proofErr w:type="spellEnd"/>
            <w:r>
              <w:t xml:space="preserve">/day or 25 </w:t>
            </w:r>
            <w:proofErr w:type="spellStart"/>
            <w:r>
              <w:t>tpy</w:t>
            </w:r>
            <w:proofErr w:type="spellEnd"/>
          </w:p>
        </w:tc>
        <w:tc>
          <w:tcPr>
            <w:tcW w:w="1574" w:type="dxa"/>
            <w:tcBorders>
              <w:bottom w:val="single" w:sz="4" w:space="0" w:color="auto"/>
              <w:right w:val="nil"/>
            </w:tcBorders>
            <w:vAlign w:val="center"/>
          </w:tcPr>
          <w:p w14:paraId="773D7366" w14:textId="77777777" w:rsidR="009829A9" w:rsidRDefault="009829A9" w:rsidP="000E76A5">
            <w:pPr>
              <w:pStyle w:val="TableText"/>
            </w:pPr>
          </w:p>
        </w:tc>
        <w:tc>
          <w:tcPr>
            <w:tcW w:w="1574" w:type="dxa"/>
            <w:tcBorders>
              <w:left w:val="nil"/>
              <w:bottom w:val="single" w:sz="4" w:space="0" w:color="auto"/>
              <w:right w:val="nil"/>
            </w:tcBorders>
            <w:vAlign w:val="center"/>
          </w:tcPr>
          <w:p w14:paraId="0B81137C" w14:textId="77777777" w:rsidR="009829A9" w:rsidRDefault="009829A9" w:rsidP="000E76A5">
            <w:pPr>
              <w:pStyle w:val="TableText"/>
            </w:pPr>
          </w:p>
        </w:tc>
        <w:tc>
          <w:tcPr>
            <w:tcW w:w="1574" w:type="dxa"/>
            <w:tcBorders>
              <w:left w:val="nil"/>
              <w:bottom w:val="single" w:sz="4" w:space="0" w:color="auto"/>
              <w:right w:val="nil"/>
            </w:tcBorders>
            <w:vAlign w:val="center"/>
          </w:tcPr>
          <w:p w14:paraId="71D5203C" w14:textId="77777777" w:rsidR="009829A9" w:rsidRDefault="009829A9" w:rsidP="000E76A5">
            <w:pPr>
              <w:pStyle w:val="TableText"/>
            </w:pPr>
            <w:r>
              <w:t>No thresholds</w:t>
            </w:r>
          </w:p>
        </w:tc>
        <w:tc>
          <w:tcPr>
            <w:tcW w:w="1574" w:type="dxa"/>
            <w:tcBorders>
              <w:left w:val="nil"/>
              <w:bottom w:val="single" w:sz="4" w:space="0" w:color="auto"/>
              <w:right w:val="nil"/>
            </w:tcBorders>
            <w:vAlign w:val="center"/>
          </w:tcPr>
          <w:p w14:paraId="184293BD" w14:textId="77777777" w:rsidR="009829A9" w:rsidRDefault="009829A9" w:rsidP="000E76A5">
            <w:pPr>
              <w:pStyle w:val="TableText"/>
            </w:pPr>
            <w:r>
              <w:t>No thresholds</w:t>
            </w:r>
          </w:p>
        </w:tc>
        <w:tc>
          <w:tcPr>
            <w:tcW w:w="1574" w:type="dxa"/>
            <w:tcBorders>
              <w:left w:val="nil"/>
              <w:bottom w:val="single" w:sz="4" w:space="0" w:color="auto"/>
            </w:tcBorders>
            <w:vAlign w:val="center"/>
          </w:tcPr>
          <w:p w14:paraId="4D2A698A" w14:textId="77777777" w:rsidR="009829A9" w:rsidRDefault="009829A9" w:rsidP="000E76A5">
            <w:pPr>
              <w:pStyle w:val="TableText"/>
            </w:pPr>
          </w:p>
        </w:tc>
        <w:tc>
          <w:tcPr>
            <w:tcW w:w="1575" w:type="dxa"/>
            <w:tcBorders>
              <w:bottom w:val="single" w:sz="4" w:space="0" w:color="auto"/>
              <w:right w:val="nil"/>
            </w:tcBorders>
            <w:vAlign w:val="center"/>
          </w:tcPr>
          <w:p w14:paraId="6F1FAF97" w14:textId="77777777" w:rsidR="009829A9" w:rsidRDefault="009829A9" w:rsidP="000E76A5">
            <w:pPr>
              <w:pStyle w:val="TableText"/>
            </w:pPr>
            <w:r>
              <w:t xml:space="preserve">550 </w:t>
            </w:r>
            <w:proofErr w:type="spellStart"/>
            <w:r>
              <w:t>lb</w:t>
            </w:r>
            <w:proofErr w:type="spellEnd"/>
            <w:r>
              <w:t>/day</w:t>
            </w:r>
          </w:p>
        </w:tc>
      </w:tr>
      <w:tr w:rsidR="009829A9" w14:paraId="5C7CE7F3" w14:textId="77777777" w:rsidTr="00800DA6">
        <w:trPr>
          <w:trHeight w:val="20"/>
          <w:jc w:val="center"/>
        </w:trPr>
        <w:tc>
          <w:tcPr>
            <w:tcW w:w="3430" w:type="dxa"/>
            <w:tcBorders>
              <w:left w:val="nil"/>
            </w:tcBorders>
            <w:vAlign w:val="center"/>
          </w:tcPr>
          <w:p w14:paraId="76CEAB9F" w14:textId="77777777" w:rsidR="009829A9" w:rsidRPr="00AC5BEF" w:rsidRDefault="009829A9" w:rsidP="000E76A5">
            <w:pPr>
              <w:pStyle w:val="TableText"/>
            </w:pPr>
            <w:r w:rsidRPr="00AC5BEF">
              <w:t>Santa Barbara County APCD</w:t>
            </w:r>
          </w:p>
        </w:tc>
        <w:tc>
          <w:tcPr>
            <w:tcW w:w="1574" w:type="dxa"/>
            <w:vAlign w:val="center"/>
          </w:tcPr>
          <w:p w14:paraId="719AFB6E" w14:textId="77777777" w:rsidR="009829A9" w:rsidRDefault="009829A9" w:rsidP="000E76A5">
            <w:pPr>
              <w:pStyle w:val="TableText"/>
            </w:pPr>
            <w:r>
              <w:t>No threshold</w:t>
            </w:r>
          </w:p>
        </w:tc>
        <w:tc>
          <w:tcPr>
            <w:tcW w:w="1574" w:type="dxa"/>
            <w:vAlign w:val="center"/>
          </w:tcPr>
          <w:p w14:paraId="61AC90C9" w14:textId="77777777" w:rsidR="009829A9" w:rsidRDefault="009829A9" w:rsidP="000E76A5">
            <w:pPr>
              <w:pStyle w:val="TableText"/>
            </w:pPr>
            <w:r>
              <w:t xml:space="preserve">&gt;25 </w:t>
            </w:r>
            <w:proofErr w:type="spellStart"/>
            <w:r>
              <w:t>lb</w:t>
            </w:r>
            <w:proofErr w:type="spellEnd"/>
            <w:r>
              <w:t>/day from mobile sources</w:t>
            </w:r>
          </w:p>
        </w:tc>
        <w:tc>
          <w:tcPr>
            <w:tcW w:w="1574" w:type="dxa"/>
            <w:vAlign w:val="center"/>
          </w:tcPr>
          <w:p w14:paraId="343B6987" w14:textId="77777777" w:rsidR="009829A9" w:rsidRDefault="009829A9" w:rsidP="000E76A5">
            <w:pPr>
              <w:pStyle w:val="TableText"/>
            </w:pPr>
            <w:r>
              <w:t>No threshold</w:t>
            </w:r>
          </w:p>
        </w:tc>
        <w:tc>
          <w:tcPr>
            <w:tcW w:w="1574" w:type="dxa"/>
            <w:vAlign w:val="center"/>
          </w:tcPr>
          <w:p w14:paraId="664C3935" w14:textId="77777777" w:rsidR="009829A9" w:rsidRDefault="009829A9" w:rsidP="000E76A5">
            <w:pPr>
              <w:pStyle w:val="TableText"/>
            </w:pPr>
            <w:r>
              <w:t xml:space="preserve">&gt;25 </w:t>
            </w:r>
            <w:proofErr w:type="spellStart"/>
            <w:r>
              <w:t>lb</w:t>
            </w:r>
            <w:proofErr w:type="spellEnd"/>
            <w:r>
              <w:t>/day from mobile sources</w:t>
            </w:r>
          </w:p>
        </w:tc>
        <w:tc>
          <w:tcPr>
            <w:tcW w:w="1574" w:type="dxa"/>
            <w:tcBorders>
              <w:right w:val="nil"/>
            </w:tcBorders>
            <w:vAlign w:val="center"/>
          </w:tcPr>
          <w:p w14:paraId="153B85F1" w14:textId="77777777" w:rsidR="009829A9" w:rsidRDefault="009829A9" w:rsidP="000E76A5">
            <w:pPr>
              <w:pStyle w:val="TableText"/>
            </w:pPr>
          </w:p>
        </w:tc>
        <w:tc>
          <w:tcPr>
            <w:tcW w:w="1575" w:type="dxa"/>
            <w:tcBorders>
              <w:left w:val="nil"/>
              <w:right w:val="nil"/>
            </w:tcBorders>
            <w:vAlign w:val="center"/>
          </w:tcPr>
          <w:p w14:paraId="278E204E" w14:textId="77777777" w:rsidR="009829A9" w:rsidRDefault="009829A9" w:rsidP="000E76A5">
            <w:pPr>
              <w:pStyle w:val="TableText"/>
            </w:pPr>
          </w:p>
        </w:tc>
        <w:tc>
          <w:tcPr>
            <w:tcW w:w="1574" w:type="dxa"/>
            <w:tcBorders>
              <w:left w:val="nil"/>
              <w:bottom w:val="single" w:sz="4" w:space="0" w:color="auto"/>
              <w:right w:val="nil"/>
            </w:tcBorders>
            <w:vAlign w:val="center"/>
          </w:tcPr>
          <w:p w14:paraId="127A1B31" w14:textId="77777777" w:rsidR="009829A9" w:rsidRDefault="009829A9" w:rsidP="000E76A5">
            <w:pPr>
              <w:pStyle w:val="TableText"/>
            </w:pPr>
          </w:p>
        </w:tc>
        <w:tc>
          <w:tcPr>
            <w:tcW w:w="1574" w:type="dxa"/>
            <w:tcBorders>
              <w:left w:val="nil"/>
              <w:bottom w:val="single" w:sz="4" w:space="0" w:color="auto"/>
              <w:right w:val="nil"/>
            </w:tcBorders>
            <w:vAlign w:val="center"/>
          </w:tcPr>
          <w:p w14:paraId="7171EBE2" w14:textId="77777777" w:rsidR="009829A9" w:rsidRDefault="009829A9" w:rsidP="000E76A5">
            <w:pPr>
              <w:pStyle w:val="TableText"/>
            </w:pPr>
            <w:r>
              <w:t>No thresholds</w:t>
            </w:r>
          </w:p>
        </w:tc>
        <w:tc>
          <w:tcPr>
            <w:tcW w:w="1574" w:type="dxa"/>
            <w:tcBorders>
              <w:left w:val="nil"/>
              <w:bottom w:val="single" w:sz="4" w:space="0" w:color="auto"/>
              <w:right w:val="nil"/>
            </w:tcBorders>
            <w:vAlign w:val="center"/>
          </w:tcPr>
          <w:p w14:paraId="3A732913" w14:textId="77777777" w:rsidR="009829A9" w:rsidRDefault="009829A9" w:rsidP="000E76A5">
            <w:pPr>
              <w:pStyle w:val="TableText"/>
            </w:pPr>
            <w:r>
              <w:t>No thresholds</w:t>
            </w:r>
          </w:p>
        </w:tc>
        <w:tc>
          <w:tcPr>
            <w:tcW w:w="1574" w:type="dxa"/>
            <w:tcBorders>
              <w:left w:val="nil"/>
              <w:bottom w:val="single" w:sz="4" w:space="0" w:color="auto"/>
              <w:right w:val="nil"/>
            </w:tcBorders>
            <w:vAlign w:val="center"/>
          </w:tcPr>
          <w:p w14:paraId="6EFB8E00" w14:textId="77777777" w:rsidR="009829A9" w:rsidRDefault="009829A9" w:rsidP="000E76A5">
            <w:pPr>
              <w:pStyle w:val="TableText"/>
            </w:pPr>
          </w:p>
        </w:tc>
        <w:tc>
          <w:tcPr>
            <w:tcW w:w="1574" w:type="dxa"/>
            <w:tcBorders>
              <w:left w:val="nil"/>
              <w:bottom w:val="single" w:sz="4" w:space="0" w:color="auto"/>
              <w:right w:val="nil"/>
            </w:tcBorders>
            <w:vAlign w:val="center"/>
          </w:tcPr>
          <w:p w14:paraId="43837682" w14:textId="77777777" w:rsidR="009829A9" w:rsidRDefault="009829A9" w:rsidP="000E76A5">
            <w:pPr>
              <w:pStyle w:val="TableText"/>
            </w:pPr>
          </w:p>
        </w:tc>
        <w:tc>
          <w:tcPr>
            <w:tcW w:w="1575" w:type="dxa"/>
            <w:tcBorders>
              <w:left w:val="nil"/>
              <w:bottom w:val="single" w:sz="4" w:space="0" w:color="auto"/>
              <w:right w:val="nil"/>
            </w:tcBorders>
            <w:vAlign w:val="center"/>
          </w:tcPr>
          <w:p w14:paraId="25663145" w14:textId="77777777" w:rsidR="009829A9" w:rsidRDefault="009829A9" w:rsidP="000E76A5">
            <w:pPr>
              <w:pStyle w:val="TableText"/>
            </w:pPr>
          </w:p>
        </w:tc>
      </w:tr>
      <w:tr w:rsidR="009829A9" w14:paraId="25866649" w14:textId="77777777" w:rsidTr="00800DA6">
        <w:trPr>
          <w:trHeight w:val="20"/>
          <w:jc w:val="center"/>
        </w:trPr>
        <w:tc>
          <w:tcPr>
            <w:tcW w:w="3430" w:type="dxa"/>
            <w:tcBorders>
              <w:left w:val="nil"/>
            </w:tcBorders>
            <w:vAlign w:val="center"/>
          </w:tcPr>
          <w:p w14:paraId="3EDB44D9" w14:textId="77777777" w:rsidR="009829A9" w:rsidRPr="00AC5BEF" w:rsidRDefault="009829A9" w:rsidP="000E76A5">
            <w:pPr>
              <w:pStyle w:val="TableText"/>
            </w:pPr>
            <w:r w:rsidRPr="00AC5BEF">
              <w:t>Shasta County AQMD</w:t>
            </w:r>
            <w:r>
              <w:t>*</w:t>
            </w:r>
          </w:p>
        </w:tc>
        <w:tc>
          <w:tcPr>
            <w:tcW w:w="1574" w:type="dxa"/>
            <w:vAlign w:val="center"/>
          </w:tcPr>
          <w:p w14:paraId="7CECFE10" w14:textId="77777777" w:rsidR="009829A9" w:rsidRDefault="009829A9" w:rsidP="000E76A5">
            <w:pPr>
              <w:pStyle w:val="TableText"/>
            </w:pPr>
            <w:r>
              <w:t xml:space="preserve">25 </w:t>
            </w:r>
            <w:proofErr w:type="spellStart"/>
            <w:r>
              <w:t>lb</w:t>
            </w:r>
            <w:proofErr w:type="spellEnd"/>
            <w:r>
              <w:t>/day (Level A) or 137 </w:t>
            </w:r>
            <w:proofErr w:type="spellStart"/>
            <w:r>
              <w:t>lb</w:t>
            </w:r>
            <w:proofErr w:type="spellEnd"/>
            <w:r>
              <w:t>/day (Level B)</w:t>
            </w:r>
          </w:p>
        </w:tc>
        <w:tc>
          <w:tcPr>
            <w:tcW w:w="1574" w:type="dxa"/>
            <w:vAlign w:val="center"/>
          </w:tcPr>
          <w:p w14:paraId="2ADBA5B9" w14:textId="77777777" w:rsidR="009829A9" w:rsidRDefault="009829A9" w:rsidP="000E76A5">
            <w:pPr>
              <w:pStyle w:val="TableText"/>
            </w:pPr>
            <w:r>
              <w:t xml:space="preserve">25 </w:t>
            </w:r>
            <w:proofErr w:type="spellStart"/>
            <w:r>
              <w:t>lb</w:t>
            </w:r>
            <w:proofErr w:type="spellEnd"/>
            <w:r>
              <w:t>/day (Level A) or 137 </w:t>
            </w:r>
            <w:proofErr w:type="spellStart"/>
            <w:r>
              <w:t>lb</w:t>
            </w:r>
            <w:proofErr w:type="spellEnd"/>
            <w:r>
              <w:t>/day (Level B)</w:t>
            </w:r>
          </w:p>
        </w:tc>
        <w:tc>
          <w:tcPr>
            <w:tcW w:w="1574" w:type="dxa"/>
            <w:vAlign w:val="center"/>
          </w:tcPr>
          <w:p w14:paraId="47717210" w14:textId="77777777" w:rsidR="009829A9" w:rsidRDefault="009829A9" w:rsidP="000E76A5">
            <w:pPr>
              <w:pStyle w:val="TableText"/>
            </w:pPr>
            <w:r>
              <w:t xml:space="preserve">25 </w:t>
            </w:r>
            <w:proofErr w:type="spellStart"/>
            <w:r>
              <w:t>lb</w:t>
            </w:r>
            <w:proofErr w:type="spellEnd"/>
            <w:r>
              <w:t>/day (Level A) or 137 </w:t>
            </w:r>
            <w:proofErr w:type="spellStart"/>
            <w:r>
              <w:t>lb</w:t>
            </w:r>
            <w:proofErr w:type="spellEnd"/>
            <w:r>
              <w:t>/day (Level B)</w:t>
            </w:r>
          </w:p>
        </w:tc>
        <w:tc>
          <w:tcPr>
            <w:tcW w:w="1574" w:type="dxa"/>
            <w:vAlign w:val="center"/>
          </w:tcPr>
          <w:p w14:paraId="6631B111" w14:textId="77777777" w:rsidR="009829A9" w:rsidRDefault="009829A9" w:rsidP="000E76A5">
            <w:pPr>
              <w:pStyle w:val="TableText"/>
            </w:pPr>
            <w:r>
              <w:t xml:space="preserve">25 </w:t>
            </w:r>
            <w:proofErr w:type="spellStart"/>
            <w:r>
              <w:t>lb</w:t>
            </w:r>
            <w:proofErr w:type="spellEnd"/>
            <w:r>
              <w:t>/day (Level A) or 137 </w:t>
            </w:r>
            <w:proofErr w:type="spellStart"/>
            <w:r>
              <w:t>lb</w:t>
            </w:r>
            <w:proofErr w:type="spellEnd"/>
            <w:r>
              <w:t>/day (Level B)</w:t>
            </w:r>
          </w:p>
        </w:tc>
        <w:tc>
          <w:tcPr>
            <w:tcW w:w="1574" w:type="dxa"/>
            <w:vAlign w:val="center"/>
          </w:tcPr>
          <w:p w14:paraId="1B62D08A" w14:textId="77777777" w:rsidR="009829A9" w:rsidRDefault="009829A9" w:rsidP="000E76A5">
            <w:pPr>
              <w:pStyle w:val="TableText"/>
            </w:pPr>
            <w:r>
              <w:t xml:space="preserve">80 </w:t>
            </w:r>
            <w:proofErr w:type="spellStart"/>
            <w:r>
              <w:t>lb</w:t>
            </w:r>
            <w:proofErr w:type="spellEnd"/>
            <w:r>
              <w:t>/day (Level A) or 137 </w:t>
            </w:r>
            <w:proofErr w:type="spellStart"/>
            <w:r>
              <w:t>lb</w:t>
            </w:r>
            <w:proofErr w:type="spellEnd"/>
            <w:r>
              <w:t>/day (Level B)</w:t>
            </w:r>
          </w:p>
        </w:tc>
        <w:tc>
          <w:tcPr>
            <w:tcW w:w="1575" w:type="dxa"/>
            <w:vAlign w:val="center"/>
          </w:tcPr>
          <w:p w14:paraId="38E6FF2C" w14:textId="77777777" w:rsidR="009829A9" w:rsidRDefault="009829A9" w:rsidP="000E76A5">
            <w:pPr>
              <w:pStyle w:val="TableText"/>
            </w:pPr>
            <w:r>
              <w:t xml:space="preserve">80 </w:t>
            </w:r>
            <w:proofErr w:type="spellStart"/>
            <w:r>
              <w:t>lb</w:t>
            </w:r>
            <w:proofErr w:type="spellEnd"/>
            <w:r>
              <w:t>/day (Level A) or 137 </w:t>
            </w:r>
            <w:proofErr w:type="spellStart"/>
            <w:r>
              <w:t>lb</w:t>
            </w:r>
            <w:proofErr w:type="spellEnd"/>
            <w:r>
              <w:t>/day (Level B)</w:t>
            </w:r>
          </w:p>
        </w:tc>
        <w:tc>
          <w:tcPr>
            <w:tcW w:w="1574" w:type="dxa"/>
            <w:tcBorders>
              <w:bottom w:val="single" w:sz="4" w:space="0" w:color="auto"/>
              <w:right w:val="nil"/>
            </w:tcBorders>
            <w:vAlign w:val="center"/>
          </w:tcPr>
          <w:p w14:paraId="10D807F0" w14:textId="77777777" w:rsidR="009829A9" w:rsidRDefault="009829A9" w:rsidP="000E76A5">
            <w:pPr>
              <w:pStyle w:val="TableText"/>
            </w:pPr>
          </w:p>
        </w:tc>
        <w:tc>
          <w:tcPr>
            <w:tcW w:w="1574" w:type="dxa"/>
            <w:tcBorders>
              <w:left w:val="nil"/>
              <w:bottom w:val="single" w:sz="4" w:space="0" w:color="auto"/>
              <w:right w:val="nil"/>
            </w:tcBorders>
            <w:vAlign w:val="center"/>
          </w:tcPr>
          <w:p w14:paraId="4AB54A91" w14:textId="77777777" w:rsidR="009829A9" w:rsidRDefault="009829A9" w:rsidP="000E76A5">
            <w:pPr>
              <w:pStyle w:val="TableText"/>
            </w:pPr>
          </w:p>
        </w:tc>
        <w:tc>
          <w:tcPr>
            <w:tcW w:w="1574" w:type="dxa"/>
            <w:tcBorders>
              <w:left w:val="nil"/>
              <w:bottom w:val="single" w:sz="4" w:space="0" w:color="auto"/>
              <w:right w:val="nil"/>
            </w:tcBorders>
            <w:vAlign w:val="center"/>
          </w:tcPr>
          <w:p w14:paraId="27FA8859" w14:textId="77777777" w:rsidR="009829A9" w:rsidRDefault="009829A9" w:rsidP="000E76A5">
            <w:pPr>
              <w:pStyle w:val="TableText"/>
            </w:pPr>
            <w:r>
              <w:t>No thresholds</w:t>
            </w:r>
          </w:p>
        </w:tc>
        <w:tc>
          <w:tcPr>
            <w:tcW w:w="1574" w:type="dxa"/>
            <w:tcBorders>
              <w:left w:val="nil"/>
              <w:bottom w:val="single" w:sz="4" w:space="0" w:color="auto"/>
              <w:right w:val="nil"/>
            </w:tcBorders>
            <w:vAlign w:val="center"/>
          </w:tcPr>
          <w:p w14:paraId="514D98D8" w14:textId="77777777" w:rsidR="009829A9" w:rsidRDefault="009829A9" w:rsidP="000E76A5">
            <w:pPr>
              <w:pStyle w:val="TableText"/>
            </w:pPr>
          </w:p>
        </w:tc>
        <w:tc>
          <w:tcPr>
            <w:tcW w:w="1574" w:type="dxa"/>
            <w:tcBorders>
              <w:left w:val="nil"/>
              <w:bottom w:val="single" w:sz="4" w:space="0" w:color="auto"/>
              <w:right w:val="nil"/>
            </w:tcBorders>
            <w:vAlign w:val="center"/>
          </w:tcPr>
          <w:p w14:paraId="28ED807E" w14:textId="77777777" w:rsidR="009829A9" w:rsidRDefault="009829A9" w:rsidP="000E76A5">
            <w:pPr>
              <w:pStyle w:val="TableText"/>
            </w:pPr>
          </w:p>
        </w:tc>
        <w:tc>
          <w:tcPr>
            <w:tcW w:w="1575" w:type="dxa"/>
            <w:tcBorders>
              <w:left w:val="nil"/>
              <w:right w:val="nil"/>
            </w:tcBorders>
            <w:vAlign w:val="center"/>
          </w:tcPr>
          <w:p w14:paraId="3A673C70" w14:textId="77777777" w:rsidR="009829A9" w:rsidRDefault="009829A9" w:rsidP="000E76A5">
            <w:pPr>
              <w:pStyle w:val="TableText"/>
            </w:pPr>
          </w:p>
        </w:tc>
      </w:tr>
      <w:tr w:rsidR="00DC3126" w14:paraId="665D46B7" w14:textId="77777777" w:rsidTr="00800DA6">
        <w:trPr>
          <w:trHeight w:val="20"/>
          <w:jc w:val="center"/>
        </w:trPr>
        <w:tc>
          <w:tcPr>
            <w:tcW w:w="3430" w:type="dxa"/>
            <w:tcBorders>
              <w:left w:val="nil"/>
            </w:tcBorders>
            <w:vAlign w:val="center"/>
          </w:tcPr>
          <w:p w14:paraId="300ED0F1" w14:textId="77777777" w:rsidR="009829A9" w:rsidRPr="00AC5BEF" w:rsidRDefault="009829A9" w:rsidP="000E76A5">
            <w:pPr>
              <w:pStyle w:val="TableText"/>
            </w:pPr>
            <w:r w:rsidRPr="00AC5BEF">
              <w:t>Siskiyou County APCD</w:t>
            </w:r>
          </w:p>
        </w:tc>
        <w:tc>
          <w:tcPr>
            <w:tcW w:w="1574" w:type="dxa"/>
            <w:tcBorders>
              <w:right w:val="nil"/>
            </w:tcBorders>
            <w:vAlign w:val="center"/>
          </w:tcPr>
          <w:p w14:paraId="43727FE6" w14:textId="77777777" w:rsidR="009829A9" w:rsidRPr="00AC5BEF" w:rsidRDefault="009829A9" w:rsidP="000E76A5">
            <w:pPr>
              <w:pStyle w:val="TableText"/>
            </w:pPr>
          </w:p>
        </w:tc>
        <w:tc>
          <w:tcPr>
            <w:tcW w:w="1574" w:type="dxa"/>
            <w:tcBorders>
              <w:left w:val="nil"/>
              <w:right w:val="nil"/>
            </w:tcBorders>
            <w:vAlign w:val="center"/>
          </w:tcPr>
          <w:p w14:paraId="1AA165EF" w14:textId="77777777" w:rsidR="009829A9" w:rsidRPr="00AC5BEF" w:rsidRDefault="009829A9" w:rsidP="000E76A5">
            <w:pPr>
              <w:pStyle w:val="TableText"/>
            </w:pPr>
          </w:p>
        </w:tc>
        <w:tc>
          <w:tcPr>
            <w:tcW w:w="1574" w:type="dxa"/>
            <w:tcBorders>
              <w:left w:val="nil"/>
              <w:right w:val="nil"/>
            </w:tcBorders>
            <w:vAlign w:val="center"/>
          </w:tcPr>
          <w:p w14:paraId="3CD05153" w14:textId="77777777" w:rsidR="009829A9" w:rsidRPr="00AC5BEF" w:rsidRDefault="009829A9" w:rsidP="000E76A5">
            <w:pPr>
              <w:pStyle w:val="TableText"/>
            </w:pPr>
          </w:p>
        </w:tc>
        <w:tc>
          <w:tcPr>
            <w:tcW w:w="1574" w:type="dxa"/>
            <w:tcBorders>
              <w:left w:val="nil"/>
              <w:right w:val="nil"/>
            </w:tcBorders>
            <w:vAlign w:val="center"/>
          </w:tcPr>
          <w:p w14:paraId="1ECCAC47" w14:textId="77777777" w:rsidR="009829A9" w:rsidRPr="00AC5BEF" w:rsidRDefault="009829A9" w:rsidP="000E76A5">
            <w:pPr>
              <w:pStyle w:val="TableText"/>
            </w:pPr>
          </w:p>
        </w:tc>
        <w:tc>
          <w:tcPr>
            <w:tcW w:w="1574" w:type="dxa"/>
            <w:tcBorders>
              <w:left w:val="nil"/>
              <w:right w:val="nil"/>
            </w:tcBorders>
            <w:vAlign w:val="center"/>
          </w:tcPr>
          <w:p w14:paraId="2CF9F271" w14:textId="77777777" w:rsidR="009829A9" w:rsidRPr="00AC5BEF" w:rsidRDefault="009829A9" w:rsidP="000E76A5">
            <w:pPr>
              <w:pStyle w:val="TableText"/>
            </w:pPr>
          </w:p>
        </w:tc>
        <w:tc>
          <w:tcPr>
            <w:tcW w:w="1575" w:type="dxa"/>
            <w:tcBorders>
              <w:left w:val="nil"/>
              <w:right w:val="nil"/>
            </w:tcBorders>
            <w:vAlign w:val="center"/>
          </w:tcPr>
          <w:p w14:paraId="0BD699F1" w14:textId="77777777" w:rsidR="009829A9" w:rsidRDefault="009829A9" w:rsidP="000E76A5">
            <w:pPr>
              <w:pStyle w:val="TableText"/>
            </w:pPr>
            <w:r>
              <w:t>No thresholds</w:t>
            </w:r>
          </w:p>
        </w:tc>
        <w:tc>
          <w:tcPr>
            <w:tcW w:w="1574" w:type="dxa"/>
            <w:tcBorders>
              <w:left w:val="nil"/>
              <w:right w:val="nil"/>
            </w:tcBorders>
            <w:vAlign w:val="center"/>
          </w:tcPr>
          <w:p w14:paraId="42DC7191" w14:textId="77777777" w:rsidR="009829A9" w:rsidRDefault="009829A9" w:rsidP="000E76A5">
            <w:pPr>
              <w:pStyle w:val="TableText"/>
            </w:pPr>
          </w:p>
        </w:tc>
        <w:tc>
          <w:tcPr>
            <w:tcW w:w="1574" w:type="dxa"/>
            <w:tcBorders>
              <w:left w:val="nil"/>
              <w:right w:val="nil"/>
            </w:tcBorders>
            <w:vAlign w:val="center"/>
          </w:tcPr>
          <w:p w14:paraId="1DFD984D" w14:textId="77777777" w:rsidR="009829A9" w:rsidRPr="00AC5BEF" w:rsidRDefault="009829A9" w:rsidP="000E76A5">
            <w:pPr>
              <w:pStyle w:val="TableText"/>
            </w:pPr>
          </w:p>
        </w:tc>
        <w:tc>
          <w:tcPr>
            <w:tcW w:w="1574" w:type="dxa"/>
            <w:tcBorders>
              <w:left w:val="nil"/>
              <w:right w:val="nil"/>
            </w:tcBorders>
            <w:vAlign w:val="center"/>
          </w:tcPr>
          <w:p w14:paraId="24C88689" w14:textId="77777777" w:rsidR="009829A9" w:rsidRPr="00AC5BEF" w:rsidRDefault="009829A9" w:rsidP="000E76A5">
            <w:pPr>
              <w:pStyle w:val="TableText"/>
            </w:pPr>
          </w:p>
        </w:tc>
        <w:tc>
          <w:tcPr>
            <w:tcW w:w="1574" w:type="dxa"/>
            <w:tcBorders>
              <w:left w:val="nil"/>
              <w:right w:val="nil"/>
            </w:tcBorders>
            <w:vAlign w:val="center"/>
          </w:tcPr>
          <w:p w14:paraId="3BDDF0F7" w14:textId="77777777" w:rsidR="009829A9" w:rsidRPr="00AC5BEF" w:rsidRDefault="009829A9" w:rsidP="000E76A5">
            <w:pPr>
              <w:pStyle w:val="TableText"/>
            </w:pPr>
          </w:p>
        </w:tc>
        <w:tc>
          <w:tcPr>
            <w:tcW w:w="1574" w:type="dxa"/>
            <w:tcBorders>
              <w:left w:val="nil"/>
              <w:right w:val="nil"/>
            </w:tcBorders>
            <w:vAlign w:val="center"/>
          </w:tcPr>
          <w:p w14:paraId="4C71FA3D" w14:textId="77777777" w:rsidR="009829A9" w:rsidRPr="00AC5BEF" w:rsidRDefault="009829A9" w:rsidP="000E76A5">
            <w:pPr>
              <w:pStyle w:val="TableText"/>
            </w:pPr>
          </w:p>
        </w:tc>
        <w:tc>
          <w:tcPr>
            <w:tcW w:w="1575" w:type="dxa"/>
            <w:tcBorders>
              <w:left w:val="nil"/>
              <w:right w:val="nil"/>
            </w:tcBorders>
            <w:vAlign w:val="center"/>
          </w:tcPr>
          <w:p w14:paraId="4B99CD14" w14:textId="77777777" w:rsidR="009829A9" w:rsidRPr="00AC5BEF" w:rsidRDefault="009829A9" w:rsidP="000E76A5">
            <w:pPr>
              <w:pStyle w:val="TableText"/>
            </w:pPr>
          </w:p>
        </w:tc>
      </w:tr>
      <w:tr w:rsidR="00DC3126" w14:paraId="5BE76749" w14:textId="77777777" w:rsidTr="00800DA6">
        <w:trPr>
          <w:trHeight w:val="20"/>
          <w:jc w:val="center"/>
        </w:trPr>
        <w:tc>
          <w:tcPr>
            <w:tcW w:w="3430" w:type="dxa"/>
            <w:tcBorders>
              <w:left w:val="nil"/>
            </w:tcBorders>
            <w:vAlign w:val="center"/>
          </w:tcPr>
          <w:p w14:paraId="236EBB24" w14:textId="77777777" w:rsidR="009829A9" w:rsidRPr="00AC5BEF" w:rsidRDefault="009829A9" w:rsidP="000E76A5">
            <w:pPr>
              <w:pStyle w:val="TableText"/>
            </w:pPr>
            <w:r w:rsidRPr="00AC5BEF">
              <w:t>South Coast AQMD</w:t>
            </w:r>
            <w:r>
              <w:t xml:space="preserve"> (Southwest San Bernardino, South Los Angeles, Orange, and Western Riverside County)</w:t>
            </w:r>
          </w:p>
        </w:tc>
        <w:tc>
          <w:tcPr>
            <w:tcW w:w="1574" w:type="dxa"/>
            <w:vAlign w:val="center"/>
          </w:tcPr>
          <w:p w14:paraId="6A0E13B1" w14:textId="77777777" w:rsidR="009829A9" w:rsidRPr="00AC5BEF" w:rsidRDefault="009829A9" w:rsidP="000E76A5">
            <w:pPr>
              <w:pStyle w:val="TableText"/>
            </w:pPr>
            <w:r>
              <w:t xml:space="preserve">75 </w:t>
            </w:r>
            <w:proofErr w:type="spellStart"/>
            <w:r>
              <w:t>lb</w:t>
            </w:r>
            <w:proofErr w:type="spellEnd"/>
            <w:r>
              <w:t>/day</w:t>
            </w:r>
          </w:p>
        </w:tc>
        <w:tc>
          <w:tcPr>
            <w:tcW w:w="1574" w:type="dxa"/>
            <w:vAlign w:val="center"/>
          </w:tcPr>
          <w:p w14:paraId="39164F4F" w14:textId="77777777" w:rsidR="009829A9" w:rsidRPr="00AC5BEF" w:rsidRDefault="009829A9" w:rsidP="000E76A5">
            <w:pPr>
              <w:pStyle w:val="TableText"/>
            </w:pPr>
            <w:r>
              <w:t xml:space="preserve">55 </w:t>
            </w:r>
            <w:proofErr w:type="spellStart"/>
            <w:r>
              <w:t>lb</w:t>
            </w:r>
            <w:proofErr w:type="spellEnd"/>
            <w:r>
              <w:t>/day</w:t>
            </w:r>
          </w:p>
        </w:tc>
        <w:tc>
          <w:tcPr>
            <w:tcW w:w="1574" w:type="dxa"/>
            <w:vAlign w:val="center"/>
          </w:tcPr>
          <w:p w14:paraId="27ED53A8" w14:textId="77777777" w:rsidR="009829A9" w:rsidRPr="00AC5BEF" w:rsidRDefault="009829A9" w:rsidP="000E76A5">
            <w:pPr>
              <w:pStyle w:val="TableText"/>
            </w:pPr>
            <w:r>
              <w:t xml:space="preserve">100 </w:t>
            </w:r>
            <w:proofErr w:type="spellStart"/>
            <w:r>
              <w:t>lb</w:t>
            </w:r>
            <w:proofErr w:type="spellEnd"/>
            <w:r>
              <w:t>/day</w:t>
            </w:r>
          </w:p>
        </w:tc>
        <w:tc>
          <w:tcPr>
            <w:tcW w:w="1574" w:type="dxa"/>
            <w:vAlign w:val="center"/>
          </w:tcPr>
          <w:p w14:paraId="56AF1238" w14:textId="77777777" w:rsidR="009829A9" w:rsidRPr="00AC5BEF" w:rsidRDefault="009829A9" w:rsidP="000E76A5">
            <w:pPr>
              <w:pStyle w:val="TableText"/>
            </w:pPr>
            <w:r>
              <w:t xml:space="preserve">55 </w:t>
            </w:r>
            <w:proofErr w:type="spellStart"/>
            <w:r>
              <w:t>lb</w:t>
            </w:r>
            <w:proofErr w:type="spellEnd"/>
            <w:r>
              <w:t>/day</w:t>
            </w:r>
          </w:p>
        </w:tc>
        <w:tc>
          <w:tcPr>
            <w:tcW w:w="1574" w:type="dxa"/>
            <w:vAlign w:val="center"/>
          </w:tcPr>
          <w:p w14:paraId="155AE568" w14:textId="77777777" w:rsidR="009829A9" w:rsidRPr="00AC5BEF" w:rsidRDefault="009829A9" w:rsidP="000E76A5">
            <w:pPr>
              <w:pStyle w:val="TableText"/>
            </w:pPr>
            <w:r>
              <w:t xml:space="preserve">150 </w:t>
            </w:r>
            <w:proofErr w:type="spellStart"/>
            <w:r>
              <w:t>lb</w:t>
            </w:r>
            <w:proofErr w:type="spellEnd"/>
            <w:r>
              <w:t>/day</w:t>
            </w:r>
          </w:p>
        </w:tc>
        <w:tc>
          <w:tcPr>
            <w:tcW w:w="1575" w:type="dxa"/>
            <w:vAlign w:val="center"/>
          </w:tcPr>
          <w:p w14:paraId="5B1F924F" w14:textId="77777777" w:rsidR="009829A9" w:rsidRPr="00AC5BEF" w:rsidRDefault="009829A9" w:rsidP="000E76A5">
            <w:pPr>
              <w:pStyle w:val="TableText"/>
            </w:pPr>
            <w:r>
              <w:t xml:space="preserve">150 </w:t>
            </w:r>
            <w:proofErr w:type="spellStart"/>
            <w:r>
              <w:t>lb</w:t>
            </w:r>
            <w:proofErr w:type="spellEnd"/>
            <w:r>
              <w:t>/day</w:t>
            </w:r>
          </w:p>
        </w:tc>
        <w:tc>
          <w:tcPr>
            <w:tcW w:w="1574" w:type="dxa"/>
            <w:vAlign w:val="center"/>
          </w:tcPr>
          <w:p w14:paraId="653CBE22" w14:textId="77777777" w:rsidR="009829A9" w:rsidRPr="00AC5BEF" w:rsidRDefault="009829A9" w:rsidP="000E76A5">
            <w:pPr>
              <w:pStyle w:val="TableText"/>
            </w:pPr>
            <w:r>
              <w:t xml:space="preserve">55 </w:t>
            </w:r>
            <w:proofErr w:type="spellStart"/>
            <w:r>
              <w:t>lb</w:t>
            </w:r>
            <w:proofErr w:type="spellEnd"/>
            <w:r>
              <w:t>/day</w:t>
            </w:r>
          </w:p>
        </w:tc>
        <w:tc>
          <w:tcPr>
            <w:tcW w:w="1574" w:type="dxa"/>
            <w:vAlign w:val="center"/>
          </w:tcPr>
          <w:p w14:paraId="66570B98" w14:textId="77777777" w:rsidR="009829A9" w:rsidRPr="00AC5BEF" w:rsidRDefault="009829A9" w:rsidP="000E76A5">
            <w:pPr>
              <w:pStyle w:val="TableText"/>
            </w:pPr>
            <w:r>
              <w:t xml:space="preserve">55 </w:t>
            </w:r>
            <w:proofErr w:type="spellStart"/>
            <w:r>
              <w:t>lb</w:t>
            </w:r>
            <w:proofErr w:type="spellEnd"/>
            <w:r>
              <w:t>/day</w:t>
            </w:r>
          </w:p>
        </w:tc>
        <w:tc>
          <w:tcPr>
            <w:tcW w:w="1574" w:type="dxa"/>
            <w:vAlign w:val="center"/>
          </w:tcPr>
          <w:p w14:paraId="3464BFFA" w14:textId="77777777" w:rsidR="009829A9" w:rsidRPr="00AC5BEF" w:rsidRDefault="009829A9" w:rsidP="000E76A5">
            <w:pPr>
              <w:pStyle w:val="TableText"/>
            </w:pPr>
            <w:r>
              <w:t xml:space="preserve">150 </w:t>
            </w:r>
            <w:proofErr w:type="spellStart"/>
            <w:r>
              <w:t>lb</w:t>
            </w:r>
            <w:proofErr w:type="spellEnd"/>
            <w:r>
              <w:t>/day</w:t>
            </w:r>
          </w:p>
        </w:tc>
        <w:tc>
          <w:tcPr>
            <w:tcW w:w="1574" w:type="dxa"/>
            <w:vAlign w:val="center"/>
          </w:tcPr>
          <w:p w14:paraId="1825BA08" w14:textId="77777777" w:rsidR="009829A9" w:rsidRPr="00AC5BEF" w:rsidRDefault="009829A9" w:rsidP="000E76A5">
            <w:pPr>
              <w:pStyle w:val="TableText"/>
            </w:pPr>
            <w:r>
              <w:t xml:space="preserve">150 </w:t>
            </w:r>
            <w:proofErr w:type="spellStart"/>
            <w:r>
              <w:t>lb</w:t>
            </w:r>
            <w:proofErr w:type="spellEnd"/>
            <w:r>
              <w:t>/day</w:t>
            </w:r>
          </w:p>
        </w:tc>
        <w:tc>
          <w:tcPr>
            <w:tcW w:w="1574" w:type="dxa"/>
            <w:vAlign w:val="center"/>
          </w:tcPr>
          <w:p w14:paraId="7A5E8112" w14:textId="77777777" w:rsidR="009829A9" w:rsidRPr="00AC5BEF" w:rsidRDefault="009829A9" w:rsidP="000E76A5">
            <w:pPr>
              <w:pStyle w:val="TableText"/>
            </w:pPr>
            <w:r>
              <w:t xml:space="preserve">550 </w:t>
            </w:r>
            <w:proofErr w:type="spellStart"/>
            <w:r>
              <w:t>lb</w:t>
            </w:r>
            <w:proofErr w:type="spellEnd"/>
            <w:r>
              <w:t>/day</w:t>
            </w:r>
          </w:p>
        </w:tc>
        <w:tc>
          <w:tcPr>
            <w:tcW w:w="1575" w:type="dxa"/>
            <w:tcBorders>
              <w:right w:val="nil"/>
            </w:tcBorders>
            <w:vAlign w:val="center"/>
          </w:tcPr>
          <w:p w14:paraId="168A8A46" w14:textId="77777777" w:rsidR="009829A9" w:rsidRPr="00AC5BEF" w:rsidRDefault="009829A9" w:rsidP="000E76A5">
            <w:pPr>
              <w:pStyle w:val="TableText"/>
            </w:pPr>
            <w:r>
              <w:t xml:space="preserve">55 </w:t>
            </w:r>
            <w:proofErr w:type="spellStart"/>
            <w:r>
              <w:t>lb</w:t>
            </w:r>
            <w:proofErr w:type="spellEnd"/>
            <w:r>
              <w:t>/day</w:t>
            </w:r>
          </w:p>
        </w:tc>
      </w:tr>
      <w:tr w:rsidR="009829A9" w14:paraId="0D50A25F" w14:textId="77777777" w:rsidTr="00800DA6">
        <w:trPr>
          <w:trHeight w:val="20"/>
          <w:jc w:val="center"/>
        </w:trPr>
        <w:tc>
          <w:tcPr>
            <w:tcW w:w="3430" w:type="dxa"/>
            <w:tcBorders>
              <w:left w:val="nil"/>
            </w:tcBorders>
            <w:vAlign w:val="center"/>
          </w:tcPr>
          <w:p w14:paraId="57723CC6" w14:textId="77777777" w:rsidR="009829A9" w:rsidRPr="00AC5BEF" w:rsidRDefault="009829A9" w:rsidP="000E76A5">
            <w:pPr>
              <w:pStyle w:val="TableText"/>
            </w:pPr>
            <w:r w:rsidRPr="00AC5BEF">
              <w:t>Tehama County APCD</w:t>
            </w:r>
            <w:r>
              <w:t>*</w:t>
            </w:r>
          </w:p>
        </w:tc>
        <w:tc>
          <w:tcPr>
            <w:tcW w:w="1574" w:type="dxa"/>
            <w:vAlign w:val="center"/>
          </w:tcPr>
          <w:p w14:paraId="54926F4A" w14:textId="77777777" w:rsidR="009829A9" w:rsidRDefault="009829A9" w:rsidP="000E76A5">
            <w:pPr>
              <w:pStyle w:val="TableText"/>
            </w:pPr>
            <w:r>
              <w:t xml:space="preserve">≤25 </w:t>
            </w:r>
            <w:proofErr w:type="spellStart"/>
            <w:r>
              <w:t>lb</w:t>
            </w:r>
            <w:proofErr w:type="spellEnd"/>
            <w:r>
              <w:t>/day (Level A/MND or ND)</w:t>
            </w:r>
          </w:p>
          <w:p w14:paraId="10C45149" w14:textId="77777777" w:rsidR="009829A9" w:rsidRDefault="009829A9" w:rsidP="000E76A5">
            <w:pPr>
              <w:pStyle w:val="TableText"/>
            </w:pPr>
            <w:r>
              <w:t xml:space="preserve">&gt;25 </w:t>
            </w:r>
            <w:proofErr w:type="spellStart"/>
            <w:r>
              <w:t>lb</w:t>
            </w:r>
            <w:proofErr w:type="spellEnd"/>
            <w:r>
              <w:t xml:space="preserve">/day (Level B/MND or EIR) &gt;137 </w:t>
            </w:r>
            <w:proofErr w:type="spellStart"/>
            <w:r>
              <w:t>lb</w:t>
            </w:r>
            <w:proofErr w:type="spellEnd"/>
            <w:r>
              <w:t>/day (Level C/EIR)</w:t>
            </w:r>
          </w:p>
        </w:tc>
        <w:tc>
          <w:tcPr>
            <w:tcW w:w="1574" w:type="dxa"/>
            <w:vAlign w:val="center"/>
          </w:tcPr>
          <w:p w14:paraId="566F2A78" w14:textId="77777777" w:rsidR="009829A9" w:rsidRDefault="009829A9" w:rsidP="000E76A5">
            <w:pPr>
              <w:pStyle w:val="TableText"/>
            </w:pPr>
            <w:r>
              <w:t xml:space="preserve">≤25 </w:t>
            </w:r>
            <w:proofErr w:type="spellStart"/>
            <w:r>
              <w:t>lb</w:t>
            </w:r>
            <w:proofErr w:type="spellEnd"/>
            <w:r>
              <w:t>/day (Level A/MND or ND)</w:t>
            </w:r>
          </w:p>
          <w:p w14:paraId="01BD2C58" w14:textId="77777777" w:rsidR="009829A9" w:rsidRDefault="009829A9" w:rsidP="000E76A5">
            <w:pPr>
              <w:pStyle w:val="TableText"/>
            </w:pPr>
            <w:r>
              <w:t xml:space="preserve">&gt;25 </w:t>
            </w:r>
            <w:proofErr w:type="spellStart"/>
            <w:r>
              <w:t>lb</w:t>
            </w:r>
            <w:proofErr w:type="spellEnd"/>
            <w:r>
              <w:t xml:space="preserve">/day (Level B/MND or EIR) &gt;137 </w:t>
            </w:r>
            <w:proofErr w:type="spellStart"/>
            <w:r>
              <w:t>lb</w:t>
            </w:r>
            <w:proofErr w:type="spellEnd"/>
            <w:r>
              <w:t>/day (Level C/EIR)</w:t>
            </w:r>
          </w:p>
        </w:tc>
        <w:tc>
          <w:tcPr>
            <w:tcW w:w="1574" w:type="dxa"/>
            <w:vAlign w:val="center"/>
          </w:tcPr>
          <w:p w14:paraId="515ACAEA" w14:textId="77777777" w:rsidR="009829A9" w:rsidRPr="00DC13DB" w:rsidRDefault="009829A9" w:rsidP="000E76A5">
            <w:pPr>
              <w:pStyle w:val="TableText"/>
            </w:pPr>
            <w:r w:rsidRPr="00434C59">
              <w:t>≤</w:t>
            </w:r>
            <w:r w:rsidRPr="00DC13DB">
              <w:t xml:space="preserve">25 </w:t>
            </w:r>
            <w:proofErr w:type="spellStart"/>
            <w:r w:rsidRPr="00DC13DB">
              <w:t>lb</w:t>
            </w:r>
            <w:proofErr w:type="spellEnd"/>
            <w:r w:rsidRPr="00DC13DB">
              <w:t>/day (Level A</w:t>
            </w:r>
            <w:r>
              <w:t>/MND or ND</w:t>
            </w:r>
            <w:r w:rsidRPr="00DC13DB">
              <w:t>)</w:t>
            </w:r>
          </w:p>
          <w:p w14:paraId="23274D87" w14:textId="77777777" w:rsidR="009829A9" w:rsidRPr="00DC13DB" w:rsidRDefault="009829A9" w:rsidP="000E76A5">
            <w:pPr>
              <w:pStyle w:val="TableText"/>
            </w:pPr>
            <w:r w:rsidRPr="00DC13DB">
              <w:t xml:space="preserve">&gt;25 </w:t>
            </w:r>
            <w:proofErr w:type="spellStart"/>
            <w:r w:rsidRPr="00DC13DB">
              <w:t>lb</w:t>
            </w:r>
            <w:proofErr w:type="spellEnd"/>
            <w:r w:rsidRPr="00DC13DB">
              <w:t>/day (Level B</w:t>
            </w:r>
            <w:r>
              <w:t>/MND or EIR</w:t>
            </w:r>
            <w:r w:rsidRPr="00DC13DB">
              <w:t xml:space="preserve">) &gt;137 </w:t>
            </w:r>
            <w:proofErr w:type="spellStart"/>
            <w:r w:rsidRPr="00DC13DB">
              <w:t>lb</w:t>
            </w:r>
            <w:proofErr w:type="spellEnd"/>
            <w:r w:rsidRPr="00DC13DB">
              <w:t>/day (Level C</w:t>
            </w:r>
            <w:r>
              <w:t>/EIR</w:t>
            </w:r>
            <w:r w:rsidRPr="00DC13DB">
              <w:t>)</w:t>
            </w:r>
          </w:p>
        </w:tc>
        <w:tc>
          <w:tcPr>
            <w:tcW w:w="1574" w:type="dxa"/>
            <w:vAlign w:val="center"/>
          </w:tcPr>
          <w:p w14:paraId="35D5E858" w14:textId="77777777" w:rsidR="009829A9" w:rsidRPr="00DC13DB" w:rsidRDefault="009829A9" w:rsidP="000E76A5">
            <w:pPr>
              <w:pStyle w:val="TableText"/>
            </w:pPr>
            <w:r w:rsidRPr="00434C59">
              <w:t>≤</w:t>
            </w:r>
            <w:r w:rsidRPr="00DC13DB">
              <w:t xml:space="preserve">25 </w:t>
            </w:r>
            <w:proofErr w:type="spellStart"/>
            <w:r w:rsidRPr="00DC13DB">
              <w:t>lb</w:t>
            </w:r>
            <w:proofErr w:type="spellEnd"/>
            <w:r w:rsidRPr="00DC13DB">
              <w:t>/day (Level A</w:t>
            </w:r>
            <w:r>
              <w:t>/MND or ND</w:t>
            </w:r>
            <w:r w:rsidRPr="00DC13DB">
              <w:t>)</w:t>
            </w:r>
          </w:p>
          <w:p w14:paraId="6A3F4990" w14:textId="77777777" w:rsidR="009829A9" w:rsidRDefault="009829A9" w:rsidP="000E76A5">
            <w:pPr>
              <w:pStyle w:val="TableText"/>
            </w:pPr>
            <w:r w:rsidRPr="00DC13DB">
              <w:t xml:space="preserve">&gt;25 </w:t>
            </w:r>
            <w:proofErr w:type="spellStart"/>
            <w:r w:rsidRPr="00DC13DB">
              <w:t>lb</w:t>
            </w:r>
            <w:proofErr w:type="spellEnd"/>
            <w:r w:rsidRPr="00DC13DB">
              <w:t>/day (Level B</w:t>
            </w:r>
            <w:r>
              <w:t>/MND or EIR</w:t>
            </w:r>
            <w:r w:rsidRPr="00DC13DB">
              <w:t xml:space="preserve">) &gt;137 </w:t>
            </w:r>
            <w:proofErr w:type="spellStart"/>
            <w:r w:rsidRPr="00DC13DB">
              <w:t>lb</w:t>
            </w:r>
            <w:proofErr w:type="spellEnd"/>
            <w:r w:rsidRPr="00DC13DB">
              <w:t>/day (Level C</w:t>
            </w:r>
            <w:r>
              <w:t>/EIR</w:t>
            </w:r>
            <w:r w:rsidRPr="00DC13DB">
              <w:t>)</w:t>
            </w:r>
          </w:p>
        </w:tc>
        <w:tc>
          <w:tcPr>
            <w:tcW w:w="1574" w:type="dxa"/>
            <w:vAlign w:val="center"/>
          </w:tcPr>
          <w:p w14:paraId="18F6121A" w14:textId="77777777" w:rsidR="009829A9" w:rsidRDefault="009829A9" w:rsidP="000E76A5">
            <w:pPr>
              <w:pStyle w:val="TableText"/>
            </w:pPr>
            <w:r w:rsidRPr="00434C59">
              <w:t>≤</w:t>
            </w:r>
            <w:r>
              <w:t xml:space="preserve">80 </w:t>
            </w:r>
            <w:proofErr w:type="spellStart"/>
            <w:r>
              <w:t>lb</w:t>
            </w:r>
            <w:proofErr w:type="spellEnd"/>
            <w:r>
              <w:t>/day (Level A/MND or ND)</w:t>
            </w:r>
          </w:p>
          <w:p w14:paraId="33211B6E" w14:textId="77777777" w:rsidR="009829A9" w:rsidRDefault="009829A9" w:rsidP="000E76A5">
            <w:pPr>
              <w:pStyle w:val="TableText"/>
            </w:pPr>
            <w:r>
              <w:t xml:space="preserve">&gt;80 </w:t>
            </w:r>
            <w:proofErr w:type="spellStart"/>
            <w:r>
              <w:t>lb</w:t>
            </w:r>
            <w:proofErr w:type="spellEnd"/>
            <w:r>
              <w:t xml:space="preserve">/day (Level B/MND or EIR) &gt;137 </w:t>
            </w:r>
            <w:proofErr w:type="spellStart"/>
            <w:r>
              <w:t>lb</w:t>
            </w:r>
            <w:proofErr w:type="spellEnd"/>
            <w:r>
              <w:t>/day (Level C/EIR)</w:t>
            </w:r>
          </w:p>
        </w:tc>
        <w:tc>
          <w:tcPr>
            <w:tcW w:w="1575" w:type="dxa"/>
            <w:vAlign w:val="center"/>
          </w:tcPr>
          <w:p w14:paraId="18261657" w14:textId="77777777" w:rsidR="009829A9" w:rsidRDefault="009829A9" w:rsidP="000E76A5">
            <w:pPr>
              <w:pStyle w:val="TableText"/>
            </w:pPr>
            <w:r w:rsidRPr="00434C59">
              <w:t>≤</w:t>
            </w:r>
            <w:r>
              <w:t xml:space="preserve">80 </w:t>
            </w:r>
            <w:proofErr w:type="spellStart"/>
            <w:r>
              <w:t>lb</w:t>
            </w:r>
            <w:proofErr w:type="spellEnd"/>
            <w:r>
              <w:t>/day (Level A/MND or ND)</w:t>
            </w:r>
          </w:p>
          <w:p w14:paraId="0833D71C" w14:textId="77777777" w:rsidR="009829A9" w:rsidRDefault="009829A9" w:rsidP="000E76A5">
            <w:pPr>
              <w:pStyle w:val="TableText"/>
            </w:pPr>
            <w:r>
              <w:t xml:space="preserve">&gt;80 </w:t>
            </w:r>
            <w:proofErr w:type="spellStart"/>
            <w:r>
              <w:t>lb</w:t>
            </w:r>
            <w:proofErr w:type="spellEnd"/>
            <w:r>
              <w:t xml:space="preserve">/day (Level B/MND or EIR) &gt;137 </w:t>
            </w:r>
            <w:proofErr w:type="spellStart"/>
            <w:r>
              <w:t>lb</w:t>
            </w:r>
            <w:proofErr w:type="spellEnd"/>
            <w:r>
              <w:t>/day (Level C/EIR)</w:t>
            </w:r>
          </w:p>
        </w:tc>
        <w:tc>
          <w:tcPr>
            <w:tcW w:w="1574" w:type="dxa"/>
            <w:tcBorders>
              <w:bottom w:val="single" w:sz="4" w:space="0" w:color="auto"/>
              <w:right w:val="nil"/>
            </w:tcBorders>
            <w:vAlign w:val="center"/>
          </w:tcPr>
          <w:p w14:paraId="47CFF5EF" w14:textId="77777777" w:rsidR="009829A9" w:rsidRDefault="009829A9" w:rsidP="000E76A5">
            <w:pPr>
              <w:pStyle w:val="TableText"/>
            </w:pPr>
          </w:p>
        </w:tc>
        <w:tc>
          <w:tcPr>
            <w:tcW w:w="1574" w:type="dxa"/>
            <w:tcBorders>
              <w:left w:val="nil"/>
              <w:bottom w:val="single" w:sz="4" w:space="0" w:color="auto"/>
              <w:right w:val="nil"/>
            </w:tcBorders>
            <w:vAlign w:val="center"/>
          </w:tcPr>
          <w:p w14:paraId="101AA479" w14:textId="77777777" w:rsidR="009829A9" w:rsidRDefault="009829A9" w:rsidP="000E76A5">
            <w:pPr>
              <w:pStyle w:val="TableText"/>
            </w:pPr>
          </w:p>
        </w:tc>
        <w:tc>
          <w:tcPr>
            <w:tcW w:w="1574" w:type="dxa"/>
            <w:tcBorders>
              <w:left w:val="nil"/>
              <w:bottom w:val="single" w:sz="4" w:space="0" w:color="auto"/>
              <w:right w:val="nil"/>
            </w:tcBorders>
            <w:vAlign w:val="center"/>
          </w:tcPr>
          <w:p w14:paraId="692476D8" w14:textId="77777777" w:rsidR="009829A9" w:rsidRDefault="009829A9" w:rsidP="000E76A5">
            <w:pPr>
              <w:pStyle w:val="TableText"/>
            </w:pPr>
            <w:r>
              <w:t>No thresholds</w:t>
            </w:r>
          </w:p>
        </w:tc>
        <w:tc>
          <w:tcPr>
            <w:tcW w:w="1574" w:type="dxa"/>
            <w:tcBorders>
              <w:left w:val="nil"/>
              <w:bottom w:val="single" w:sz="4" w:space="0" w:color="auto"/>
              <w:right w:val="nil"/>
            </w:tcBorders>
            <w:vAlign w:val="center"/>
          </w:tcPr>
          <w:p w14:paraId="36F021D9" w14:textId="77777777" w:rsidR="009829A9" w:rsidRDefault="009829A9" w:rsidP="000E76A5">
            <w:pPr>
              <w:pStyle w:val="TableText"/>
            </w:pPr>
          </w:p>
        </w:tc>
        <w:tc>
          <w:tcPr>
            <w:tcW w:w="1574" w:type="dxa"/>
            <w:tcBorders>
              <w:left w:val="nil"/>
              <w:bottom w:val="single" w:sz="4" w:space="0" w:color="auto"/>
              <w:right w:val="nil"/>
            </w:tcBorders>
            <w:vAlign w:val="center"/>
          </w:tcPr>
          <w:p w14:paraId="354F5275" w14:textId="77777777" w:rsidR="009829A9" w:rsidRDefault="009829A9" w:rsidP="000E76A5">
            <w:pPr>
              <w:pStyle w:val="TableText"/>
            </w:pPr>
          </w:p>
        </w:tc>
        <w:tc>
          <w:tcPr>
            <w:tcW w:w="1575" w:type="dxa"/>
            <w:tcBorders>
              <w:left w:val="nil"/>
              <w:right w:val="nil"/>
            </w:tcBorders>
            <w:vAlign w:val="center"/>
          </w:tcPr>
          <w:p w14:paraId="3F1B1710" w14:textId="77777777" w:rsidR="009829A9" w:rsidRDefault="009829A9" w:rsidP="000E76A5">
            <w:pPr>
              <w:pStyle w:val="TableText"/>
            </w:pPr>
          </w:p>
        </w:tc>
      </w:tr>
      <w:tr w:rsidR="009829A9" w14:paraId="7E7B4642" w14:textId="77777777" w:rsidTr="00800DA6">
        <w:trPr>
          <w:trHeight w:val="20"/>
          <w:jc w:val="center"/>
        </w:trPr>
        <w:tc>
          <w:tcPr>
            <w:tcW w:w="3430" w:type="dxa"/>
            <w:tcBorders>
              <w:left w:val="nil"/>
            </w:tcBorders>
            <w:vAlign w:val="center"/>
          </w:tcPr>
          <w:p w14:paraId="6971DD04" w14:textId="77777777" w:rsidR="009829A9" w:rsidRPr="00AC5BEF" w:rsidRDefault="009829A9" w:rsidP="000E76A5">
            <w:pPr>
              <w:pStyle w:val="TableText"/>
            </w:pPr>
            <w:r w:rsidRPr="00AC5BEF">
              <w:t>Tuolumne County APCD</w:t>
            </w:r>
            <w:r>
              <w:t>*</w:t>
            </w:r>
          </w:p>
        </w:tc>
        <w:tc>
          <w:tcPr>
            <w:tcW w:w="1574" w:type="dxa"/>
            <w:vAlign w:val="center"/>
          </w:tcPr>
          <w:p w14:paraId="5038DFBC" w14:textId="54F938F8" w:rsidR="009829A9" w:rsidRDefault="009829A9" w:rsidP="000E76A5">
            <w:pPr>
              <w:pStyle w:val="TableText"/>
            </w:pPr>
            <w:r>
              <w:t xml:space="preserve">1,000 </w:t>
            </w:r>
            <w:proofErr w:type="spellStart"/>
            <w:r>
              <w:t>lb</w:t>
            </w:r>
            <w:proofErr w:type="spellEnd"/>
            <w:r>
              <w:t>/day or</w:t>
            </w:r>
            <w:r w:rsidR="00800DA6">
              <w:br/>
            </w:r>
            <w:r>
              <w:t xml:space="preserve">100 </w:t>
            </w:r>
            <w:proofErr w:type="spellStart"/>
            <w:r>
              <w:t>tpy</w:t>
            </w:r>
            <w:proofErr w:type="spellEnd"/>
          </w:p>
        </w:tc>
        <w:tc>
          <w:tcPr>
            <w:tcW w:w="1574" w:type="dxa"/>
            <w:vAlign w:val="center"/>
          </w:tcPr>
          <w:p w14:paraId="30EBFDBF" w14:textId="67951BAF" w:rsidR="009829A9" w:rsidRDefault="009829A9" w:rsidP="000E76A5">
            <w:pPr>
              <w:pStyle w:val="TableText"/>
            </w:pPr>
            <w:r>
              <w:t xml:space="preserve">1,000 </w:t>
            </w:r>
            <w:proofErr w:type="spellStart"/>
            <w:r>
              <w:t>lb</w:t>
            </w:r>
            <w:proofErr w:type="spellEnd"/>
            <w:r>
              <w:t>/day or </w:t>
            </w:r>
            <w:r w:rsidR="00800DA6">
              <w:br/>
            </w:r>
            <w:r>
              <w:t xml:space="preserve">100 </w:t>
            </w:r>
            <w:proofErr w:type="spellStart"/>
            <w:r>
              <w:t>tpy</w:t>
            </w:r>
            <w:proofErr w:type="spellEnd"/>
          </w:p>
        </w:tc>
        <w:tc>
          <w:tcPr>
            <w:tcW w:w="1574" w:type="dxa"/>
            <w:vAlign w:val="center"/>
          </w:tcPr>
          <w:p w14:paraId="6872690B" w14:textId="7F7C88B2" w:rsidR="009829A9" w:rsidRDefault="009829A9" w:rsidP="000E76A5">
            <w:pPr>
              <w:pStyle w:val="TableText"/>
            </w:pPr>
            <w:r>
              <w:t xml:space="preserve">1,000 </w:t>
            </w:r>
            <w:proofErr w:type="spellStart"/>
            <w:r>
              <w:t>lb</w:t>
            </w:r>
            <w:proofErr w:type="spellEnd"/>
            <w:r>
              <w:t>/day or </w:t>
            </w:r>
            <w:r w:rsidR="00800DA6">
              <w:br/>
            </w:r>
            <w:r>
              <w:t xml:space="preserve">100 </w:t>
            </w:r>
            <w:proofErr w:type="spellStart"/>
            <w:r>
              <w:t>tpy</w:t>
            </w:r>
            <w:proofErr w:type="spellEnd"/>
          </w:p>
        </w:tc>
        <w:tc>
          <w:tcPr>
            <w:tcW w:w="1574" w:type="dxa"/>
            <w:vAlign w:val="center"/>
          </w:tcPr>
          <w:p w14:paraId="0834B0FA" w14:textId="04F67F41" w:rsidR="009829A9" w:rsidRDefault="009829A9" w:rsidP="000E76A5">
            <w:pPr>
              <w:pStyle w:val="TableText"/>
            </w:pPr>
            <w:r>
              <w:t xml:space="preserve">1,000 </w:t>
            </w:r>
            <w:proofErr w:type="spellStart"/>
            <w:r>
              <w:t>lb</w:t>
            </w:r>
            <w:proofErr w:type="spellEnd"/>
            <w:r>
              <w:t>/day or </w:t>
            </w:r>
            <w:r w:rsidR="00800DA6">
              <w:br/>
            </w:r>
            <w:r>
              <w:t xml:space="preserve">100 </w:t>
            </w:r>
            <w:proofErr w:type="spellStart"/>
            <w:r>
              <w:t>tpy</w:t>
            </w:r>
            <w:proofErr w:type="spellEnd"/>
          </w:p>
        </w:tc>
        <w:tc>
          <w:tcPr>
            <w:tcW w:w="1574" w:type="dxa"/>
            <w:tcBorders>
              <w:bottom w:val="single" w:sz="4" w:space="0" w:color="auto"/>
            </w:tcBorders>
            <w:vAlign w:val="center"/>
          </w:tcPr>
          <w:p w14:paraId="68762276" w14:textId="14A47A5A" w:rsidR="009829A9" w:rsidRDefault="009829A9" w:rsidP="000E76A5">
            <w:pPr>
              <w:pStyle w:val="TableText"/>
            </w:pPr>
            <w:r>
              <w:t xml:space="preserve">1,000 </w:t>
            </w:r>
            <w:proofErr w:type="spellStart"/>
            <w:r>
              <w:t>lb</w:t>
            </w:r>
            <w:proofErr w:type="spellEnd"/>
            <w:r>
              <w:t>/day or </w:t>
            </w:r>
            <w:r w:rsidR="00800DA6">
              <w:br/>
            </w:r>
            <w:r>
              <w:t xml:space="preserve">100 </w:t>
            </w:r>
            <w:proofErr w:type="spellStart"/>
            <w:r>
              <w:t>tpy</w:t>
            </w:r>
            <w:proofErr w:type="spellEnd"/>
          </w:p>
        </w:tc>
        <w:tc>
          <w:tcPr>
            <w:tcW w:w="1575" w:type="dxa"/>
            <w:tcBorders>
              <w:bottom w:val="single" w:sz="4" w:space="0" w:color="auto"/>
            </w:tcBorders>
            <w:vAlign w:val="center"/>
          </w:tcPr>
          <w:p w14:paraId="1714F930" w14:textId="1966B7C3" w:rsidR="009829A9" w:rsidRDefault="009829A9" w:rsidP="000E76A5">
            <w:pPr>
              <w:pStyle w:val="TableText"/>
            </w:pPr>
            <w:r>
              <w:t xml:space="preserve">1,000 </w:t>
            </w:r>
            <w:proofErr w:type="spellStart"/>
            <w:r>
              <w:t>lb</w:t>
            </w:r>
            <w:proofErr w:type="spellEnd"/>
            <w:r>
              <w:t>/day or </w:t>
            </w:r>
            <w:r w:rsidR="00800DA6">
              <w:br/>
            </w:r>
            <w:r>
              <w:t xml:space="preserve">100 </w:t>
            </w:r>
            <w:proofErr w:type="spellStart"/>
            <w:r>
              <w:t>tpy</w:t>
            </w:r>
            <w:proofErr w:type="spellEnd"/>
          </w:p>
        </w:tc>
        <w:tc>
          <w:tcPr>
            <w:tcW w:w="1574" w:type="dxa"/>
            <w:tcBorders>
              <w:bottom w:val="single" w:sz="4" w:space="0" w:color="auto"/>
              <w:right w:val="nil"/>
            </w:tcBorders>
            <w:vAlign w:val="center"/>
          </w:tcPr>
          <w:p w14:paraId="1AA864A1" w14:textId="77777777" w:rsidR="009829A9" w:rsidRDefault="009829A9" w:rsidP="000E76A5">
            <w:pPr>
              <w:pStyle w:val="TableText"/>
            </w:pPr>
          </w:p>
        </w:tc>
        <w:tc>
          <w:tcPr>
            <w:tcW w:w="1574" w:type="dxa"/>
            <w:tcBorders>
              <w:left w:val="nil"/>
              <w:bottom w:val="single" w:sz="4" w:space="0" w:color="auto"/>
              <w:right w:val="nil"/>
            </w:tcBorders>
            <w:vAlign w:val="center"/>
          </w:tcPr>
          <w:p w14:paraId="49294530" w14:textId="77777777" w:rsidR="009829A9" w:rsidRDefault="009829A9" w:rsidP="000E76A5">
            <w:pPr>
              <w:pStyle w:val="TableText"/>
            </w:pPr>
            <w:r>
              <w:t>No thresholds</w:t>
            </w:r>
          </w:p>
        </w:tc>
        <w:tc>
          <w:tcPr>
            <w:tcW w:w="1574" w:type="dxa"/>
            <w:tcBorders>
              <w:left w:val="nil"/>
              <w:bottom w:val="single" w:sz="4" w:space="0" w:color="auto"/>
              <w:right w:val="nil"/>
            </w:tcBorders>
            <w:vAlign w:val="center"/>
          </w:tcPr>
          <w:p w14:paraId="4F500DF7" w14:textId="77777777" w:rsidR="009829A9" w:rsidRDefault="009829A9" w:rsidP="000E76A5">
            <w:pPr>
              <w:pStyle w:val="TableText"/>
            </w:pPr>
          </w:p>
        </w:tc>
        <w:tc>
          <w:tcPr>
            <w:tcW w:w="1574" w:type="dxa"/>
            <w:tcBorders>
              <w:left w:val="nil"/>
              <w:bottom w:val="single" w:sz="4" w:space="0" w:color="auto"/>
            </w:tcBorders>
            <w:vAlign w:val="center"/>
          </w:tcPr>
          <w:p w14:paraId="4D349A2A" w14:textId="77777777" w:rsidR="009829A9" w:rsidRDefault="009829A9" w:rsidP="000E76A5">
            <w:pPr>
              <w:pStyle w:val="TableText"/>
            </w:pPr>
          </w:p>
        </w:tc>
        <w:tc>
          <w:tcPr>
            <w:tcW w:w="1574" w:type="dxa"/>
            <w:tcBorders>
              <w:bottom w:val="single" w:sz="4" w:space="0" w:color="auto"/>
            </w:tcBorders>
            <w:vAlign w:val="center"/>
          </w:tcPr>
          <w:p w14:paraId="760B2A80" w14:textId="0B874CB1" w:rsidR="009829A9" w:rsidRDefault="009829A9" w:rsidP="000E76A5">
            <w:pPr>
              <w:pStyle w:val="TableText"/>
            </w:pPr>
            <w:r>
              <w:t xml:space="preserve">1,000 </w:t>
            </w:r>
            <w:proofErr w:type="spellStart"/>
            <w:r>
              <w:t>lb</w:t>
            </w:r>
            <w:proofErr w:type="spellEnd"/>
            <w:r>
              <w:t>/day or</w:t>
            </w:r>
            <w:r w:rsidR="00800DA6">
              <w:br/>
            </w:r>
            <w:r>
              <w:t xml:space="preserve">100 </w:t>
            </w:r>
            <w:proofErr w:type="spellStart"/>
            <w:r>
              <w:t>tpy</w:t>
            </w:r>
            <w:proofErr w:type="spellEnd"/>
          </w:p>
        </w:tc>
        <w:tc>
          <w:tcPr>
            <w:tcW w:w="1575" w:type="dxa"/>
            <w:tcBorders>
              <w:bottom w:val="single" w:sz="4" w:space="0" w:color="auto"/>
            </w:tcBorders>
            <w:vAlign w:val="center"/>
          </w:tcPr>
          <w:p w14:paraId="256A6A43" w14:textId="7239624E" w:rsidR="009829A9" w:rsidRDefault="009829A9" w:rsidP="000E76A5">
            <w:pPr>
              <w:pStyle w:val="TableText"/>
            </w:pPr>
            <w:r>
              <w:t xml:space="preserve">1,000 </w:t>
            </w:r>
            <w:proofErr w:type="spellStart"/>
            <w:r>
              <w:t>lb</w:t>
            </w:r>
            <w:proofErr w:type="spellEnd"/>
            <w:r>
              <w:t>/day or</w:t>
            </w:r>
            <w:r w:rsidR="00800DA6">
              <w:br/>
            </w:r>
            <w:r>
              <w:t xml:space="preserve">100 </w:t>
            </w:r>
            <w:proofErr w:type="spellStart"/>
            <w:r>
              <w:t>tpy</w:t>
            </w:r>
            <w:proofErr w:type="spellEnd"/>
          </w:p>
        </w:tc>
      </w:tr>
      <w:tr w:rsidR="009829A9" w14:paraId="2CBC8848" w14:textId="77777777" w:rsidTr="00800DA6">
        <w:trPr>
          <w:trHeight w:val="20"/>
          <w:jc w:val="center"/>
        </w:trPr>
        <w:tc>
          <w:tcPr>
            <w:tcW w:w="3430" w:type="dxa"/>
            <w:tcBorders>
              <w:left w:val="nil"/>
            </w:tcBorders>
            <w:vAlign w:val="center"/>
          </w:tcPr>
          <w:p w14:paraId="5A433B79" w14:textId="77777777" w:rsidR="009829A9" w:rsidRPr="00AC5BEF" w:rsidRDefault="009829A9" w:rsidP="000E76A5">
            <w:pPr>
              <w:pStyle w:val="TableText"/>
            </w:pPr>
            <w:r w:rsidRPr="00AC5BEF">
              <w:t>Ventura County APCD</w:t>
            </w:r>
            <w:r>
              <w:t>*</w:t>
            </w:r>
          </w:p>
        </w:tc>
        <w:tc>
          <w:tcPr>
            <w:tcW w:w="1574" w:type="dxa"/>
            <w:vAlign w:val="center"/>
          </w:tcPr>
          <w:p w14:paraId="604D8791" w14:textId="77777777" w:rsidR="009829A9" w:rsidRPr="00A742E3" w:rsidRDefault="009829A9" w:rsidP="000E76A5">
            <w:pPr>
              <w:pStyle w:val="TableText"/>
              <w:rPr>
                <w:spacing w:val="-2"/>
              </w:rPr>
            </w:pPr>
            <w:r w:rsidRPr="00A742E3">
              <w:rPr>
                <w:spacing w:val="-2"/>
              </w:rPr>
              <w:t xml:space="preserve">25 </w:t>
            </w:r>
            <w:proofErr w:type="spellStart"/>
            <w:r w:rsidRPr="00A742E3">
              <w:rPr>
                <w:spacing w:val="-2"/>
              </w:rPr>
              <w:t>lb</w:t>
            </w:r>
            <w:proofErr w:type="spellEnd"/>
            <w:r w:rsidRPr="00A742E3">
              <w:rPr>
                <w:spacing w:val="-2"/>
              </w:rPr>
              <w:t>/day (Ventura County minus Ojai and Simi Valley planning areas)</w:t>
            </w:r>
          </w:p>
          <w:p w14:paraId="1956B41F" w14:textId="77777777" w:rsidR="009829A9" w:rsidRPr="00A742E3" w:rsidRDefault="009829A9" w:rsidP="000E76A5">
            <w:pPr>
              <w:pStyle w:val="TableText"/>
              <w:rPr>
                <w:spacing w:val="-2"/>
              </w:rPr>
            </w:pPr>
            <w:r w:rsidRPr="00A742E3">
              <w:rPr>
                <w:spacing w:val="-2"/>
              </w:rPr>
              <w:t xml:space="preserve">5 </w:t>
            </w:r>
            <w:proofErr w:type="spellStart"/>
            <w:r w:rsidRPr="00A742E3">
              <w:rPr>
                <w:spacing w:val="-2"/>
              </w:rPr>
              <w:t>lb</w:t>
            </w:r>
            <w:proofErr w:type="spellEnd"/>
            <w:r w:rsidRPr="00A742E3">
              <w:rPr>
                <w:spacing w:val="-2"/>
              </w:rPr>
              <w:t xml:space="preserve">/day (Ojai planning area) 13.7 </w:t>
            </w:r>
            <w:proofErr w:type="spellStart"/>
            <w:r w:rsidRPr="00A742E3">
              <w:rPr>
                <w:spacing w:val="-2"/>
              </w:rPr>
              <w:t>tpy</w:t>
            </w:r>
            <w:proofErr w:type="spellEnd"/>
            <w:r w:rsidRPr="00A742E3">
              <w:rPr>
                <w:spacing w:val="-2"/>
              </w:rPr>
              <w:t xml:space="preserve"> (Simi Valley)</w:t>
            </w:r>
          </w:p>
        </w:tc>
        <w:tc>
          <w:tcPr>
            <w:tcW w:w="1574" w:type="dxa"/>
            <w:vAlign w:val="center"/>
          </w:tcPr>
          <w:p w14:paraId="2E48D910" w14:textId="77777777" w:rsidR="009829A9" w:rsidRPr="00A742E3" w:rsidRDefault="009829A9" w:rsidP="000E76A5">
            <w:pPr>
              <w:pStyle w:val="TableText"/>
              <w:rPr>
                <w:spacing w:val="-2"/>
              </w:rPr>
            </w:pPr>
            <w:r w:rsidRPr="00A742E3">
              <w:rPr>
                <w:spacing w:val="-2"/>
              </w:rPr>
              <w:t xml:space="preserve">25 </w:t>
            </w:r>
            <w:proofErr w:type="spellStart"/>
            <w:r w:rsidRPr="00A742E3">
              <w:rPr>
                <w:spacing w:val="-2"/>
              </w:rPr>
              <w:t>lb</w:t>
            </w:r>
            <w:proofErr w:type="spellEnd"/>
            <w:r w:rsidRPr="00A742E3">
              <w:rPr>
                <w:spacing w:val="-2"/>
              </w:rPr>
              <w:t>/day (Ventura County minus Ojai and Simi Valley planning areas)</w:t>
            </w:r>
          </w:p>
          <w:p w14:paraId="3BBBFF73" w14:textId="77777777" w:rsidR="009829A9" w:rsidRPr="00A742E3" w:rsidRDefault="009829A9" w:rsidP="000E76A5">
            <w:pPr>
              <w:pStyle w:val="TableText"/>
              <w:rPr>
                <w:spacing w:val="-2"/>
              </w:rPr>
            </w:pPr>
            <w:r w:rsidRPr="00A742E3">
              <w:rPr>
                <w:spacing w:val="-2"/>
              </w:rPr>
              <w:t xml:space="preserve">5 </w:t>
            </w:r>
            <w:proofErr w:type="spellStart"/>
            <w:r w:rsidRPr="00A742E3">
              <w:rPr>
                <w:spacing w:val="-2"/>
              </w:rPr>
              <w:t>lb</w:t>
            </w:r>
            <w:proofErr w:type="spellEnd"/>
            <w:r w:rsidRPr="00A742E3">
              <w:rPr>
                <w:spacing w:val="-2"/>
              </w:rPr>
              <w:t xml:space="preserve">/day (Ojai planning area) 13.7 </w:t>
            </w:r>
            <w:proofErr w:type="spellStart"/>
            <w:r w:rsidRPr="00A742E3">
              <w:rPr>
                <w:spacing w:val="-2"/>
              </w:rPr>
              <w:t>tpy</w:t>
            </w:r>
            <w:proofErr w:type="spellEnd"/>
            <w:r w:rsidRPr="00A742E3">
              <w:rPr>
                <w:spacing w:val="-2"/>
              </w:rPr>
              <w:t xml:space="preserve"> (Simi Valley)</w:t>
            </w:r>
          </w:p>
        </w:tc>
        <w:tc>
          <w:tcPr>
            <w:tcW w:w="1574" w:type="dxa"/>
            <w:vAlign w:val="center"/>
          </w:tcPr>
          <w:p w14:paraId="3643A0F1" w14:textId="77777777" w:rsidR="009829A9" w:rsidRPr="00A742E3" w:rsidRDefault="009829A9" w:rsidP="000E76A5">
            <w:pPr>
              <w:pStyle w:val="TableText"/>
              <w:rPr>
                <w:spacing w:val="-2"/>
              </w:rPr>
            </w:pPr>
            <w:r w:rsidRPr="00A742E3">
              <w:rPr>
                <w:spacing w:val="-2"/>
              </w:rPr>
              <w:t xml:space="preserve">25 </w:t>
            </w:r>
            <w:proofErr w:type="spellStart"/>
            <w:r w:rsidRPr="00A742E3">
              <w:rPr>
                <w:spacing w:val="-2"/>
              </w:rPr>
              <w:t>lb</w:t>
            </w:r>
            <w:proofErr w:type="spellEnd"/>
            <w:r w:rsidRPr="00A742E3">
              <w:rPr>
                <w:spacing w:val="-2"/>
              </w:rPr>
              <w:t>/day (Ventura County minus Ojai and Simi Valley planning areas)</w:t>
            </w:r>
          </w:p>
          <w:p w14:paraId="5B81FFF0" w14:textId="77777777" w:rsidR="009829A9" w:rsidRPr="00A742E3" w:rsidRDefault="009829A9" w:rsidP="000E76A5">
            <w:pPr>
              <w:pStyle w:val="TableText"/>
              <w:rPr>
                <w:spacing w:val="-2"/>
              </w:rPr>
            </w:pPr>
            <w:r w:rsidRPr="00A742E3">
              <w:rPr>
                <w:spacing w:val="-2"/>
              </w:rPr>
              <w:t xml:space="preserve">5 </w:t>
            </w:r>
            <w:proofErr w:type="spellStart"/>
            <w:r w:rsidRPr="00A742E3">
              <w:rPr>
                <w:spacing w:val="-2"/>
              </w:rPr>
              <w:t>lb</w:t>
            </w:r>
            <w:proofErr w:type="spellEnd"/>
            <w:r w:rsidRPr="00A742E3">
              <w:rPr>
                <w:spacing w:val="-2"/>
              </w:rPr>
              <w:t xml:space="preserve">/day (Ojai planning area) 13.7 </w:t>
            </w:r>
            <w:proofErr w:type="spellStart"/>
            <w:r w:rsidRPr="00A742E3">
              <w:rPr>
                <w:spacing w:val="-2"/>
              </w:rPr>
              <w:t>tpy</w:t>
            </w:r>
            <w:proofErr w:type="spellEnd"/>
            <w:r w:rsidRPr="00A742E3">
              <w:rPr>
                <w:spacing w:val="-2"/>
              </w:rPr>
              <w:t xml:space="preserve"> (Simi Valley)</w:t>
            </w:r>
          </w:p>
        </w:tc>
        <w:tc>
          <w:tcPr>
            <w:tcW w:w="1574" w:type="dxa"/>
            <w:vAlign w:val="center"/>
          </w:tcPr>
          <w:p w14:paraId="2544717B" w14:textId="77777777" w:rsidR="009829A9" w:rsidRPr="00A742E3" w:rsidRDefault="009829A9" w:rsidP="000E76A5">
            <w:pPr>
              <w:pStyle w:val="TableText"/>
              <w:rPr>
                <w:spacing w:val="-2"/>
              </w:rPr>
            </w:pPr>
            <w:r w:rsidRPr="00A742E3">
              <w:rPr>
                <w:spacing w:val="-2"/>
              </w:rPr>
              <w:t xml:space="preserve">25 </w:t>
            </w:r>
            <w:proofErr w:type="spellStart"/>
            <w:r w:rsidRPr="00A742E3">
              <w:rPr>
                <w:spacing w:val="-2"/>
              </w:rPr>
              <w:t>lb</w:t>
            </w:r>
            <w:proofErr w:type="spellEnd"/>
            <w:r w:rsidRPr="00A742E3">
              <w:rPr>
                <w:spacing w:val="-2"/>
              </w:rPr>
              <w:t>/day (Ventura County minus Ojai and Simi Valley planning areas)</w:t>
            </w:r>
          </w:p>
          <w:p w14:paraId="4DC2469D" w14:textId="77777777" w:rsidR="009829A9" w:rsidRPr="00A742E3" w:rsidRDefault="009829A9" w:rsidP="000E76A5">
            <w:pPr>
              <w:pStyle w:val="TableText"/>
              <w:rPr>
                <w:spacing w:val="-2"/>
              </w:rPr>
            </w:pPr>
            <w:r w:rsidRPr="00A742E3">
              <w:rPr>
                <w:spacing w:val="-2"/>
              </w:rPr>
              <w:t xml:space="preserve">5 </w:t>
            </w:r>
            <w:proofErr w:type="spellStart"/>
            <w:r w:rsidRPr="00A742E3">
              <w:rPr>
                <w:spacing w:val="-2"/>
              </w:rPr>
              <w:t>lb</w:t>
            </w:r>
            <w:proofErr w:type="spellEnd"/>
            <w:r w:rsidRPr="00A742E3">
              <w:rPr>
                <w:spacing w:val="-2"/>
              </w:rPr>
              <w:t xml:space="preserve">/day (Ojai planning area) 13.7 </w:t>
            </w:r>
            <w:proofErr w:type="spellStart"/>
            <w:r w:rsidRPr="00A742E3">
              <w:rPr>
                <w:spacing w:val="-2"/>
              </w:rPr>
              <w:t>tpy</w:t>
            </w:r>
            <w:proofErr w:type="spellEnd"/>
            <w:r w:rsidRPr="00A742E3">
              <w:rPr>
                <w:spacing w:val="-2"/>
              </w:rPr>
              <w:t xml:space="preserve"> (Simi Valley)</w:t>
            </w:r>
          </w:p>
        </w:tc>
        <w:tc>
          <w:tcPr>
            <w:tcW w:w="1574" w:type="dxa"/>
            <w:tcBorders>
              <w:bottom w:val="single" w:sz="4" w:space="0" w:color="auto"/>
              <w:right w:val="nil"/>
            </w:tcBorders>
            <w:vAlign w:val="center"/>
          </w:tcPr>
          <w:p w14:paraId="311BC117" w14:textId="77777777" w:rsidR="009829A9" w:rsidRDefault="009829A9" w:rsidP="000E76A5">
            <w:pPr>
              <w:pStyle w:val="TableText"/>
            </w:pPr>
          </w:p>
        </w:tc>
        <w:tc>
          <w:tcPr>
            <w:tcW w:w="1575" w:type="dxa"/>
            <w:tcBorders>
              <w:left w:val="nil"/>
              <w:bottom w:val="single" w:sz="4" w:space="0" w:color="auto"/>
              <w:right w:val="nil"/>
            </w:tcBorders>
            <w:vAlign w:val="center"/>
          </w:tcPr>
          <w:p w14:paraId="10CB50D9" w14:textId="77777777" w:rsidR="009829A9" w:rsidRDefault="009829A9" w:rsidP="000E76A5">
            <w:pPr>
              <w:pStyle w:val="TableText"/>
            </w:pPr>
          </w:p>
        </w:tc>
        <w:tc>
          <w:tcPr>
            <w:tcW w:w="1574" w:type="dxa"/>
            <w:tcBorders>
              <w:left w:val="nil"/>
              <w:bottom w:val="single" w:sz="4" w:space="0" w:color="auto"/>
              <w:right w:val="nil"/>
            </w:tcBorders>
            <w:vAlign w:val="center"/>
          </w:tcPr>
          <w:p w14:paraId="62E93EDD" w14:textId="77777777" w:rsidR="009829A9" w:rsidRDefault="009829A9" w:rsidP="000E76A5">
            <w:pPr>
              <w:pStyle w:val="TableText"/>
            </w:pPr>
          </w:p>
        </w:tc>
        <w:tc>
          <w:tcPr>
            <w:tcW w:w="1574" w:type="dxa"/>
            <w:tcBorders>
              <w:left w:val="nil"/>
              <w:right w:val="nil"/>
            </w:tcBorders>
            <w:vAlign w:val="center"/>
          </w:tcPr>
          <w:p w14:paraId="291DA0AB" w14:textId="77777777" w:rsidR="009829A9" w:rsidRDefault="009829A9" w:rsidP="000E76A5">
            <w:pPr>
              <w:pStyle w:val="TableText"/>
            </w:pPr>
            <w:r>
              <w:t>No thresholds</w:t>
            </w:r>
          </w:p>
        </w:tc>
        <w:tc>
          <w:tcPr>
            <w:tcW w:w="1574" w:type="dxa"/>
            <w:tcBorders>
              <w:left w:val="nil"/>
              <w:right w:val="nil"/>
            </w:tcBorders>
            <w:vAlign w:val="center"/>
          </w:tcPr>
          <w:p w14:paraId="70A987AD" w14:textId="77777777" w:rsidR="009829A9" w:rsidRDefault="009829A9" w:rsidP="000E76A5">
            <w:pPr>
              <w:pStyle w:val="TableText"/>
            </w:pPr>
          </w:p>
        </w:tc>
        <w:tc>
          <w:tcPr>
            <w:tcW w:w="1574" w:type="dxa"/>
            <w:tcBorders>
              <w:left w:val="nil"/>
              <w:bottom w:val="single" w:sz="4" w:space="0" w:color="auto"/>
              <w:right w:val="nil"/>
            </w:tcBorders>
            <w:vAlign w:val="center"/>
          </w:tcPr>
          <w:p w14:paraId="32C6E398" w14:textId="77777777" w:rsidR="009829A9" w:rsidRDefault="009829A9" w:rsidP="000E76A5">
            <w:pPr>
              <w:pStyle w:val="TableText"/>
            </w:pPr>
          </w:p>
        </w:tc>
        <w:tc>
          <w:tcPr>
            <w:tcW w:w="1574" w:type="dxa"/>
            <w:tcBorders>
              <w:left w:val="nil"/>
              <w:bottom w:val="single" w:sz="4" w:space="0" w:color="auto"/>
              <w:right w:val="nil"/>
            </w:tcBorders>
            <w:vAlign w:val="center"/>
          </w:tcPr>
          <w:p w14:paraId="13161FDA" w14:textId="77777777" w:rsidR="009829A9" w:rsidRDefault="009829A9" w:rsidP="000E76A5">
            <w:pPr>
              <w:pStyle w:val="TableText"/>
            </w:pPr>
          </w:p>
        </w:tc>
        <w:tc>
          <w:tcPr>
            <w:tcW w:w="1575" w:type="dxa"/>
            <w:tcBorders>
              <w:left w:val="nil"/>
              <w:bottom w:val="single" w:sz="4" w:space="0" w:color="auto"/>
              <w:right w:val="nil"/>
            </w:tcBorders>
            <w:vAlign w:val="center"/>
          </w:tcPr>
          <w:p w14:paraId="52D0BBAC" w14:textId="77777777" w:rsidR="009829A9" w:rsidRDefault="009829A9" w:rsidP="000E76A5">
            <w:pPr>
              <w:pStyle w:val="TableText"/>
            </w:pPr>
          </w:p>
        </w:tc>
      </w:tr>
      <w:tr w:rsidR="009829A9" w14:paraId="6F75E1F8" w14:textId="77777777" w:rsidTr="00800DA6">
        <w:trPr>
          <w:trHeight w:val="20"/>
          <w:jc w:val="center"/>
        </w:trPr>
        <w:tc>
          <w:tcPr>
            <w:tcW w:w="3430" w:type="dxa"/>
            <w:tcBorders>
              <w:left w:val="nil"/>
            </w:tcBorders>
            <w:vAlign w:val="center"/>
          </w:tcPr>
          <w:p w14:paraId="57C500FB" w14:textId="77777777" w:rsidR="009829A9" w:rsidRPr="00AC5BEF" w:rsidRDefault="009829A9" w:rsidP="000E76A5">
            <w:pPr>
              <w:pStyle w:val="TableText"/>
            </w:pPr>
            <w:r w:rsidRPr="00AC5BEF">
              <w:t>Yolo-Solano AQMD</w:t>
            </w:r>
            <w:r>
              <w:t>* (Yolo and Eastern Solano County)</w:t>
            </w:r>
          </w:p>
        </w:tc>
        <w:tc>
          <w:tcPr>
            <w:tcW w:w="1574" w:type="dxa"/>
            <w:vAlign w:val="center"/>
          </w:tcPr>
          <w:p w14:paraId="3BC37A52" w14:textId="77777777" w:rsidR="009829A9" w:rsidRDefault="009829A9" w:rsidP="000E76A5">
            <w:pPr>
              <w:pStyle w:val="TableText"/>
            </w:pPr>
            <w:r>
              <w:t xml:space="preserve">10 </w:t>
            </w:r>
            <w:proofErr w:type="spellStart"/>
            <w:r>
              <w:t>tpy</w:t>
            </w:r>
            <w:proofErr w:type="spellEnd"/>
          </w:p>
        </w:tc>
        <w:tc>
          <w:tcPr>
            <w:tcW w:w="1574" w:type="dxa"/>
            <w:vAlign w:val="center"/>
          </w:tcPr>
          <w:p w14:paraId="55386D29" w14:textId="77777777" w:rsidR="009829A9" w:rsidRDefault="009829A9" w:rsidP="000E76A5">
            <w:pPr>
              <w:pStyle w:val="TableText"/>
            </w:pPr>
            <w:r>
              <w:t xml:space="preserve">10 </w:t>
            </w:r>
            <w:proofErr w:type="spellStart"/>
            <w:r>
              <w:t>tpy</w:t>
            </w:r>
            <w:proofErr w:type="spellEnd"/>
          </w:p>
        </w:tc>
        <w:tc>
          <w:tcPr>
            <w:tcW w:w="1574" w:type="dxa"/>
            <w:vAlign w:val="center"/>
          </w:tcPr>
          <w:p w14:paraId="70C0A1C5" w14:textId="77777777" w:rsidR="009829A9" w:rsidRDefault="009829A9" w:rsidP="000E76A5">
            <w:pPr>
              <w:pStyle w:val="TableText"/>
            </w:pPr>
            <w:r>
              <w:t xml:space="preserve">10 </w:t>
            </w:r>
            <w:proofErr w:type="spellStart"/>
            <w:r>
              <w:t>tpy</w:t>
            </w:r>
            <w:proofErr w:type="spellEnd"/>
          </w:p>
        </w:tc>
        <w:tc>
          <w:tcPr>
            <w:tcW w:w="1574" w:type="dxa"/>
            <w:vAlign w:val="center"/>
          </w:tcPr>
          <w:p w14:paraId="290B07A4" w14:textId="77777777" w:rsidR="009829A9" w:rsidRDefault="009829A9" w:rsidP="000E76A5">
            <w:pPr>
              <w:pStyle w:val="TableText"/>
            </w:pPr>
            <w:r>
              <w:t xml:space="preserve">10 </w:t>
            </w:r>
            <w:proofErr w:type="spellStart"/>
            <w:r>
              <w:t>tpy</w:t>
            </w:r>
            <w:proofErr w:type="spellEnd"/>
          </w:p>
        </w:tc>
        <w:tc>
          <w:tcPr>
            <w:tcW w:w="1574" w:type="dxa"/>
            <w:tcBorders>
              <w:right w:val="single" w:sz="4" w:space="0" w:color="auto"/>
            </w:tcBorders>
            <w:vAlign w:val="center"/>
          </w:tcPr>
          <w:p w14:paraId="2730E8D5" w14:textId="77777777" w:rsidR="009829A9" w:rsidRDefault="009829A9" w:rsidP="000E76A5">
            <w:pPr>
              <w:pStyle w:val="TableText"/>
            </w:pPr>
            <w:r>
              <w:t xml:space="preserve">80 </w:t>
            </w:r>
            <w:proofErr w:type="spellStart"/>
            <w:r>
              <w:t>lb</w:t>
            </w:r>
            <w:proofErr w:type="spellEnd"/>
            <w:r>
              <w:t>/day</w:t>
            </w:r>
          </w:p>
        </w:tc>
        <w:tc>
          <w:tcPr>
            <w:tcW w:w="1575" w:type="dxa"/>
            <w:tcBorders>
              <w:right w:val="single" w:sz="4" w:space="0" w:color="auto"/>
            </w:tcBorders>
            <w:vAlign w:val="center"/>
          </w:tcPr>
          <w:p w14:paraId="1A610D72" w14:textId="77777777" w:rsidR="009829A9" w:rsidRDefault="009829A9" w:rsidP="000E76A5">
            <w:pPr>
              <w:pStyle w:val="TableText"/>
            </w:pPr>
            <w:r>
              <w:t xml:space="preserve">80 </w:t>
            </w:r>
            <w:proofErr w:type="spellStart"/>
            <w:r>
              <w:t>lb</w:t>
            </w:r>
            <w:proofErr w:type="spellEnd"/>
            <w:r>
              <w:t>/day</w:t>
            </w:r>
          </w:p>
        </w:tc>
        <w:tc>
          <w:tcPr>
            <w:tcW w:w="1574" w:type="dxa"/>
            <w:tcBorders>
              <w:left w:val="single" w:sz="4" w:space="0" w:color="auto"/>
              <w:right w:val="nil"/>
            </w:tcBorders>
            <w:vAlign w:val="center"/>
          </w:tcPr>
          <w:p w14:paraId="184D8EA1" w14:textId="77777777" w:rsidR="009829A9" w:rsidRDefault="009829A9" w:rsidP="000E76A5">
            <w:pPr>
              <w:pStyle w:val="TableText"/>
            </w:pPr>
          </w:p>
        </w:tc>
        <w:tc>
          <w:tcPr>
            <w:tcW w:w="1574" w:type="dxa"/>
            <w:tcBorders>
              <w:left w:val="nil"/>
              <w:right w:val="nil"/>
            </w:tcBorders>
            <w:vAlign w:val="center"/>
          </w:tcPr>
          <w:p w14:paraId="72658383" w14:textId="77777777" w:rsidR="009829A9" w:rsidRDefault="009829A9" w:rsidP="000E76A5">
            <w:pPr>
              <w:pStyle w:val="TableText"/>
            </w:pPr>
            <w:r>
              <w:t>No thresholds</w:t>
            </w:r>
          </w:p>
        </w:tc>
        <w:tc>
          <w:tcPr>
            <w:tcW w:w="1574" w:type="dxa"/>
            <w:tcBorders>
              <w:left w:val="nil"/>
              <w:right w:val="nil"/>
            </w:tcBorders>
            <w:vAlign w:val="center"/>
          </w:tcPr>
          <w:p w14:paraId="3B732E4E" w14:textId="77777777" w:rsidR="009829A9" w:rsidRDefault="009829A9" w:rsidP="000E76A5">
            <w:pPr>
              <w:pStyle w:val="TableText"/>
            </w:pPr>
          </w:p>
        </w:tc>
        <w:tc>
          <w:tcPr>
            <w:tcW w:w="1574" w:type="dxa"/>
            <w:tcBorders>
              <w:left w:val="nil"/>
              <w:right w:val="single" w:sz="4" w:space="0" w:color="auto"/>
            </w:tcBorders>
            <w:vAlign w:val="center"/>
          </w:tcPr>
          <w:p w14:paraId="4CC42799" w14:textId="77777777" w:rsidR="009829A9" w:rsidRDefault="009829A9" w:rsidP="000E76A5">
            <w:pPr>
              <w:pStyle w:val="TableText"/>
            </w:pPr>
          </w:p>
        </w:tc>
        <w:tc>
          <w:tcPr>
            <w:tcW w:w="1574" w:type="dxa"/>
            <w:tcBorders>
              <w:left w:val="single" w:sz="4" w:space="0" w:color="auto"/>
              <w:right w:val="nil"/>
            </w:tcBorders>
            <w:vAlign w:val="center"/>
          </w:tcPr>
          <w:p w14:paraId="1C2FFA71" w14:textId="77777777" w:rsidR="009829A9" w:rsidRDefault="009829A9" w:rsidP="000E76A5">
            <w:pPr>
              <w:pStyle w:val="TableText"/>
            </w:pPr>
            <w:r>
              <w:t>Violation of CAAQS for CO</w:t>
            </w:r>
          </w:p>
        </w:tc>
        <w:tc>
          <w:tcPr>
            <w:tcW w:w="1575" w:type="dxa"/>
            <w:tcBorders>
              <w:left w:val="single" w:sz="4" w:space="0" w:color="auto"/>
              <w:right w:val="nil"/>
            </w:tcBorders>
            <w:vAlign w:val="center"/>
          </w:tcPr>
          <w:p w14:paraId="77A77D11" w14:textId="77777777" w:rsidR="009829A9" w:rsidRDefault="009829A9" w:rsidP="000E76A5">
            <w:pPr>
              <w:pStyle w:val="TableText"/>
            </w:pPr>
            <w:r>
              <w:t>Violation of CAAQS for CO</w:t>
            </w:r>
          </w:p>
        </w:tc>
      </w:tr>
    </w:tbl>
    <w:p w14:paraId="10458A73" w14:textId="77777777" w:rsidR="00800DA6" w:rsidRPr="009925C8" w:rsidRDefault="00800DA6" w:rsidP="00800DA6">
      <w:pPr>
        <w:pStyle w:val="TableSource"/>
      </w:pPr>
      <w:r w:rsidRPr="00097857">
        <w:t>Notes: ROG = reactive organic gases</w:t>
      </w:r>
      <w:r>
        <w:t xml:space="preserve">; </w:t>
      </w:r>
      <w:r w:rsidRPr="00097857">
        <w:t>NO</w:t>
      </w:r>
      <w:r w:rsidRPr="00097857">
        <w:rPr>
          <w:vertAlign w:val="subscript"/>
        </w:rPr>
        <w:t>X</w:t>
      </w:r>
      <w:r w:rsidRPr="00097857">
        <w:t xml:space="preserve"> = oxides of nitrogen</w:t>
      </w:r>
      <w:r>
        <w:t>; PM</w:t>
      </w:r>
      <w:r>
        <w:rPr>
          <w:vertAlign w:val="subscript"/>
        </w:rPr>
        <w:t>10</w:t>
      </w:r>
      <w:r>
        <w:t xml:space="preserve"> = respirable particulate matter; PM</w:t>
      </w:r>
      <w:r>
        <w:rPr>
          <w:vertAlign w:val="subscript"/>
        </w:rPr>
        <w:t>2.5</w:t>
      </w:r>
      <w:r>
        <w:t xml:space="preserve"> = fine particulate matter; SO</w:t>
      </w:r>
      <w:r>
        <w:rPr>
          <w:vertAlign w:val="subscript"/>
        </w:rPr>
        <w:t>X</w:t>
      </w:r>
      <w:r>
        <w:t xml:space="preserve"> = sulfur oxide; CO = carbon monoxide; APCD = air pollution control district; AQMD = air quality management district; </w:t>
      </w:r>
      <w:proofErr w:type="spellStart"/>
      <w:r>
        <w:t>tpy</w:t>
      </w:r>
      <w:proofErr w:type="spellEnd"/>
      <w:r>
        <w:t xml:space="preserve"> = tons per year; </w:t>
      </w:r>
      <w:proofErr w:type="spellStart"/>
      <w:r>
        <w:t>lb</w:t>
      </w:r>
      <w:proofErr w:type="spellEnd"/>
      <w:r>
        <w:t>/day = pounds per day; ppm = parts per million; BMP = best management practice; CAAQS = California ambient air quality standards; MND = mitigated negative declaration; ND negative declaration; EIR = environmental impact report.</w:t>
      </w:r>
    </w:p>
    <w:p w14:paraId="56DD25C8" w14:textId="77777777" w:rsidR="00800DA6" w:rsidRDefault="00800DA6" w:rsidP="00800DA6">
      <w:pPr>
        <w:pStyle w:val="TableSource"/>
      </w:pPr>
      <w:r>
        <w:t xml:space="preserve">* Thresholds of Significance within these air districts are not specific to construction or operational emissions of criteria air pollutants. Thresholds of significance may apply to both activities. </w:t>
      </w:r>
    </w:p>
    <w:p w14:paraId="7CFF58D9" w14:textId="7589EED0" w:rsidR="00800DA6" w:rsidRPr="008B1841" w:rsidRDefault="00800DA6" w:rsidP="00800DA6">
      <w:pPr>
        <w:pStyle w:val="TableSource"/>
        <w:ind w:left="180" w:hanging="180"/>
        <w:rPr>
          <w:highlight w:val="yellow"/>
        </w:rPr>
      </w:pPr>
      <w:r w:rsidRPr="005234D7">
        <w:rPr>
          <w:vertAlign w:val="superscript"/>
        </w:rPr>
        <w:t>1</w:t>
      </w:r>
      <w:r w:rsidRPr="005234D7">
        <w:t xml:space="preserve"> </w:t>
      </w:r>
      <w:r>
        <w:tab/>
      </w:r>
      <w:r w:rsidRPr="009925C8">
        <w:t>Mendocino County AQMD</w:t>
      </w:r>
      <w:r>
        <w:t xml:space="preserve"> </w:t>
      </w:r>
      <w:r w:rsidRPr="008B1841">
        <w:t>thresholds for ROG and NO</w:t>
      </w:r>
      <w:r w:rsidRPr="008B1841">
        <w:rPr>
          <w:vertAlign w:val="subscript"/>
        </w:rPr>
        <w:t>X</w:t>
      </w:r>
      <w:r w:rsidRPr="008B1841">
        <w:t xml:space="preserve"> only apply to stationary sources of criteria air pollutants and would not apply to </w:t>
      </w:r>
      <w:r>
        <w:t xml:space="preserve">treatment </w:t>
      </w:r>
      <w:r w:rsidRPr="008B1841">
        <w:t xml:space="preserve">activities under CalVTP. </w:t>
      </w:r>
    </w:p>
    <w:p w14:paraId="6B006BF3" w14:textId="479B904E" w:rsidR="00800DA6" w:rsidRDefault="00800DA6" w:rsidP="00800DA6">
      <w:pPr>
        <w:pStyle w:val="TableSource"/>
        <w:ind w:left="180" w:hanging="180"/>
      </w:pPr>
      <w:r w:rsidRPr="005234D7">
        <w:rPr>
          <w:vertAlign w:val="superscript"/>
        </w:rPr>
        <w:t>2</w:t>
      </w:r>
      <w:r>
        <w:t xml:space="preserve"> </w:t>
      </w:r>
      <w:r>
        <w:tab/>
      </w:r>
      <w:r w:rsidRPr="009925C8">
        <w:t>San Luis Obispo County APCD</w:t>
      </w:r>
      <w:r>
        <w:t xml:space="preserve"> also lists a threshold of significance for operational diesel PM of 1.25 </w:t>
      </w:r>
      <w:proofErr w:type="spellStart"/>
      <w:r>
        <w:t>lb</w:t>
      </w:r>
      <w:proofErr w:type="spellEnd"/>
      <w:r>
        <w:t>/day</w:t>
      </w:r>
    </w:p>
    <w:p w14:paraId="0A3A3182" w14:textId="77777777" w:rsidR="00800DA6" w:rsidRPr="00AC5BEF" w:rsidRDefault="00800DA6" w:rsidP="00800DA6">
      <w:pPr>
        <w:pStyle w:val="TableSource"/>
      </w:pPr>
      <w:r>
        <w:t xml:space="preserve">Sources: </w:t>
      </w:r>
      <w:bookmarkStart w:id="31" w:name="_Hlk8288505"/>
      <w:r w:rsidRPr="00451449">
        <w:t>AVAQMD</w:t>
      </w:r>
      <w:r>
        <w:t xml:space="preserve"> </w:t>
      </w:r>
      <w:r w:rsidRPr="00451449">
        <w:t>2016</w:t>
      </w:r>
      <w:r>
        <w:t xml:space="preserve">, </w:t>
      </w:r>
      <w:r w:rsidRPr="00451449">
        <w:t>BAAQMD</w:t>
      </w:r>
      <w:r>
        <w:t xml:space="preserve"> </w:t>
      </w:r>
      <w:r w:rsidRPr="00451449">
        <w:t>201</w:t>
      </w:r>
      <w:r>
        <w:t xml:space="preserve">7, </w:t>
      </w:r>
      <w:r w:rsidRPr="00451449">
        <w:t>BCAQMD 2014</w:t>
      </w:r>
      <w:r>
        <w:t>, Calaveras County</w:t>
      </w:r>
      <w:r w:rsidRPr="00451449">
        <w:t xml:space="preserve"> 2018</w:t>
      </w:r>
      <w:r>
        <w:t xml:space="preserve">, </w:t>
      </w:r>
      <w:r w:rsidRPr="00451449">
        <w:t>EDCAPCD 2002</w:t>
      </w:r>
      <w:r>
        <w:t xml:space="preserve">, </w:t>
      </w:r>
      <w:r w:rsidRPr="00451449">
        <w:t>FRAQMD 2010</w:t>
      </w:r>
      <w:r>
        <w:t xml:space="preserve">, </w:t>
      </w:r>
      <w:r w:rsidRPr="00451449">
        <w:t>ICAPCD 2017</w:t>
      </w:r>
      <w:r>
        <w:t xml:space="preserve">, </w:t>
      </w:r>
      <w:r w:rsidRPr="00451449">
        <w:t>KCAPCD 1996</w:t>
      </w:r>
      <w:r>
        <w:t xml:space="preserve">, </w:t>
      </w:r>
      <w:r w:rsidRPr="00451449">
        <w:t>MCAQMD 2013</w:t>
      </w:r>
      <w:r>
        <w:t>, Mariposa County</w:t>
      </w:r>
      <w:r w:rsidRPr="00451449">
        <w:t xml:space="preserve"> [No Date]</w:t>
      </w:r>
      <w:r>
        <w:t xml:space="preserve">, </w:t>
      </w:r>
      <w:r w:rsidRPr="00451449">
        <w:t>MDAQMD 2016</w:t>
      </w:r>
      <w:r>
        <w:t xml:space="preserve">, </w:t>
      </w:r>
      <w:r w:rsidRPr="00451449">
        <w:t>MBUAPCD 2008</w:t>
      </w:r>
      <w:r>
        <w:t xml:space="preserve">, </w:t>
      </w:r>
      <w:r w:rsidRPr="00451449">
        <w:t>NSAQMD 2009</w:t>
      </w:r>
      <w:r>
        <w:t xml:space="preserve">, </w:t>
      </w:r>
      <w:r w:rsidRPr="00451449">
        <w:t>PCAPCD 2016</w:t>
      </w:r>
      <w:r>
        <w:t xml:space="preserve">, </w:t>
      </w:r>
      <w:r w:rsidRPr="00451449">
        <w:t>SBCAPCD 2015</w:t>
      </w:r>
      <w:r>
        <w:t>, San Diego County</w:t>
      </w:r>
      <w:r w:rsidRPr="00451449">
        <w:t xml:space="preserve"> 2007</w:t>
      </w:r>
      <w:r>
        <w:t xml:space="preserve">, </w:t>
      </w:r>
      <w:r w:rsidRPr="00451449">
        <w:t>SLOCAPCD 2012</w:t>
      </w:r>
      <w:r>
        <w:t xml:space="preserve">, </w:t>
      </w:r>
      <w:r w:rsidRPr="00451449">
        <w:t>SCAQMD 2015</w:t>
      </w:r>
      <w:r>
        <w:t xml:space="preserve">, </w:t>
      </w:r>
      <w:r w:rsidRPr="00451449">
        <w:t>SJVAPCD 2015</w:t>
      </w:r>
      <w:r>
        <w:t xml:space="preserve">, </w:t>
      </w:r>
      <w:r w:rsidRPr="00451449">
        <w:t>SMAQMD 2015</w:t>
      </w:r>
      <w:r>
        <w:t xml:space="preserve">, Tehama County APCD 2015, </w:t>
      </w:r>
      <w:r w:rsidRPr="00451449">
        <w:t>Tuolumne County APCD</w:t>
      </w:r>
      <w:r>
        <w:t xml:space="preserve">, </w:t>
      </w:r>
      <w:r w:rsidRPr="00451449">
        <w:t>VCAPCD</w:t>
      </w:r>
      <w:r>
        <w:t xml:space="preserve"> </w:t>
      </w:r>
      <w:r w:rsidRPr="00451449">
        <w:t>2003</w:t>
      </w:r>
      <w:r>
        <w:t xml:space="preserve">, </w:t>
      </w:r>
      <w:r w:rsidRPr="00451449">
        <w:t>YSAQMD</w:t>
      </w:r>
      <w:r>
        <w:t xml:space="preserve"> </w:t>
      </w:r>
      <w:r w:rsidRPr="00451449">
        <w:t>200</w:t>
      </w:r>
      <w:r>
        <w:t>7</w:t>
      </w:r>
      <w:bookmarkEnd w:id="31"/>
    </w:p>
    <w:p w14:paraId="21C9DE10" w14:textId="0F9939E0" w:rsidR="009829A9" w:rsidRDefault="009829A9" w:rsidP="00E51BEA">
      <w:pPr>
        <w:pStyle w:val="BodyText"/>
        <w:sectPr w:rsidR="009829A9" w:rsidSect="00DC3126">
          <w:headerReference w:type="even" r:id="rId15"/>
          <w:headerReference w:type="default" r:id="rId16"/>
          <w:footerReference w:type="even" r:id="rId17"/>
          <w:footerReference w:type="default" r:id="rId18"/>
          <w:pgSz w:w="24480" w:h="15840" w:orient="landscape" w:code="3"/>
          <w:pgMar w:top="1080" w:right="1080" w:bottom="1080" w:left="1080" w:header="576" w:footer="576" w:gutter="0"/>
          <w:pgNumType w:chapStyle="2"/>
          <w:cols w:space="720"/>
          <w:docGrid w:linePitch="360"/>
        </w:sectPr>
      </w:pPr>
    </w:p>
    <w:p w14:paraId="43CEA9CC" w14:textId="48BEC485" w:rsidR="00D3563B" w:rsidRDefault="00D3563B" w:rsidP="00026DF0">
      <w:pPr>
        <w:pStyle w:val="Heading6"/>
      </w:pPr>
      <w:bookmarkStart w:id="32" w:name="_Hlk20491572"/>
      <w:r>
        <w:lastRenderedPageBreak/>
        <w:t>Burn Day De</w:t>
      </w:r>
      <w:r w:rsidR="00B84DE8">
        <w:t>signations and Smoke Management Plans</w:t>
      </w:r>
      <w:bookmarkEnd w:id="32"/>
    </w:p>
    <w:p w14:paraId="39892557" w14:textId="43902BE4" w:rsidR="00786042" w:rsidRDefault="00786042" w:rsidP="00786042">
      <w:pPr>
        <w:pStyle w:val="BodyText"/>
      </w:pPr>
      <w:r w:rsidRPr="004763B9">
        <w:t>Each air district maintains its own specific regulations regarding open burning</w:t>
      </w:r>
      <w:r w:rsidR="00E5680D">
        <w:t>, including the types of prescribed burns that would be implemented under the CalVTP</w:t>
      </w:r>
      <w:r w:rsidR="00CB55EE">
        <w:t xml:space="preserve">. </w:t>
      </w:r>
      <w:r w:rsidRPr="004763B9">
        <w:t>Open burning regulations encompass both agricultural burning and prescribed wildland burning</w:t>
      </w:r>
      <w:r>
        <w:t xml:space="preserve">. </w:t>
      </w:r>
      <w:r w:rsidR="001E584F" w:rsidRPr="00D11F03">
        <w:rPr>
          <w:u w:val="single"/>
        </w:rPr>
        <w:t xml:space="preserve">Prescribed burning falls under the category of “Agricultural Burning” in the California Health and Safety Code Section 39001. </w:t>
      </w:r>
      <w:r>
        <w:t>Each</w:t>
      </w:r>
      <w:r w:rsidRPr="004763B9">
        <w:t xml:space="preserve"> air district controls emissions by </w:t>
      </w:r>
      <w:r>
        <w:t>regulating the amount, timing and location of burn events to minimize air quality impacts from smoke.</w:t>
      </w:r>
      <w:r w:rsidRPr="004763B9">
        <w:t xml:space="preserve"> All open burning is restricted to</w:t>
      </w:r>
      <w:r>
        <w:t xml:space="preserve"> permissive</w:t>
      </w:r>
      <w:r w:rsidRPr="004763B9">
        <w:t xml:space="preserve"> burn days</w:t>
      </w:r>
      <w:r>
        <w:t>, marginal burn days, or through variances</w:t>
      </w:r>
      <w:r w:rsidRPr="004763B9">
        <w:t xml:space="preserve"> permitted by</w:t>
      </w:r>
      <w:r>
        <w:t xml:space="preserve"> local air districts</w:t>
      </w:r>
      <w:r w:rsidRPr="004763B9">
        <w:t xml:space="preserve">. </w:t>
      </w:r>
      <w:r>
        <w:t>C</w:t>
      </w:r>
      <w:r w:rsidRPr="004763B9">
        <w:t>ARB</w:t>
      </w:r>
      <w:r>
        <w:t xml:space="preserve"> and local districts</w:t>
      </w:r>
      <w:r w:rsidRPr="004763B9">
        <w:t xml:space="preserve"> use information </w:t>
      </w:r>
      <w:r>
        <w:t>about</w:t>
      </w:r>
      <w:r w:rsidRPr="004763B9">
        <w:t xml:space="preserve"> existing air quality conditions and meteorological predictions to determine whether to allow burning</w:t>
      </w:r>
      <w:r>
        <w:t>, and if so,</w:t>
      </w:r>
      <w:r w:rsidRPr="004763B9">
        <w:t xml:space="preserve"> the volume</w:t>
      </w:r>
      <w:r>
        <w:t xml:space="preserve"> and locations</w:t>
      </w:r>
      <w:r w:rsidRPr="004763B9">
        <w:t xml:space="preserve"> of burning </w:t>
      </w:r>
      <w:r>
        <w:t>on any given day</w:t>
      </w:r>
      <w:r w:rsidRPr="004763B9">
        <w:t xml:space="preserve">. </w:t>
      </w:r>
      <w:r>
        <w:t>Each</w:t>
      </w:r>
      <w:r w:rsidRPr="004763B9">
        <w:t xml:space="preserve"> air district, fire control agency, or burning</w:t>
      </w:r>
      <w:r>
        <w:t xml:space="preserve"> </w:t>
      </w:r>
      <w:r w:rsidRPr="004763B9">
        <w:t xml:space="preserve">permit agency has the authority to be more restrictive than </w:t>
      </w:r>
      <w:r>
        <w:t>C</w:t>
      </w:r>
      <w:r w:rsidRPr="004763B9">
        <w:t>ARB to avoid</w:t>
      </w:r>
      <w:r>
        <w:t xml:space="preserve"> or minimize</w:t>
      </w:r>
      <w:r w:rsidRPr="004763B9">
        <w:t xml:space="preserve"> impacts</w:t>
      </w:r>
      <w:r>
        <w:t xml:space="preserve"> to air quality. Land managers who seek to conduct prescribed burns must register yearly or seasonally with their local district and, when applicable, submit a smoke management plan (SMP) for approval prior to burning</w:t>
      </w:r>
      <w:r w:rsidR="00C25548">
        <w:t xml:space="preserve"> (see </w:t>
      </w:r>
      <w:r w:rsidR="00C25548" w:rsidRPr="00071BAB">
        <w:t xml:space="preserve">Appendix </w:t>
      </w:r>
      <w:r w:rsidR="00071BAB" w:rsidRPr="00071BAB">
        <w:t>PD-2</w:t>
      </w:r>
      <w:r w:rsidR="00C25548">
        <w:t xml:space="preserve"> for</w:t>
      </w:r>
      <w:r w:rsidR="00754521">
        <w:t xml:space="preserve"> an</w:t>
      </w:r>
      <w:r w:rsidR="00C25548">
        <w:t xml:space="preserve"> </w:t>
      </w:r>
      <w:r w:rsidR="00071BAB">
        <w:t>ex</w:t>
      </w:r>
      <w:r w:rsidR="00C25548">
        <w:t>ample burn plan and SMP)</w:t>
      </w:r>
      <w:r>
        <w:t xml:space="preserve">. Even on otherwise permissive burn days, land managers (or his/her designee conducting the prescribed burn) must ensure that all conditions and requirements agreed to in the approved SMP are met on the day of the burn event prior to ignition ([17 CCR Section 80160(j)]). </w:t>
      </w:r>
    </w:p>
    <w:p w14:paraId="3C9F65E5" w14:textId="6F84FF20" w:rsidR="00786042" w:rsidRDefault="00786042" w:rsidP="00786042">
      <w:pPr>
        <w:pStyle w:val="BodyText"/>
      </w:pPr>
      <w:r>
        <w:t xml:space="preserve">Under the California Smoke Management Program, each air district is required to regulate prescribed burning through adoption of its own Smoke Management Program that adheres to the overall objectives and goals of the California Smoke Management Program. </w:t>
      </w:r>
      <w:r w:rsidR="00A95E69" w:rsidRPr="00D11F03">
        <w:rPr>
          <w:u w:val="single"/>
        </w:rPr>
        <w:t xml:space="preserve">Each </w:t>
      </w:r>
      <w:r w:rsidR="004D599C" w:rsidRPr="00D11F03">
        <w:rPr>
          <w:u w:val="single"/>
        </w:rPr>
        <w:t>a</w:t>
      </w:r>
      <w:r w:rsidR="00A95E69" w:rsidRPr="00D11F03">
        <w:rPr>
          <w:u w:val="single"/>
        </w:rPr>
        <w:t xml:space="preserve">ir </w:t>
      </w:r>
      <w:r w:rsidR="004D599C" w:rsidRPr="00D11F03">
        <w:rPr>
          <w:u w:val="single"/>
        </w:rPr>
        <w:t>d</w:t>
      </w:r>
      <w:r w:rsidR="00A95E69" w:rsidRPr="00D11F03">
        <w:rPr>
          <w:u w:val="single"/>
        </w:rPr>
        <w:t>istrict’s smoke management program mu</w:t>
      </w:r>
      <w:r w:rsidR="004D599C" w:rsidRPr="00D11F03">
        <w:rPr>
          <w:u w:val="single"/>
        </w:rPr>
        <w:t>st</w:t>
      </w:r>
      <w:r w:rsidR="00A95E69" w:rsidRPr="00D11F03">
        <w:rPr>
          <w:u w:val="single"/>
        </w:rPr>
        <w:t xml:space="preserve"> include procedures for public notification and education, including the appropriate signage at burn sites, and for reporting smoke complaints (17 CCR Section 80160). </w:t>
      </w:r>
      <w:r>
        <w:t xml:space="preserve">Prior to obtaining district permission to burn, a burn manager must register their burn with the local air district, obtain an air district and/or fire agency burn permit, submit an SMP to the air district, and obtain air district approval of the SMP. </w:t>
      </w:r>
    </w:p>
    <w:p w14:paraId="7C09457D" w14:textId="1F1D3E56" w:rsidR="00786042" w:rsidRPr="00C37E4E" w:rsidRDefault="00786042" w:rsidP="00786042">
      <w:pPr>
        <w:pStyle w:val="BodyText"/>
        <w:rPr>
          <w:spacing w:val="-2"/>
        </w:rPr>
      </w:pPr>
      <w:r w:rsidRPr="00C37E4E">
        <w:rPr>
          <w:spacing w:val="-2"/>
        </w:rPr>
        <w:t xml:space="preserve">The SMP specifies the </w:t>
      </w:r>
      <w:r w:rsidR="00670EB0" w:rsidRPr="00C37E4E">
        <w:rPr>
          <w:spacing w:val="-2"/>
        </w:rPr>
        <w:t>“</w:t>
      </w:r>
      <w:r w:rsidRPr="00C37E4E">
        <w:rPr>
          <w:spacing w:val="-2"/>
        </w:rPr>
        <w:t>smoke prescription</w:t>
      </w:r>
      <w:r w:rsidR="00670EB0" w:rsidRPr="00C37E4E">
        <w:rPr>
          <w:spacing w:val="-2"/>
        </w:rPr>
        <w:t>,”</w:t>
      </w:r>
      <w:r w:rsidRPr="00C37E4E">
        <w:rPr>
          <w:spacing w:val="-2"/>
        </w:rPr>
        <w:t xml:space="preserve"> which is a set of air quality, meteorological, and fuel conditions that must exist </w:t>
      </w:r>
      <w:r w:rsidR="00AC5CFC" w:rsidRPr="00C37E4E">
        <w:rPr>
          <w:spacing w:val="-2"/>
        </w:rPr>
        <w:t xml:space="preserve">before </w:t>
      </w:r>
      <w:r w:rsidRPr="00C37E4E">
        <w:rPr>
          <w:spacing w:val="-2"/>
        </w:rPr>
        <w:t xml:space="preserve">burn ignition may be allowed. SMPs for prescribed burns greater than 10 acres in size or estimated to produce more than one ton of particulate matter are required to include the following information: location, types, and amounts of material to be burned; expected duration of the burn; the contact information of responsible personnel; and identification of all nearby smoke-sensitive areas. SMPs for burn treatments greater than 100 acres or estimated to produce more than 10 tons of particulate matter are required to include the following additional information: meteorological conditions necessary for burning; projections of where the smoke is expected to disperse during both daytime and nighttime conditions; and contingency actions to be taken if smoke impacts occur or meteorological conditions deviate from those specified in the SMP. SMPs for burns greater than 250 acres in size or near smoke-sensitive areas must also include a monitoring component (17 CCR Section 80160). </w:t>
      </w:r>
      <w:r w:rsidR="005D7C5D" w:rsidRPr="00C37E4E">
        <w:rPr>
          <w:spacing w:val="-2"/>
          <w:u w:val="single"/>
        </w:rPr>
        <w:t>Regardless of the size of the burn, if smoke from a burn may impact smoke sensitive areas, SMPs must be prepared and include an appropriate monitoring component for the following types of projects: projects that will continue burning or producing smoke overnight, projects conducted near smoke sensitive areas, or as otherwise required by the air district.</w:t>
      </w:r>
    </w:p>
    <w:p w14:paraId="4CAD9707" w14:textId="5C3C5B0B" w:rsidR="00786042" w:rsidRDefault="00786042" w:rsidP="00786042">
      <w:pPr>
        <w:pStyle w:val="BodyText"/>
      </w:pPr>
      <w:r w:rsidRPr="00EA2D88">
        <w:t xml:space="preserve">After </w:t>
      </w:r>
      <w:r>
        <w:t>the applicable local</w:t>
      </w:r>
      <w:r w:rsidRPr="00EA2D88">
        <w:t xml:space="preserve"> air district approves all burn planning requirements, including the</w:t>
      </w:r>
      <w:r>
        <w:t xml:space="preserve"> burn</w:t>
      </w:r>
      <w:r w:rsidRPr="00EA2D88">
        <w:t xml:space="preserve"> permit and </w:t>
      </w:r>
      <w:r>
        <w:t>SMP</w:t>
      </w:r>
      <w:r w:rsidRPr="00EA2D88">
        <w:t xml:space="preserve">, the </w:t>
      </w:r>
      <w:r>
        <w:t>burn manager</w:t>
      </w:r>
      <w:r w:rsidRPr="00EA2D88">
        <w:t xml:space="preserve"> may begin making the final preparations to </w:t>
      </w:r>
      <w:r>
        <w:t>conduct</w:t>
      </w:r>
      <w:r w:rsidRPr="00EA2D88">
        <w:t xml:space="preserve"> the burn. </w:t>
      </w:r>
      <w:r>
        <w:t xml:space="preserve">Preparation </w:t>
      </w:r>
      <w:r w:rsidRPr="00EA2D88">
        <w:t xml:space="preserve">includes </w:t>
      </w:r>
      <w:r>
        <w:t xml:space="preserve">mobilizing </w:t>
      </w:r>
      <w:r w:rsidRPr="00EA2D88">
        <w:t xml:space="preserve">the </w:t>
      </w:r>
      <w:r>
        <w:t xml:space="preserve">equipment and staff </w:t>
      </w:r>
      <w:r w:rsidRPr="00EA2D88">
        <w:t>resources needed to conduct the burn, notifying the public about the planned timing and specifics of the burn, and obtaining a final authorization to burn</w:t>
      </w:r>
      <w:r>
        <w:t xml:space="preserve"> from the air district</w:t>
      </w:r>
      <w:r w:rsidRPr="00EA2D88">
        <w:t xml:space="preserve">. </w:t>
      </w:r>
      <w:r>
        <w:t xml:space="preserve">The burn manager works with the local air district and CARB to obtain forecasts of meteorology and air </w:t>
      </w:r>
      <w:r w:rsidRPr="00EA2D88">
        <w:t>quality</w:t>
      </w:r>
      <w:r>
        <w:t xml:space="preserve"> that are needed</w:t>
      </w:r>
      <w:r w:rsidRPr="00EA2D88">
        <w:t xml:space="preserve"> to safely conduct the burn.</w:t>
      </w:r>
      <w:r>
        <w:t xml:space="preserve"> CARB and larger air districts determine permissive burn, marginal burn, and no burn days based on smoke dispersal conditions</w:t>
      </w:r>
      <w:r w:rsidR="004D7DF9">
        <w:t xml:space="preserve"> (as specified in statute)</w:t>
      </w:r>
      <w:r>
        <w:t xml:space="preserve"> and the risk of a burn escape.</w:t>
      </w:r>
      <w:r w:rsidR="00A015E1" w:rsidRPr="00D11F03">
        <w:rPr>
          <w:u w:val="single"/>
        </w:rPr>
        <w:t xml:space="preserve"> </w:t>
      </w:r>
      <w:bookmarkStart w:id="33" w:name="_Hlk18077290"/>
      <w:r w:rsidR="00A015E1" w:rsidRPr="00D11F03">
        <w:rPr>
          <w:u w:val="single"/>
        </w:rPr>
        <w:t>The responsibility of properly conducting a prescribed burn and managing the risk of a burn escape is the responsibility of the burn manager</w:t>
      </w:r>
      <w:bookmarkStart w:id="34" w:name="_Hlk18077326"/>
      <w:r w:rsidR="00A015E1" w:rsidRPr="00D11F03">
        <w:rPr>
          <w:u w:val="single"/>
        </w:rPr>
        <w:t>.</w:t>
      </w:r>
      <w:r w:rsidR="00A015E1">
        <w:t xml:space="preserve"> </w:t>
      </w:r>
      <w:bookmarkEnd w:id="33"/>
      <w:bookmarkEnd w:id="34"/>
    </w:p>
    <w:p w14:paraId="3A87BCBD" w14:textId="082B674D" w:rsidR="00786042" w:rsidRDefault="00786042" w:rsidP="00786042">
      <w:pPr>
        <w:pStyle w:val="BodyText"/>
      </w:pPr>
      <w:r w:rsidRPr="00EA2D88">
        <w:t xml:space="preserve">Air district authorization to conduct a prescribed burn is provided to the </w:t>
      </w:r>
      <w:r>
        <w:t>burn manager</w:t>
      </w:r>
      <w:r w:rsidRPr="00EA2D88">
        <w:t xml:space="preserve"> no more than 24 hours prior to the burn.</w:t>
      </w:r>
      <w:r>
        <w:t xml:space="preserve"> </w:t>
      </w:r>
      <w:r w:rsidRPr="00EA2D88">
        <w:t xml:space="preserve">The </w:t>
      </w:r>
      <w:r>
        <w:t xml:space="preserve">burn manager </w:t>
      </w:r>
      <w:r w:rsidRPr="00EA2D88">
        <w:t xml:space="preserve">is responsible for assuring that all conditions in the SMP and burn permit are met throughout the burn. </w:t>
      </w:r>
      <w:r>
        <w:t xml:space="preserve">It is through this real time, site-specific burn authorization system and associated SMP that prescribed burning is treated differently from other potential treatment activities that would be performed under the CalVTP. The local air district is the ultimate arbiter </w:t>
      </w:r>
      <w:r w:rsidR="007F3718">
        <w:t>of</w:t>
      </w:r>
      <w:r>
        <w:t xml:space="preserve"> whether a burn can occur as proposed, or in a limited capacity, </w:t>
      </w:r>
      <w:r>
        <w:lastRenderedPageBreak/>
        <w:t xml:space="preserve">or must be postponed based on the predicted transport and placement of pollutants from the activity relative to sensitive receptors that may be impacted by smoke. </w:t>
      </w:r>
    </w:p>
    <w:p w14:paraId="0141179A" w14:textId="79DE54A4" w:rsidR="00786042" w:rsidRDefault="00786042" w:rsidP="00786042">
      <w:pPr>
        <w:pStyle w:val="BodyText"/>
      </w:pPr>
      <w:r>
        <w:t>In addition to obtaining authorization from the local air district, the burn manager must ensure that the prescribed burn meets the conditions set forth in the approved SMP before the burn is ignited. That is, even with authorization from the local air district to conduct the prescribed burn, ignition is prohibited if the conditions and requirements of the SMP are not met on-site (17 CCR Section 80160[j]). After the burn is ignited, the burn manager must make all reasonable efforts to ensure that the burn stays within the prescription of its SMP. If the burn fails to stay within the prescription, or if adverse smoke impacts are observed, the burn manager shall implement smoke mitigation measures as described in the SMP.</w:t>
      </w:r>
      <w:r w:rsidR="000C745D">
        <w:t xml:space="preserve"> A comprehensive study of prescribed burns nationally indicate that 99 percent of burns were accomplished within the prescription and did not report escapes or near misses (</w:t>
      </w:r>
      <w:proofErr w:type="spellStart"/>
      <w:r w:rsidR="000C745D">
        <w:t>Dether</w:t>
      </w:r>
      <w:proofErr w:type="spellEnd"/>
      <w:r w:rsidR="000C745D">
        <w:t xml:space="preserve"> 2005).</w:t>
      </w:r>
    </w:p>
    <w:p w14:paraId="7338AED1" w14:textId="77777777" w:rsidR="00786042" w:rsidRPr="00697D06" w:rsidRDefault="00786042" w:rsidP="00786042">
      <w:pPr>
        <w:pStyle w:val="Heading4"/>
      </w:pPr>
      <w:r w:rsidRPr="00697D06">
        <w:t>Local</w:t>
      </w:r>
    </w:p>
    <w:p w14:paraId="197F83B8" w14:textId="0D71D21B" w:rsidR="00786042" w:rsidRPr="00697D06" w:rsidRDefault="00786042" w:rsidP="00786042">
      <w:pPr>
        <w:pStyle w:val="BodyText"/>
      </w:pPr>
      <w:r w:rsidRPr="007A7B15">
        <w:t xml:space="preserve">When state agencies, including CAL FIRE, are conducting governmental activities under the authority of state law or the State Constitution, in this case, treatments implemented under the CalVTP, they are exempt from local government plans, policies, and ordinances (unless a constitutional provision or statute </w:t>
      </w:r>
      <w:r w:rsidR="00976B57">
        <w:t>directs</w:t>
      </w:r>
      <w:r w:rsidR="00976B57" w:rsidRPr="007A7B15">
        <w:t xml:space="preserve"> </w:t>
      </w:r>
      <w:r w:rsidRPr="007A7B15">
        <w:t>otherwise). Nonetheless, CAL FIRE voluntarily seeks to operate consistently with local governance to the extent feasible. Given its statewide extent and the possible number of local and regional responsible agencies, this PEIR does not identify potentially applicable local government plan</w:t>
      </w:r>
      <w:r w:rsidR="00976B57">
        <w:t>s</w:t>
      </w:r>
      <w:r w:rsidRPr="007A7B15">
        <w:t xml:space="preserve">, </w:t>
      </w:r>
      <w:r w:rsidR="00976B57" w:rsidRPr="007A7B15">
        <w:t>polic</w:t>
      </w:r>
      <w:r w:rsidR="00976B57">
        <w:t>ies</w:t>
      </w:r>
      <w:r w:rsidRPr="007A7B15">
        <w:t>, and ordinance</w:t>
      </w:r>
      <w:r w:rsidR="00976B57">
        <w:t>s</w:t>
      </w:r>
      <w:r w:rsidRPr="007A7B15">
        <w:t xml:space="preserve">. Types of local </w:t>
      </w:r>
      <w:r w:rsidR="00CB55EE">
        <w:t>policies</w:t>
      </w:r>
      <w:r w:rsidR="00CB55EE" w:rsidRPr="007A7B15">
        <w:t xml:space="preserve"> </w:t>
      </w:r>
      <w:r w:rsidRPr="007A7B15">
        <w:t xml:space="preserve">relevant to </w:t>
      </w:r>
      <w:r>
        <w:t>air quality</w:t>
      </w:r>
      <w:r w:rsidRPr="007A7B15">
        <w:t xml:space="preserve"> may include </w:t>
      </w:r>
      <w:r w:rsidR="00CB55EE">
        <w:t>general plan measures</w:t>
      </w:r>
      <w:r w:rsidR="00E829E0">
        <w:t xml:space="preserve"> that </w:t>
      </w:r>
      <w:r>
        <w:t>requir</w:t>
      </w:r>
      <w:r w:rsidR="00E829E0">
        <w:t>e</w:t>
      </w:r>
      <w:r>
        <w:t xml:space="preserve"> coordination with the local air district to achieve state and federal air quality standards, implementation of fugitive dust control measures, and </w:t>
      </w:r>
      <w:r w:rsidR="00CB55EE">
        <w:t>reductions of</w:t>
      </w:r>
      <w:r>
        <w:t xml:space="preserve"> </w:t>
      </w:r>
      <w:bookmarkStart w:id="35" w:name="_Hlk8288601"/>
      <w:r w:rsidR="00DA3E66">
        <w:t>vehicle miles traveled (</w:t>
      </w:r>
      <w:r>
        <w:t>VMT</w:t>
      </w:r>
      <w:bookmarkEnd w:id="35"/>
      <w:r w:rsidR="00DA3E66">
        <w:t>)</w:t>
      </w:r>
      <w:r>
        <w:t xml:space="preserve"> and associated air pollutant emissions</w:t>
      </w:r>
      <w:r w:rsidRPr="007A7B15">
        <w:t>. This PEIR assumes that any vegetation treatments proposed by local or regional agencies under the CalVTP would be consistent with local plans, policies, and ordinances</w:t>
      </w:r>
      <w:r w:rsidR="00970FF1">
        <w:t xml:space="preserve"> to the extent the project is subject to them</w:t>
      </w:r>
      <w:r w:rsidRPr="007A7B15">
        <w:t>, as required by SPR AD-</w:t>
      </w:r>
      <w:r w:rsidR="008D0DC8">
        <w:t>3</w:t>
      </w:r>
      <w:r w:rsidRPr="007A7B15">
        <w:t>.</w:t>
      </w:r>
      <w:r w:rsidR="00E829E0">
        <w:t xml:space="preserve"> </w:t>
      </w:r>
      <w:r w:rsidR="008D0DC8">
        <w:t>H</w:t>
      </w:r>
      <w:r>
        <w:t xml:space="preserve">owever, most cities and counties in California do not have rules or regulations that specifically address emissions generated by equipment that would be used in treatment activities or emissions generated by prescribed burns. </w:t>
      </w:r>
    </w:p>
    <w:p w14:paraId="7FF9A2D1" w14:textId="77777777" w:rsidR="001764B7" w:rsidRPr="004F22C2" w:rsidRDefault="001764B7" w:rsidP="001764B7">
      <w:pPr>
        <w:pStyle w:val="Heading3"/>
      </w:pPr>
      <w:r w:rsidRPr="004F22C2">
        <w:t>Environmental Setting</w:t>
      </w:r>
    </w:p>
    <w:p w14:paraId="535B8D7C" w14:textId="722CB49A" w:rsidR="00786042" w:rsidRPr="004F22C2" w:rsidRDefault="00786042" w:rsidP="00786042">
      <w:pPr>
        <w:pStyle w:val="BodyText"/>
      </w:pPr>
      <w:bookmarkStart w:id="36" w:name="_Hlk3283965"/>
      <w:r>
        <w:t>Vegetation treatments</w:t>
      </w:r>
      <w:r w:rsidRPr="004F22C2">
        <w:t xml:space="preserve"> </w:t>
      </w:r>
      <w:r>
        <w:t xml:space="preserve">conducted </w:t>
      </w:r>
      <w:r w:rsidRPr="004F22C2">
        <w:t xml:space="preserve">under the CalVTP would occur </w:t>
      </w:r>
      <w:r>
        <w:t xml:space="preserve">in </w:t>
      </w:r>
      <w:r w:rsidR="00CB55EE">
        <w:t xml:space="preserve">a </w:t>
      </w:r>
      <w:r>
        <w:t xml:space="preserve">portion of each of </w:t>
      </w:r>
      <w:r w:rsidRPr="004F22C2">
        <w:t>California</w:t>
      </w:r>
      <w:r w:rsidR="00670EB0">
        <w:t>’</w:t>
      </w:r>
      <w:r w:rsidRPr="004F22C2">
        <w:t xml:space="preserve">s 15 air basins. </w:t>
      </w:r>
      <w:bookmarkEnd w:id="36"/>
      <w:r w:rsidRPr="004F22C2">
        <w:t>The ambient concentrations of air pollutant emissions within these basins are determined by the amount of emissions released by the sources of air pollutants and the atmosphere</w:t>
      </w:r>
      <w:r w:rsidR="00670EB0">
        <w:t>’</w:t>
      </w:r>
      <w:r w:rsidRPr="004F22C2">
        <w:t xml:space="preserve">s ability to transport and dilute such emissions. Natural factors that affect transport and dilution include terrain, wind, atmospheric stability, and sunlight. Therefore, existing air quality conditions within the </w:t>
      </w:r>
      <w:r>
        <w:t>treatable landscape</w:t>
      </w:r>
      <w:r w:rsidRPr="004F22C2">
        <w:t xml:space="preserve"> are determined by such natural factors as topography, meteorology, and climate, in addition to the amount of emissions released by existing air pollutant sources. </w:t>
      </w:r>
      <w:r>
        <w:t>Air pollution can also move freely within and between air basins; therefore, air pollution generated in one basin made degrade the quality of air within an adjacent basin.</w:t>
      </w:r>
    </w:p>
    <w:p w14:paraId="337ED2B2" w14:textId="77777777" w:rsidR="001764B7" w:rsidRPr="00CF457B" w:rsidRDefault="001764B7" w:rsidP="001764B7">
      <w:pPr>
        <w:pStyle w:val="Heading4"/>
      </w:pPr>
      <w:r w:rsidRPr="00CF457B">
        <w:t>Climate, Meteorology, and Topography</w:t>
      </w:r>
    </w:p>
    <w:p w14:paraId="41993C2B" w14:textId="4307F854" w:rsidR="004F22C2" w:rsidRPr="00CF457B" w:rsidRDefault="004F22C2" w:rsidP="001764B7">
      <w:pPr>
        <w:pStyle w:val="BodyText"/>
      </w:pPr>
      <w:r w:rsidRPr="00CF457B">
        <w:t xml:space="preserve">California </w:t>
      </w:r>
      <w:r w:rsidR="00BA4509">
        <w:t>includes</w:t>
      </w:r>
      <w:r w:rsidRPr="00CF457B">
        <w:t xml:space="preserve"> a wide rang</w:t>
      </w:r>
      <w:r w:rsidR="00BA4509">
        <w:t>e</w:t>
      </w:r>
      <w:r w:rsidRPr="00CF457B">
        <w:t xml:space="preserve"> of geophysical features </w:t>
      </w:r>
      <w:r w:rsidR="00BA4509">
        <w:t>such as</w:t>
      </w:r>
      <w:r w:rsidRPr="00CF457B">
        <w:t xml:space="preserve"> oceans, valleys, mountains, and deserts. The Pacific Ocean forms the state</w:t>
      </w:r>
      <w:r w:rsidR="00670EB0">
        <w:t>’</w:t>
      </w:r>
      <w:r w:rsidRPr="00CF457B">
        <w:t xml:space="preserve">s western boundary, </w:t>
      </w:r>
      <w:r w:rsidR="00AD3FC9">
        <w:t>spanning</w:t>
      </w:r>
      <w:r w:rsidRPr="00CF457B">
        <w:t xml:space="preserve"> over 1,200 miles. The Central Valley is located within the middle of the state and </w:t>
      </w:r>
      <w:r w:rsidR="00EE1DBD">
        <w:t xml:space="preserve">is </w:t>
      </w:r>
      <w:r w:rsidRPr="00CF457B">
        <w:t>enclosed by various mount</w:t>
      </w:r>
      <w:r w:rsidR="004E0A98">
        <w:t>ain</w:t>
      </w:r>
      <w:r w:rsidRPr="00CF457B">
        <w:t xml:space="preserve"> ranges</w:t>
      </w:r>
      <w:r w:rsidR="00EE1DBD">
        <w:t>, including m</w:t>
      </w:r>
      <w:r w:rsidRPr="00CF457B">
        <w:t xml:space="preserve">ultiple coastal mountain ranges </w:t>
      </w:r>
      <w:r w:rsidR="00EE1DBD">
        <w:t xml:space="preserve">to the west, </w:t>
      </w:r>
      <w:r w:rsidRPr="00CF457B">
        <w:t xml:space="preserve">the Sierra Nevada to the east, the Cascade Range to the </w:t>
      </w:r>
      <w:r w:rsidR="00A2660D">
        <w:t>n</w:t>
      </w:r>
      <w:r w:rsidRPr="00CF457B">
        <w:t xml:space="preserve">orth, and the Tehachapi Mountains to the south. The boundary between California and Nevada is generally defined by the </w:t>
      </w:r>
      <w:r w:rsidR="000F5DED" w:rsidRPr="00CF457B">
        <w:t>Sierra Nevada.</w:t>
      </w:r>
    </w:p>
    <w:p w14:paraId="49E9D892" w14:textId="7078F456" w:rsidR="00786042" w:rsidRPr="00CF457B" w:rsidRDefault="00786042" w:rsidP="00786042">
      <w:pPr>
        <w:pStyle w:val="BodyText"/>
      </w:pPr>
      <w:r w:rsidRPr="00CF457B">
        <w:t xml:space="preserve">California also has expansive deserts, such as the Mojave Desert located in southern California, and vast forests of redwood and Douglas fir located in the northwest portion of the state. Major rivers include the Sacramento, San Joaquin, and Colorado Rivers. Major lakes include Lake Tahoe, Salton Sea, and </w:t>
      </w:r>
      <w:r w:rsidR="004D7DF9">
        <w:t xml:space="preserve">Clear </w:t>
      </w:r>
      <w:r w:rsidRPr="00CF457B">
        <w:t xml:space="preserve">Lake. Elevation varies greatly in California from Mount Whitney at 14,494 feet (the highest elevation point in the contiguous 48 states) to 282 feet below sea level at Death Valley (the lowest elevation point in the United States). </w:t>
      </w:r>
    </w:p>
    <w:p w14:paraId="0832FD04" w14:textId="6B428498" w:rsidR="000F5DED" w:rsidRPr="00CF457B" w:rsidRDefault="000F5DED" w:rsidP="001764B7">
      <w:pPr>
        <w:pStyle w:val="BodyText"/>
      </w:pPr>
      <w:r w:rsidRPr="00CF457B">
        <w:lastRenderedPageBreak/>
        <w:t xml:space="preserve">These landform features affect direction of air </w:t>
      </w:r>
      <w:r w:rsidR="004D7DF9">
        <w:t xml:space="preserve">flow </w:t>
      </w:r>
      <w:r w:rsidRPr="00CF457B">
        <w:t>and, thus, directly affect the distribution of air pollutants. For example, air above low-lying l</w:t>
      </w:r>
      <w:r w:rsidR="00A2660D">
        <w:t>ands</w:t>
      </w:r>
      <w:r w:rsidRPr="00CF457B">
        <w:t xml:space="preserve"> surrounded by mountains is often more atmospherically stable, which can result in the accumulation of more pollutants. </w:t>
      </w:r>
    </w:p>
    <w:p w14:paraId="08E1C818" w14:textId="44690735" w:rsidR="000F5DED" w:rsidRPr="00CF457B" w:rsidRDefault="000F5DED" w:rsidP="001764B7">
      <w:pPr>
        <w:pStyle w:val="BodyText"/>
      </w:pPr>
      <w:r w:rsidRPr="00CF457B">
        <w:t>California features a Mediterranean climate characterized by hot, dry summers and cool, rainy winters, with some portions of the state experiencing more extreme temperature difference that others. Coastal portions of the state often experience summer fog as a result of the cool marine currents from the Pacific Ocean, and more moderate temperatures, whereas inland portions of the state</w:t>
      </w:r>
      <w:r w:rsidR="00CF457B" w:rsidRPr="00CF457B">
        <w:t>, such as the high desert, southern San Joaquin Valley, or northern Sacramento Valley experience more extreme temperature differences. Precipitation in California generally occurs in the winter months and, on average, about two thirds of the state</w:t>
      </w:r>
      <w:r w:rsidR="00670EB0">
        <w:t>’</w:t>
      </w:r>
      <w:r w:rsidR="00CF457B" w:rsidRPr="00CF457B">
        <w:t xml:space="preserve">s total rainfall </w:t>
      </w:r>
      <w:r w:rsidR="00121237">
        <w:t>occur</w:t>
      </w:r>
      <w:r w:rsidR="00CF457B" w:rsidRPr="00CF457B">
        <w:t xml:space="preserve">s in the north. </w:t>
      </w:r>
    </w:p>
    <w:p w14:paraId="41A5D2C3" w14:textId="77777777" w:rsidR="001764B7" w:rsidRPr="00CF457B" w:rsidRDefault="001764B7" w:rsidP="001764B7">
      <w:pPr>
        <w:pStyle w:val="Heading4"/>
      </w:pPr>
      <w:r w:rsidRPr="00CF457B">
        <w:t>Criteria Air Pollutants</w:t>
      </w:r>
    </w:p>
    <w:p w14:paraId="5B7E339E" w14:textId="39F26567" w:rsidR="00444E5E" w:rsidRDefault="00444E5E" w:rsidP="00CB1055">
      <w:pPr>
        <w:pStyle w:val="BodyText"/>
      </w:pPr>
      <w:r w:rsidRPr="00CF457B">
        <w:t>Concentrations of criteria air pollutants are used to indicate the quality of the ambient air. A brief description of key criteria air pollutants is provided below.</w:t>
      </w:r>
      <w:r>
        <w:t xml:space="preserve"> T</w:t>
      </w:r>
      <w:r w:rsidRPr="00CF457B">
        <w:t>able 3.4-</w:t>
      </w:r>
      <w:r w:rsidR="00071BAB">
        <w:t>3</w:t>
      </w:r>
      <w:r>
        <w:t xml:space="preserve"> summarizes the emission source type and the foreseeable health impacts that result from exposure to concentrations of criteria air pollutants that exceed the applicable CAAQS and NAAQS</w:t>
      </w:r>
      <w:r w:rsidRPr="00CF457B">
        <w:t xml:space="preserve">. </w:t>
      </w:r>
    </w:p>
    <w:p w14:paraId="2328EB93" w14:textId="5B8C242D" w:rsidR="00C37E4E" w:rsidRPr="00CF457B" w:rsidRDefault="00C37E4E" w:rsidP="00C37E4E">
      <w:pPr>
        <w:pStyle w:val="TableHeader"/>
      </w:pPr>
      <w:bookmarkStart w:id="37" w:name="_Toc332789509"/>
      <w:bookmarkStart w:id="38" w:name="_Toc396421866"/>
      <w:bookmarkStart w:id="39" w:name="_Toc396476345"/>
      <w:bookmarkStart w:id="40" w:name="_Toc431910525"/>
      <w:bookmarkStart w:id="41" w:name="_Toc480183191"/>
      <w:bookmarkStart w:id="42" w:name="_Toc23834433"/>
      <w:r w:rsidRPr="00097857">
        <w:t>Table 3.</w:t>
      </w:r>
      <w:r>
        <w:t>4</w:t>
      </w:r>
      <w:r w:rsidRPr="00097857">
        <w:t>-</w:t>
      </w:r>
      <w:r>
        <w:t>3</w:t>
      </w:r>
      <w:r w:rsidRPr="00097857">
        <w:tab/>
        <w:t>Sources and Health Effects of Criteria Air Pollutants</w:t>
      </w:r>
      <w:bookmarkEnd w:id="37"/>
      <w:bookmarkEnd w:id="38"/>
      <w:bookmarkEnd w:id="39"/>
      <w:bookmarkEnd w:id="40"/>
      <w:bookmarkEnd w:id="41"/>
      <w:bookmarkEnd w:id="42"/>
    </w:p>
    <w:tbl>
      <w:tblPr>
        <w:tblW w:w="10080" w:type="dxa"/>
        <w:jc w:val="center"/>
        <w:tblBorders>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1501"/>
        <w:gridCol w:w="3539"/>
        <w:gridCol w:w="2908"/>
        <w:gridCol w:w="2132"/>
      </w:tblGrid>
      <w:tr w:rsidR="00A73CE9" w:rsidRPr="00FE4B42" w14:paraId="5FE03D1D" w14:textId="77777777" w:rsidTr="003E5A87">
        <w:trPr>
          <w:trHeight w:val="20"/>
          <w:tblHeader/>
          <w:jc w:val="center"/>
        </w:trPr>
        <w:tc>
          <w:tcPr>
            <w:tcW w:w="1501" w:type="dxa"/>
            <w:tcBorders>
              <w:top w:val="single" w:sz="4" w:space="0" w:color="auto"/>
            </w:tcBorders>
            <w:shd w:val="clear" w:color="auto" w:fill="D9D9D9" w:themeFill="background1" w:themeFillShade="D9"/>
            <w:vAlign w:val="center"/>
          </w:tcPr>
          <w:p w14:paraId="179273D1" w14:textId="77777777" w:rsidR="00A73CE9" w:rsidRPr="00097857" w:rsidRDefault="00A73CE9" w:rsidP="003E5A87">
            <w:pPr>
              <w:pStyle w:val="TableColumn"/>
              <w:keepNext/>
            </w:pPr>
            <w:r w:rsidRPr="00097857">
              <w:t>Pollutant</w:t>
            </w:r>
          </w:p>
        </w:tc>
        <w:tc>
          <w:tcPr>
            <w:tcW w:w="3539" w:type="dxa"/>
            <w:tcBorders>
              <w:top w:val="single" w:sz="4" w:space="0" w:color="auto"/>
            </w:tcBorders>
            <w:shd w:val="clear" w:color="auto" w:fill="D9D9D9" w:themeFill="background1" w:themeFillShade="D9"/>
            <w:vAlign w:val="center"/>
          </w:tcPr>
          <w:p w14:paraId="6871E846" w14:textId="77777777" w:rsidR="00A73CE9" w:rsidRPr="00097857" w:rsidRDefault="00A73CE9" w:rsidP="003E5A87">
            <w:pPr>
              <w:pStyle w:val="TableColumn"/>
            </w:pPr>
            <w:r w:rsidRPr="00097857">
              <w:t>Sources</w:t>
            </w:r>
          </w:p>
        </w:tc>
        <w:tc>
          <w:tcPr>
            <w:tcW w:w="2908" w:type="dxa"/>
            <w:tcBorders>
              <w:top w:val="single" w:sz="4" w:space="0" w:color="auto"/>
            </w:tcBorders>
            <w:shd w:val="clear" w:color="auto" w:fill="D9D9D9" w:themeFill="background1" w:themeFillShade="D9"/>
            <w:vAlign w:val="center"/>
          </w:tcPr>
          <w:p w14:paraId="74E8ACFA" w14:textId="77777777" w:rsidR="00A73CE9" w:rsidRPr="00097857" w:rsidRDefault="00A73CE9" w:rsidP="003E5A87">
            <w:pPr>
              <w:pStyle w:val="TableColumn"/>
            </w:pPr>
            <w:r w:rsidRPr="00097857">
              <w:t>Acute</w:t>
            </w:r>
            <w:r w:rsidRPr="00097857">
              <w:rPr>
                <w:vertAlign w:val="superscript"/>
              </w:rPr>
              <w:t>1</w:t>
            </w:r>
            <w:r w:rsidRPr="00097857">
              <w:t xml:space="preserve"> Health Effects</w:t>
            </w:r>
          </w:p>
        </w:tc>
        <w:tc>
          <w:tcPr>
            <w:tcW w:w="2132" w:type="dxa"/>
            <w:tcBorders>
              <w:top w:val="single" w:sz="4" w:space="0" w:color="auto"/>
            </w:tcBorders>
            <w:shd w:val="clear" w:color="auto" w:fill="D9D9D9" w:themeFill="background1" w:themeFillShade="D9"/>
            <w:vAlign w:val="center"/>
          </w:tcPr>
          <w:p w14:paraId="1D40F413" w14:textId="77777777" w:rsidR="00A73CE9" w:rsidRPr="00097857" w:rsidRDefault="00A73CE9" w:rsidP="003E5A87">
            <w:pPr>
              <w:pStyle w:val="TableColumn"/>
            </w:pPr>
            <w:r w:rsidRPr="00097857">
              <w:t>Chronic</w:t>
            </w:r>
            <w:r w:rsidRPr="00097857">
              <w:rPr>
                <w:vertAlign w:val="superscript"/>
              </w:rPr>
              <w:t>2</w:t>
            </w:r>
            <w:r w:rsidRPr="00097857">
              <w:t xml:space="preserve"> Health Effects</w:t>
            </w:r>
          </w:p>
        </w:tc>
      </w:tr>
      <w:tr w:rsidR="00A73CE9" w:rsidRPr="00FE4B42" w14:paraId="5A4668F9" w14:textId="77777777" w:rsidTr="003E5A87">
        <w:trPr>
          <w:trHeight w:val="20"/>
          <w:jc w:val="center"/>
        </w:trPr>
        <w:tc>
          <w:tcPr>
            <w:tcW w:w="1501" w:type="dxa"/>
            <w:shd w:val="clear" w:color="auto" w:fill="auto"/>
          </w:tcPr>
          <w:p w14:paraId="389574ED" w14:textId="77777777" w:rsidR="00A73CE9" w:rsidRPr="00097857" w:rsidRDefault="00A73CE9" w:rsidP="003E5A87">
            <w:pPr>
              <w:pStyle w:val="TableText"/>
              <w:keepNext/>
              <w:jc w:val="left"/>
            </w:pPr>
            <w:r w:rsidRPr="00097857">
              <w:t>Ozone</w:t>
            </w:r>
          </w:p>
        </w:tc>
        <w:tc>
          <w:tcPr>
            <w:tcW w:w="3539" w:type="dxa"/>
            <w:shd w:val="clear" w:color="auto" w:fill="auto"/>
          </w:tcPr>
          <w:p w14:paraId="58B37772" w14:textId="77777777" w:rsidR="00A73CE9" w:rsidRPr="00097857" w:rsidRDefault="00A73CE9" w:rsidP="003E5A87">
            <w:pPr>
              <w:pStyle w:val="TableText"/>
              <w:jc w:val="left"/>
            </w:pPr>
            <w:r>
              <w:t>s</w:t>
            </w:r>
            <w:r w:rsidRPr="00097857">
              <w:t>econdary pollutant resulting from reaction of ROG and NO</w:t>
            </w:r>
            <w:r w:rsidRPr="00097857">
              <w:rPr>
                <w:vertAlign w:val="subscript"/>
              </w:rPr>
              <w:t>X</w:t>
            </w:r>
            <w:r w:rsidRPr="00097857">
              <w:t xml:space="preserve"> in presence of sunlight. ROG emissions result from incomplete combustion and evaporation of chemical solvents and fuels; NO</w:t>
            </w:r>
            <w:r w:rsidRPr="00097857">
              <w:rPr>
                <w:vertAlign w:val="subscript"/>
              </w:rPr>
              <w:t>X</w:t>
            </w:r>
            <w:r w:rsidRPr="00097857">
              <w:t xml:space="preserve"> results from the combustion of fuels</w:t>
            </w:r>
          </w:p>
        </w:tc>
        <w:tc>
          <w:tcPr>
            <w:tcW w:w="2908" w:type="dxa"/>
            <w:shd w:val="clear" w:color="auto" w:fill="auto"/>
          </w:tcPr>
          <w:p w14:paraId="77FA37F6" w14:textId="77777777" w:rsidR="00A73CE9" w:rsidRPr="00097857" w:rsidRDefault="00A73CE9" w:rsidP="003E5A87">
            <w:pPr>
              <w:pStyle w:val="TableText"/>
              <w:jc w:val="left"/>
            </w:pPr>
            <w:r w:rsidRPr="00097857">
              <w:t>increased respiration and pulmonary resistance; cough, pain, shortness of breath, lung inflammation</w:t>
            </w:r>
          </w:p>
        </w:tc>
        <w:tc>
          <w:tcPr>
            <w:tcW w:w="2132" w:type="dxa"/>
            <w:shd w:val="clear" w:color="auto" w:fill="auto"/>
          </w:tcPr>
          <w:p w14:paraId="5541D99E" w14:textId="77777777" w:rsidR="00A73CE9" w:rsidRPr="00097857" w:rsidRDefault="00A73CE9" w:rsidP="003E5A87">
            <w:pPr>
              <w:pStyle w:val="TableText"/>
              <w:jc w:val="left"/>
            </w:pPr>
            <w:r w:rsidRPr="00097857">
              <w:t>permeability of respiratory epithelia, possibility of permanent lung impairment</w:t>
            </w:r>
          </w:p>
        </w:tc>
      </w:tr>
      <w:tr w:rsidR="00A73CE9" w:rsidRPr="00FE4B42" w14:paraId="5E9A9392" w14:textId="77777777" w:rsidTr="003E5A87">
        <w:trPr>
          <w:trHeight w:val="20"/>
          <w:jc w:val="center"/>
        </w:trPr>
        <w:tc>
          <w:tcPr>
            <w:tcW w:w="1501" w:type="dxa"/>
            <w:tcBorders>
              <w:bottom w:val="single" w:sz="4" w:space="0" w:color="auto"/>
            </w:tcBorders>
            <w:shd w:val="clear" w:color="auto" w:fill="auto"/>
          </w:tcPr>
          <w:p w14:paraId="5A360BD8" w14:textId="77777777" w:rsidR="00A73CE9" w:rsidRPr="00097857" w:rsidRDefault="00A73CE9" w:rsidP="003E5A87">
            <w:pPr>
              <w:pStyle w:val="TableText"/>
              <w:jc w:val="left"/>
            </w:pPr>
            <w:r w:rsidRPr="00097857">
              <w:t>Carbon monoxide (CO)</w:t>
            </w:r>
          </w:p>
        </w:tc>
        <w:tc>
          <w:tcPr>
            <w:tcW w:w="3539" w:type="dxa"/>
            <w:tcBorders>
              <w:bottom w:val="single" w:sz="4" w:space="0" w:color="auto"/>
            </w:tcBorders>
            <w:shd w:val="clear" w:color="auto" w:fill="auto"/>
          </w:tcPr>
          <w:p w14:paraId="6671532E" w14:textId="77777777" w:rsidR="00A73CE9" w:rsidRPr="00097857" w:rsidRDefault="00A73CE9" w:rsidP="003E5A87">
            <w:pPr>
              <w:pStyle w:val="TableText"/>
              <w:jc w:val="left"/>
            </w:pPr>
            <w:r>
              <w:t>i</w:t>
            </w:r>
            <w:r w:rsidRPr="00097857">
              <w:t>ncomplete combustion of fuels; motor vehicle exhaust</w:t>
            </w:r>
          </w:p>
        </w:tc>
        <w:tc>
          <w:tcPr>
            <w:tcW w:w="2908" w:type="dxa"/>
            <w:tcBorders>
              <w:bottom w:val="single" w:sz="4" w:space="0" w:color="auto"/>
            </w:tcBorders>
            <w:shd w:val="clear" w:color="auto" w:fill="auto"/>
          </w:tcPr>
          <w:p w14:paraId="2490F344" w14:textId="77777777" w:rsidR="00A73CE9" w:rsidRPr="00097857" w:rsidRDefault="00A73CE9" w:rsidP="003E5A87">
            <w:pPr>
              <w:pStyle w:val="TableText"/>
              <w:jc w:val="left"/>
            </w:pPr>
            <w:r w:rsidRPr="00097857">
              <w:t>headache, dizziness, fatigue, nausea, vomiting, death</w:t>
            </w:r>
          </w:p>
        </w:tc>
        <w:tc>
          <w:tcPr>
            <w:tcW w:w="2132" w:type="dxa"/>
            <w:tcBorders>
              <w:bottom w:val="single" w:sz="4" w:space="0" w:color="auto"/>
            </w:tcBorders>
            <w:shd w:val="clear" w:color="auto" w:fill="auto"/>
          </w:tcPr>
          <w:p w14:paraId="67D12C3A" w14:textId="77777777" w:rsidR="00A73CE9" w:rsidRPr="00097857" w:rsidRDefault="00A73CE9" w:rsidP="003E5A87">
            <w:pPr>
              <w:pStyle w:val="TableText"/>
              <w:jc w:val="left"/>
            </w:pPr>
            <w:r w:rsidRPr="00097857">
              <w:t>permanent heart and brain damage</w:t>
            </w:r>
          </w:p>
        </w:tc>
      </w:tr>
      <w:tr w:rsidR="00A73CE9" w:rsidRPr="00FE4B42" w14:paraId="00DFFF83" w14:textId="77777777" w:rsidTr="003E5A87">
        <w:trPr>
          <w:trHeight w:val="20"/>
          <w:jc w:val="center"/>
        </w:trPr>
        <w:tc>
          <w:tcPr>
            <w:tcW w:w="1501" w:type="dxa"/>
            <w:tcBorders>
              <w:top w:val="single" w:sz="4" w:space="0" w:color="auto"/>
              <w:bottom w:val="single" w:sz="4" w:space="0" w:color="auto"/>
            </w:tcBorders>
            <w:shd w:val="clear" w:color="auto" w:fill="auto"/>
          </w:tcPr>
          <w:p w14:paraId="6B1C3475" w14:textId="77777777" w:rsidR="00A73CE9" w:rsidRPr="00097857" w:rsidRDefault="00A73CE9" w:rsidP="003E5A87">
            <w:pPr>
              <w:pStyle w:val="TableText"/>
              <w:jc w:val="left"/>
            </w:pPr>
            <w:r w:rsidRPr="00097857">
              <w:t>Nitrogen dioxide</w:t>
            </w:r>
          </w:p>
          <w:p w14:paraId="34156657" w14:textId="77777777" w:rsidR="00A73CE9" w:rsidRPr="00097857" w:rsidRDefault="00A73CE9" w:rsidP="003E5A87">
            <w:pPr>
              <w:pStyle w:val="TableText"/>
              <w:jc w:val="left"/>
            </w:pPr>
            <w:r w:rsidRPr="00097857">
              <w:t>(NO</w:t>
            </w:r>
            <w:r w:rsidRPr="00097857">
              <w:rPr>
                <w:vertAlign w:val="subscript"/>
              </w:rPr>
              <w:t>2</w:t>
            </w:r>
            <w:r w:rsidRPr="00097857">
              <w:t>)</w:t>
            </w:r>
          </w:p>
        </w:tc>
        <w:tc>
          <w:tcPr>
            <w:tcW w:w="3539" w:type="dxa"/>
            <w:tcBorders>
              <w:top w:val="single" w:sz="4" w:space="0" w:color="auto"/>
              <w:bottom w:val="single" w:sz="4" w:space="0" w:color="auto"/>
            </w:tcBorders>
            <w:shd w:val="clear" w:color="auto" w:fill="auto"/>
          </w:tcPr>
          <w:p w14:paraId="3403D892" w14:textId="77777777" w:rsidR="00A73CE9" w:rsidRPr="00097857" w:rsidRDefault="00A73CE9" w:rsidP="003E5A87">
            <w:pPr>
              <w:pStyle w:val="TableText"/>
              <w:jc w:val="left"/>
            </w:pPr>
            <w:r w:rsidRPr="00097857">
              <w:t>combustion devices; e.g., boilers, gas turbines, and mobile and stationary reciprocating internal combustion engines</w:t>
            </w:r>
          </w:p>
        </w:tc>
        <w:tc>
          <w:tcPr>
            <w:tcW w:w="2908" w:type="dxa"/>
            <w:tcBorders>
              <w:top w:val="single" w:sz="4" w:space="0" w:color="auto"/>
              <w:bottom w:val="single" w:sz="4" w:space="0" w:color="auto"/>
            </w:tcBorders>
            <w:shd w:val="clear" w:color="auto" w:fill="auto"/>
          </w:tcPr>
          <w:p w14:paraId="12981F06" w14:textId="77777777" w:rsidR="00A73CE9" w:rsidRPr="00097857" w:rsidRDefault="00A73CE9" w:rsidP="003E5A87">
            <w:pPr>
              <w:pStyle w:val="TableText"/>
              <w:jc w:val="left"/>
            </w:pPr>
            <w:r w:rsidRPr="00097857">
              <w:t>coughing, difficulty breathing, vomiting, headache, eye irritation, chemical pneumonitis or pulmonary edema; breathing abnormalities, cough, cyanosis, chest pain, rapid heartbeat, death</w:t>
            </w:r>
          </w:p>
        </w:tc>
        <w:tc>
          <w:tcPr>
            <w:tcW w:w="2132" w:type="dxa"/>
            <w:tcBorders>
              <w:top w:val="single" w:sz="4" w:space="0" w:color="auto"/>
              <w:bottom w:val="single" w:sz="4" w:space="0" w:color="auto"/>
            </w:tcBorders>
            <w:shd w:val="clear" w:color="auto" w:fill="auto"/>
          </w:tcPr>
          <w:p w14:paraId="70EAF5AE" w14:textId="77777777" w:rsidR="00A73CE9" w:rsidRPr="00097857" w:rsidRDefault="00A73CE9" w:rsidP="003E5A87">
            <w:pPr>
              <w:pStyle w:val="TableText"/>
              <w:jc w:val="left"/>
            </w:pPr>
            <w:r w:rsidRPr="00097857">
              <w:t>chronic bronchitis, decreased lung function</w:t>
            </w:r>
          </w:p>
        </w:tc>
      </w:tr>
      <w:tr w:rsidR="00A73CE9" w:rsidRPr="00FE4B42" w14:paraId="3D9E4675" w14:textId="77777777" w:rsidTr="003E5A87">
        <w:trPr>
          <w:trHeight w:val="20"/>
          <w:jc w:val="center"/>
        </w:trPr>
        <w:tc>
          <w:tcPr>
            <w:tcW w:w="1501" w:type="dxa"/>
            <w:tcBorders>
              <w:top w:val="single" w:sz="4" w:space="0" w:color="auto"/>
              <w:bottom w:val="single" w:sz="4" w:space="0" w:color="auto"/>
            </w:tcBorders>
            <w:shd w:val="clear" w:color="auto" w:fill="auto"/>
          </w:tcPr>
          <w:p w14:paraId="2C59FC43" w14:textId="77777777" w:rsidR="00A73CE9" w:rsidRPr="00097857" w:rsidRDefault="00A73CE9" w:rsidP="003E5A87">
            <w:pPr>
              <w:pStyle w:val="TableText"/>
              <w:keepNext/>
              <w:jc w:val="left"/>
            </w:pPr>
            <w:r w:rsidRPr="00097857">
              <w:t>Sulfur dioxide (SO</w:t>
            </w:r>
            <w:r w:rsidRPr="00097857">
              <w:rPr>
                <w:vertAlign w:val="subscript"/>
              </w:rPr>
              <w:t>2</w:t>
            </w:r>
            <w:r w:rsidRPr="00097857">
              <w:t>)</w:t>
            </w:r>
          </w:p>
        </w:tc>
        <w:tc>
          <w:tcPr>
            <w:tcW w:w="3539" w:type="dxa"/>
            <w:tcBorders>
              <w:top w:val="single" w:sz="4" w:space="0" w:color="auto"/>
              <w:bottom w:val="single" w:sz="4" w:space="0" w:color="auto"/>
            </w:tcBorders>
            <w:shd w:val="clear" w:color="auto" w:fill="auto"/>
          </w:tcPr>
          <w:p w14:paraId="132F6E9C" w14:textId="77777777" w:rsidR="00A73CE9" w:rsidRPr="00097857" w:rsidRDefault="00A73CE9" w:rsidP="003E5A87">
            <w:pPr>
              <w:pStyle w:val="TableText"/>
              <w:jc w:val="left"/>
            </w:pPr>
            <w:r w:rsidRPr="00097857">
              <w:t>coal and oil combustion, steel mills, refineries, and pulp and paper mills</w:t>
            </w:r>
          </w:p>
        </w:tc>
        <w:tc>
          <w:tcPr>
            <w:tcW w:w="2908" w:type="dxa"/>
            <w:tcBorders>
              <w:top w:val="single" w:sz="4" w:space="0" w:color="auto"/>
              <w:bottom w:val="single" w:sz="4" w:space="0" w:color="auto"/>
            </w:tcBorders>
            <w:shd w:val="clear" w:color="auto" w:fill="auto"/>
          </w:tcPr>
          <w:p w14:paraId="1DB3149A" w14:textId="77777777" w:rsidR="00A73CE9" w:rsidRPr="00097857" w:rsidRDefault="00A73CE9" w:rsidP="003E5A87">
            <w:pPr>
              <w:pStyle w:val="TableText"/>
              <w:jc w:val="left"/>
            </w:pPr>
            <w:r w:rsidRPr="00097857">
              <w:t>Irritation of upper respiratory tract, increased asthma symptoms</w:t>
            </w:r>
          </w:p>
        </w:tc>
        <w:tc>
          <w:tcPr>
            <w:tcW w:w="2132" w:type="dxa"/>
            <w:tcBorders>
              <w:top w:val="single" w:sz="4" w:space="0" w:color="auto"/>
              <w:bottom w:val="single" w:sz="4" w:space="0" w:color="auto"/>
            </w:tcBorders>
            <w:shd w:val="clear" w:color="auto" w:fill="auto"/>
          </w:tcPr>
          <w:p w14:paraId="7A2A236F" w14:textId="77777777" w:rsidR="00A73CE9" w:rsidRPr="00097857" w:rsidRDefault="00A73CE9" w:rsidP="003E5A87">
            <w:pPr>
              <w:pStyle w:val="TableText"/>
              <w:jc w:val="left"/>
            </w:pPr>
            <w:r>
              <w:t>There is i</w:t>
            </w:r>
            <w:r w:rsidRPr="00097857">
              <w:t>nsufficient evidence linking SO</w:t>
            </w:r>
            <w:r w:rsidRPr="00097857">
              <w:rPr>
                <w:vertAlign w:val="subscript"/>
              </w:rPr>
              <w:t xml:space="preserve">2 </w:t>
            </w:r>
            <w:r w:rsidRPr="00097857">
              <w:t>exposure to chronic health impacts</w:t>
            </w:r>
            <w:r>
              <w:t>.</w:t>
            </w:r>
          </w:p>
        </w:tc>
      </w:tr>
      <w:tr w:rsidR="00A73CE9" w:rsidRPr="00FE4B42" w14:paraId="404D6E14" w14:textId="77777777" w:rsidTr="00C37E4E">
        <w:trPr>
          <w:trHeight w:val="20"/>
          <w:jc w:val="center"/>
        </w:trPr>
        <w:tc>
          <w:tcPr>
            <w:tcW w:w="1501" w:type="dxa"/>
            <w:tcBorders>
              <w:top w:val="single" w:sz="4" w:space="0" w:color="auto"/>
              <w:bottom w:val="single" w:sz="4" w:space="0" w:color="auto"/>
            </w:tcBorders>
            <w:shd w:val="clear" w:color="auto" w:fill="auto"/>
          </w:tcPr>
          <w:p w14:paraId="7C01D2BD" w14:textId="49D8CF3A" w:rsidR="00A73CE9" w:rsidRPr="00097857" w:rsidRDefault="00A73CE9" w:rsidP="003E5A87">
            <w:pPr>
              <w:pStyle w:val="TableText"/>
              <w:jc w:val="left"/>
            </w:pPr>
            <w:r w:rsidRPr="00097857">
              <w:t>Respirable particulate matter (PM</w:t>
            </w:r>
            <w:r w:rsidRPr="00097857">
              <w:rPr>
                <w:vertAlign w:val="subscript"/>
              </w:rPr>
              <w:t>10</w:t>
            </w:r>
            <w:r w:rsidRPr="00097857">
              <w:t xml:space="preserve">), </w:t>
            </w:r>
            <w:r w:rsidR="00502648">
              <w:br/>
            </w:r>
            <w:r w:rsidRPr="00097857">
              <w:t>Fine particulate matter (PM</w:t>
            </w:r>
            <w:r w:rsidRPr="00097857">
              <w:rPr>
                <w:vertAlign w:val="subscript"/>
              </w:rPr>
              <w:t>2.5</w:t>
            </w:r>
            <w:r w:rsidRPr="00097857">
              <w:t>)</w:t>
            </w:r>
          </w:p>
        </w:tc>
        <w:tc>
          <w:tcPr>
            <w:tcW w:w="3539" w:type="dxa"/>
            <w:tcBorders>
              <w:top w:val="single" w:sz="4" w:space="0" w:color="auto"/>
              <w:bottom w:val="single" w:sz="4" w:space="0" w:color="auto"/>
            </w:tcBorders>
            <w:shd w:val="clear" w:color="auto" w:fill="auto"/>
          </w:tcPr>
          <w:p w14:paraId="6CFE8D80" w14:textId="77777777" w:rsidR="00A73CE9" w:rsidRPr="00097857" w:rsidRDefault="00A73CE9" w:rsidP="003E5A87">
            <w:pPr>
              <w:pStyle w:val="TableText"/>
              <w:jc w:val="left"/>
            </w:pPr>
            <w:r w:rsidRPr="00097857">
              <w:t>fugitive dust, soot, smoke, mobile and stationary sources, construction, fires and natural windblown dust, and formation in the atmosphere by condensation and/or transformation of SO</w:t>
            </w:r>
            <w:r w:rsidRPr="00097857">
              <w:rPr>
                <w:vertAlign w:val="subscript"/>
              </w:rPr>
              <w:t>2</w:t>
            </w:r>
            <w:r w:rsidRPr="00097857">
              <w:t xml:space="preserve"> and ROG</w:t>
            </w:r>
          </w:p>
        </w:tc>
        <w:tc>
          <w:tcPr>
            <w:tcW w:w="2908" w:type="dxa"/>
            <w:tcBorders>
              <w:top w:val="single" w:sz="4" w:space="0" w:color="auto"/>
              <w:bottom w:val="single" w:sz="4" w:space="0" w:color="auto"/>
            </w:tcBorders>
            <w:shd w:val="clear" w:color="auto" w:fill="auto"/>
          </w:tcPr>
          <w:p w14:paraId="7C87569E" w14:textId="77777777" w:rsidR="00A73CE9" w:rsidRPr="00097857" w:rsidRDefault="00A73CE9" w:rsidP="003E5A87">
            <w:pPr>
              <w:pStyle w:val="TableText"/>
              <w:jc w:val="left"/>
            </w:pPr>
            <w:r w:rsidRPr="00097857">
              <w:t>breathing and respiratory symptoms, aggravation of existing respiratory and cardiovascular diseases, premature death</w:t>
            </w:r>
          </w:p>
        </w:tc>
        <w:tc>
          <w:tcPr>
            <w:tcW w:w="2132" w:type="dxa"/>
            <w:tcBorders>
              <w:top w:val="single" w:sz="4" w:space="0" w:color="auto"/>
              <w:bottom w:val="single" w:sz="4" w:space="0" w:color="auto"/>
            </w:tcBorders>
            <w:shd w:val="clear" w:color="auto" w:fill="auto"/>
          </w:tcPr>
          <w:p w14:paraId="6F12D39F" w14:textId="77777777" w:rsidR="00A73CE9" w:rsidRPr="00097857" w:rsidRDefault="00A73CE9" w:rsidP="003E5A87">
            <w:pPr>
              <w:pStyle w:val="TableText"/>
              <w:jc w:val="left"/>
            </w:pPr>
            <w:r w:rsidRPr="00097857">
              <w:t>alterations to the immune system, carcinogenesis</w:t>
            </w:r>
          </w:p>
        </w:tc>
      </w:tr>
      <w:tr w:rsidR="00A73CE9" w:rsidRPr="00FE4B42" w14:paraId="54BEF261" w14:textId="77777777" w:rsidTr="00C37E4E">
        <w:trPr>
          <w:trHeight w:val="20"/>
          <w:jc w:val="center"/>
        </w:trPr>
        <w:tc>
          <w:tcPr>
            <w:tcW w:w="1501" w:type="dxa"/>
            <w:tcBorders>
              <w:top w:val="single" w:sz="4" w:space="0" w:color="auto"/>
              <w:bottom w:val="single" w:sz="4" w:space="0" w:color="auto"/>
            </w:tcBorders>
            <w:shd w:val="clear" w:color="auto" w:fill="auto"/>
          </w:tcPr>
          <w:p w14:paraId="7584BDB8" w14:textId="77777777" w:rsidR="00A73CE9" w:rsidRPr="00097857" w:rsidRDefault="00A73CE9" w:rsidP="003E5A87">
            <w:pPr>
              <w:pStyle w:val="TableText"/>
              <w:jc w:val="left"/>
            </w:pPr>
            <w:r w:rsidRPr="00097857">
              <w:t>Lead</w:t>
            </w:r>
          </w:p>
        </w:tc>
        <w:tc>
          <w:tcPr>
            <w:tcW w:w="3539" w:type="dxa"/>
            <w:tcBorders>
              <w:top w:val="single" w:sz="4" w:space="0" w:color="auto"/>
              <w:bottom w:val="single" w:sz="4" w:space="0" w:color="auto"/>
            </w:tcBorders>
            <w:shd w:val="clear" w:color="auto" w:fill="auto"/>
          </w:tcPr>
          <w:p w14:paraId="006F2E7D" w14:textId="77777777" w:rsidR="00A73CE9" w:rsidRPr="00097857" w:rsidRDefault="00A73CE9" w:rsidP="003E5A87">
            <w:pPr>
              <w:pStyle w:val="TableText"/>
              <w:jc w:val="left"/>
            </w:pPr>
            <w:r w:rsidRPr="00097857">
              <w:t>metal processing</w:t>
            </w:r>
          </w:p>
        </w:tc>
        <w:tc>
          <w:tcPr>
            <w:tcW w:w="2908" w:type="dxa"/>
            <w:tcBorders>
              <w:top w:val="single" w:sz="4" w:space="0" w:color="auto"/>
              <w:bottom w:val="single" w:sz="4" w:space="0" w:color="auto"/>
            </w:tcBorders>
            <w:shd w:val="clear" w:color="auto" w:fill="auto"/>
          </w:tcPr>
          <w:p w14:paraId="44572197" w14:textId="77777777" w:rsidR="00A73CE9" w:rsidRPr="00097857" w:rsidRDefault="00A73CE9" w:rsidP="003E5A87">
            <w:pPr>
              <w:pStyle w:val="TableText"/>
              <w:jc w:val="left"/>
            </w:pPr>
            <w:r w:rsidRPr="00097857">
              <w:t>reproductive/ developmental effects (fetuses and children)</w:t>
            </w:r>
          </w:p>
        </w:tc>
        <w:tc>
          <w:tcPr>
            <w:tcW w:w="2132" w:type="dxa"/>
            <w:tcBorders>
              <w:top w:val="single" w:sz="4" w:space="0" w:color="auto"/>
              <w:bottom w:val="single" w:sz="4" w:space="0" w:color="auto"/>
            </w:tcBorders>
            <w:shd w:val="clear" w:color="auto" w:fill="auto"/>
          </w:tcPr>
          <w:p w14:paraId="5DB06FD4" w14:textId="77777777" w:rsidR="00A73CE9" w:rsidRPr="00097857" w:rsidRDefault="00A73CE9" w:rsidP="003E5A87">
            <w:pPr>
              <w:pStyle w:val="TableText"/>
              <w:jc w:val="left"/>
            </w:pPr>
            <w:r w:rsidRPr="00097857">
              <w:t>numerous effects including neurological, endocrine, and cardiovascular effects</w:t>
            </w:r>
          </w:p>
        </w:tc>
      </w:tr>
    </w:tbl>
    <w:p w14:paraId="6176D108" w14:textId="77777777" w:rsidR="00C37E4E" w:rsidRPr="00097857" w:rsidRDefault="00C37E4E" w:rsidP="003E5A87">
      <w:pPr>
        <w:pStyle w:val="TableSource"/>
        <w:spacing w:after="60"/>
      </w:pPr>
      <w:r w:rsidRPr="00097857">
        <w:t>Notes: NO</w:t>
      </w:r>
      <w:r w:rsidRPr="00097857">
        <w:rPr>
          <w:vertAlign w:val="subscript"/>
        </w:rPr>
        <w:t>X</w:t>
      </w:r>
      <w:r w:rsidRPr="00097857">
        <w:t xml:space="preserve"> = oxides of nitrogen; ROG = reactive organic gases.</w:t>
      </w:r>
    </w:p>
    <w:p w14:paraId="263DFC4B" w14:textId="77777777" w:rsidR="00C37E4E" w:rsidRPr="00097857" w:rsidRDefault="00C37E4E" w:rsidP="003E5A87">
      <w:pPr>
        <w:pStyle w:val="TableSource"/>
        <w:spacing w:after="60"/>
      </w:pPr>
      <w:r w:rsidRPr="00097857">
        <w:rPr>
          <w:vertAlign w:val="superscript"/>
        </w:rPr>
        <w:t>1</w:t>
      </w:r>
      <w:r w:rsidRPr="00097857">
        <w:t xml:space="preserve"> Acute</w:t>
      </w:r>
      <w:r>
        <w:t xml:space="preserve"> health effects</w:t>
      </w:r>
      <w:r w:rsidRPr="00097857">
        <w:t xml:space="preserve"> refer to</w:t>
      </w:r>
      <w:r>
        <w:t xml:space="preserve"> immediate illnesses caused by</w:t>
      </w:r>
      <w:r w:rsidRPr="00097857">
        <w:t xml:space="preserve"> short-term exposures to criteria air pollutants at fairly high concentrations.</w:t>
      </w:r>
      <w:r>
        <w:t xml:space="preserve"> An example of an acute health effect includes fatality resulting from short-term exposure to carbon monoxide levels in excess of 1,200 parts per million.</w:t>
      </w:r>
    </w:p>
    <w:p w14:paraId="3304A1AA" w14:textId="77777777" w:rsidR="00C37E4E" w:rsidRPr="00097857" w:rsidRDefault="00C37E4E" w:rsidP="003E5A87">
      <w:pPr>
        <w:pStyle w:val="TableSource"/>
        <w:spacing w:after="60"/>
      </w:pPr>
      <w:r w:rsidRPr="00097857">
        <w:rPr>
          <w:vertAlign w:val="superscript"/>
        </w:rPr>
        <w:t>2</w:t>
      </w:r>
      <w:r w:rsidRPr="00097857">
        <w:t xml:space="preserve"> Chronic</w:t>
      </w:r>
      <w:r>
        <w:t xml:space="preserve"> health effects</w:t>
      </w:r>
      <w:r w:rsidRPr="00097857">
        <w:t xml:space="preserve"> refer to</w:t>
      </w:r>
      <w:r>
        <w:t xml:space="preserve"> cumulative</w:t>
      </w:r>
      <w:r w:rsidRPr="00097857">
        <w:t xml:space="preserve"> effects of long-term exposures to criteria air pollutants, usually at lower, ambient concentrations.</w:t>
      </w:r>
      <w:r>
        <w:t xml:space="preserve"> An example of a chronic health effect includes the development of cancer from prolonged exposure to particulate matter at concentrations above the national ambient air quality standards. </w:t>
      </w:r>
    </w:p>
    <w:p w14:paraId="53BAB71F" w14:textId="77777777" w:rsidR="00C37E4E" w:rsidRPr="00097857" w:rsidRDefault="00C37E4E" w:rsidP="003E5A87">
      <w:pPr>
        <w:pStyle w:val="TableSource"/>
        <w:rPr>
          <w:rFonts w:ascii="Times New Roman" w:hAnsi="Times New Roman"/>
          <w:sz w:val="20"/>
        </w:rPr>
      </w:pPr>
      <w:r w:rsidRPr="00097857">
        <w:t>Sources: EPA 201</w:t>
      </w:r>
      <w:r>
        <w:t>8</w:t>
      </w:r>
    </w:p>
    <w:p w14:paraId="138F294B" w14:textId="77777777" w:rsidR="00444E5E" w:rsidRPr="00CF457B" w:rsidRDefault="00444E5E" w:rsidP="00444E5E">
      <w:pPr>
        <w:pStyle w:val="Heading5"/>
      </w:pPr>
      <w:r w:rsidRPr="00CF457B">
        <w:lastRenderedPageBreak/>
        <w:t>Ozone</w:t>
      </w:r>
    </w:p>
    <w:p w14:paraId="762FD425" w14:textId="77777777" w:rsidR="00444E5E" w:rsidRPr="00CF457B" w:rsidRDefault="00444E5E" w:rsidP="00A73CE9">
      <w:pPr>
        <w:pStyle w:val="BodyText"/>
        <w:keepLines/>
      </w:pPr>
      <w:r w:rsidRPr="00CF457B">
        <w:t>Ozone is a photochemical oxidant (a substance whose oxygen combines chemically with another substance in the presence of sunlight) and the primary component of smog. Ozone is not directly emitted into the air but is formed as a secondary pollutant through complex chemical reactions between precursor emissions of reactive organic gases (ROG) and oxides of nitrogen (NO</w:t>
      </w:r>
      <w:r w:rsidRPr="00CF457B">
        <w:rPr>
          <w:caps/>
          <w:vertAlign w:val="subscript"/>
        </w:rPr>
        <w:t>X</w:t>
      </w:r>
      <w:r w:rsidRPr="00CF457B">
        <w:rPr>
          <w:caps/>
        </w:rPr>
        <w:t xml:space="preserve">) </w:t>
      </w:r>
      <w:r w:rsidRPr="00CF457B">
        <w:t>in the presence of sunlight. ROG are volatile organic compounds that are photochemically reactive. ROG emissions result primarily from incomplete combustion and the evaporation of chemical solvents and fuels. NO</w:t>
      </w:r>
      <w:r w:rsidRPr="00CF457B">
        <w:rPr>
          <w:caps/>
          <w:vertAlign w:val="subscript"/>
        </w:rPr>
        <w:t>X</w:t>
      </w:r>
      <w:r w:rsidRPr="00CF457B">
        <w:rPr>
          <w:caps/>
        </w:rPr>
        <w:t xml:space="preserve"> </w:t>
      </w:r>
      <w:r w:rsidRPr="00CF457B">
        <w:t xml:space="preserve">are a group of gaseous compounds of nitrogen and oxygen that result from the combustion of fuels. </w:t>
      </w:r>
    </w:p>
    <w:p w14:paraId="23EA8E99" w14:textId="77777777" w:rsidR="00444E5E" w:rsidRPr="00FE4B42" w:rsidRDefault="00444E5E" w:rsidP="00CB1055">
      <w:pPr>
        <w:pStyle w:val="BodyText"/>
        <w:rPr>
          <w:highlight w:val="yellow"/>
        </w:rPr>
      </w:pPr>
      <w:r w:rsidRPr="00CF457B">
        <w:t>Emissions of the ozone precursors ROG and NO</w:t>
      </w:r>
      <w:r w:rsidRPr="00CF457B">
        <w:rPr>
          <w:caps/>
          <w:vertAlign w:val="subscript"/>
        </w:rPr>
        <w:t>X</w:t>
      </w:r>
      <w:r w:rsidRPr="00CF457B">
        <w:t xml:space="preserve"> have decreased over the past several years because of more stringent motor vehicle standards and cleaner burning fuels. Emissions of ROG and NO</w:t>
      </w:r>
      <w:r w:rsidRPr="00CF457B">
        <w:rPr>
          <w:vertAlign w:val="subscript"/>
        </w:rPr>
        <w:t>X</w:t>
      </w:r>
      <w:r w:rsidRPr="00CF457B">
        <w:t xml:space="preserve"> decreased from 2000 to 2010 and are projected to continue decreasing from 2010 to </w:t>
      </w:r>
      <w:r w:rsidRPr="00323877">
        <w:t>2035 (CARB 2013).</w:t>
      </w:r>
    </w:p>
    <w:p w14:paraId="786D407F" w14:textId="77777777" w:rsidR="00444E5E" w:rsidRPr="00CF457B" w:rsidRDefault="00444E5E" w:rsidP="00444E5E">
      <w:pPr>
        <w:pStyle w:val="Heading5"/>
      </w:pPr>
      <w:r w:rsidRPr="00CF457B">
        <w:t>Nitrogen Dioxide</w:t>
      </w:r>
    </w:p>
    <w:p w14:paraId="12503BD4" w14:textId="5DA86533" w:rsidR="00444E5E" w:rsidRPr="00FE4B42" w:rsidRDefault="00444E5E" w:rsidP="00CB1055">
      <w:pPr>
        <w:pStyle w:val="BodyText"/>
        <w:rPr>
          <w:highlight w:val="yellow"/>
        </w:rPr>
      </w:pPr>
      <w:r w:rsidRPr="00CF457B">
        <w:t>Nitrogen dioxide (NO</w:t>
      </w:r>
      <w:r w:rsidRPr="00CF457B">
        <w:rPr>
          <w:vertAlign w:val="subscript"/>
        </w:rPr>
        <w:t>2</w:t>
      </w:r>
      <w:r w:rsidRPr="00CF457B">
        <w:t>) is a brownish, highly reactive gas that is present in all urban environments. The major human-made sources of NO</w:t>
      </w:r>
      <w:r w:rsidRPr="00CF457B">
        <w:rPr>
          <w:vertAlign w:val="subscript"/>
        </w:rPr>
        <w:t>2</w:t>
      </w:r>
      <w:r w:rsidRPr="00CF457B">
        <w:t xml:space="preserve"> are combustion devices, such as boilers, gas turbines, and mobile and stationary reciprocating internal combustion engines. Combustion devices emit primarily nitric oxide (NO), which reacts through oxidation in the atmosphere to form NO</w:t>
      </w:r>
      <w:r w:rsidRPr="00CF457B">
        <w:rPr>
          <w:vertAlign w:val="subscript"/>
        </w:rPr>
        <w:t>2</w:t>
      </w:r>
      <w:r w:rsidRPr="00CF457B">
        <w:t>. The combined emissions of NO and NO</w:t>
      </w:r>
      <w:r w:rsidRPr="00CF457B">
        <w:rPr>
          <w:vertAlign w:val="subscript"/>
        </w:rPr>
        <w:t>2</w:t>
      </w:r>
      <w:r w:rsidRPr="00CF457B">
        <w:t xml:space="preserve"> are referred to as NO</w:t>
      </w:r>
      <w:r w:rsidRPr="00CF457B">
        <w:rPr>
          <w:caps/>
          <w:vertAlign w:val="subscript"/>
        </w:rPr>
        <w:t>X</w:t>
      </w:r>
      <w:r w:rsidRPr="00CF457B">
        <w:t xml:space="preserve"> and are reported as equivalent NO</w:t>
      </w:r>
      <w:r w:rsidRPr="00CF457B">
        <w:rPr>
          <w:vertAlign w:val="subscript"/>
        </w:rPr>
        <w:t>2</w:t>
      </w:r>
      <w:r w:rsidRPr="00CF457B">
        <w:t>. Because NO</w:t>
      </w:r>
      <w:r w:rsidRPr="00CF457B">
        <w:rPr>
          <w:vertAlign w:val="subscript"/>
        </w:rPr>
        <w:t>2</w:t>
      </w:r>
      <w:r w:rsidRPr="00CF457B">
        <w:t xml:space="preserve"> is formed and depleted by reactions associated with photochemical smog (ozone), the NO</w:t>
      </w:r>
      <w:r w:rsidRPr="00CF457B">
        <w:rPr>
          <w:vertAlign w:val="subscript"/>
        </w:rPr>
        <w:t>2</w:t>
      </w:r>
      <w:r w:rsidRPr="00CF457B">
        <w:t xml:space="preserve"> concentration in a particular geographical area may not be representative of the local sources of NO</w:t>
      </w:r>
      <w:r w:rsidRPr="00CF457B">
        <w:rPr>
          <w:caps/>
          <w:vertAlign w:val="subscript"/>
        </w:rPr>
        <w:t xml:space="preserve">X </w:t>
      </w:r>
      <w:r w:rsidRPr="00CF457B">
        <w:t xml:space="preserve">emissions </w:t>
      </w:r>
      <w:r w:rsidRPr="00946BD7">
        <w:t>(EPA</w:t>
      </w:r>
      <w:r w:rsidR="001F01F4">
        <w:t xml:space="preserve"> </w:t>
      </w:r>
      <w:r w:rsidRPr="00946BD7">
        <w:t>2012).</w:t>
      </w:r>
    </w:p>
    <w:p w14:paraId="779D2084" w14:textId="77777777" w:rsidR="001764B7" w:rsidRPr="00CF457B" w:rsidRDefault="001764B7" w:rsidP="001764B7">
      <w:pPr>
        <w:pStyle w:val="Heading5"/>
      </w:pPr>
      <w:r w:rsidRPr="00CF457B">
        <w:t>Particulate Matter</w:t>
      </w:r>
    </w:p>
    <w:p w14:paraId="2CC6CA56" w14:textId="6296168B" w:rsidR="007F3718" w:rsidRDefault="00444E5E" w:rsidP="00CB1055">
      <w:pPr>
        <w:pStyle w:val="BodyText"/>
      </w:pPr>
      <w:r w:rsidRPr="00CF457B">
        <w:t>Respirable particulate matter with an aerodynamic diameter of 10 micrometers or less is referred to as PM</w:t>
      </w:r>
      <w:r w:rsidRPr="00CF457B">
        <w:rPr>
          <w:vertAlign w:val="subscript"/>
        </w:rPr>
        <w:t>10</w:t>
      </w:r>
      <w:r w:rsidRPr="00CF457B">
        <w:t>. PM</w:t>
      </w:r>
      <w:r w:rsidRPr="00CF457B">
        <w:rPr>
          <w:vertAlign w:val="subscript"/>
        </w:rPr>
        <w:t>10 </w:t>
      </w:r>
      <w:r w:rsidRPr="00CF457B">
        <w:t xml:space="preserve">consists of particulate matter emitted directly into the air, such as fugitive dust, soot, and smoke from mobile and stationary sources, construction operations, fires and natural windblown dust, and particulate matter formed in the atmosphere by reaction of gaseous precursors </w:t>
      </w:r>
      <w:r w:rsidRPr="00946BD7">
        <w:t>(CARB 2013). Fine particulate matter (PM</w:t>
      </w:r>
      <w:r w:rsidRPr="00946BD7">
        <w:rPr>
          <w:vertAlign w:val="subscript"/>
        </w:rPr>
        <w:t>2.5</w:t>
      </w:r>
      <w:r w:rsidRPr="00946BD7">
        <w:t>) includes a subgroup of smaller particles that have an aerodynamic diameter of 2.5 micrometers or less. PM</w:t>
      </w:r>
      <w:r w:rsidRPr="00946BD7">
        <w:rPr>
          <w:vertAlign w:val="subscript"/>
        </w:rPr>
        <w:t>10</w:t>
      </w:r>
      <w:r w:rsidRPr="00946BD7">
        <w:t xml:space="preserve"> emissions in the </w:t>
      </w:r>
      <w:r>
        <w:t>treatable landscape</w:t>
      </w:r>
      <w:r w:rsidRPr="00946BD7">
        <w:t xml:space="preserve"> are dominated by emissions from area sources, primarily fugitive dust from vehicle travel on unpaved and paved roads, farming operations, construction and demolition, and particles from residential fuel combustion.</w:t>
      </w:r>
    </w:p>
    <w:p w14:paraId="4E3B2C2C" w14:textId="37C770F1" w:rsidR="00444E5E" w:rsidRPr="004D3566" w:rsidRDefault="00444E5E" w:rsidP="00CB1055">
      <w:pPr>
        <w:pStyle w:val="BodyText"/>
      </w:pPr>
      <w:r w:rsidRPr="00946BD7">
        <w:t xml:space="preserve">Direct emissions </w:t>
      </w:r>
      <w:r w:rsidR="005D6881">
        <w:t>of PM</w:t>
      </w:r>
      <w:r w:rsidR="005D6881">
        <w:rPr>
          <w:vertAlign w:val="subscript"/>
        </w:rPr>
        <w:t>10</w:t>
      </w:r>
      <w:r w:rsidR="005D6881">
        <w:t xml:space="preserve"> in </w:t>
      </w:r>
      <w:r>
        <w:t>California</w:t>
      </w:r>
      <w:r w:rsidRPr="00946BD7">
        <w:t xml:space="preserve"> </w:t>
      </w:r>
      <w:r w:rsidR="005D6881">
        <w:t xml:space="preserve">have increased slightly over the last 20 years, </w:t>
      </w:r>
      <w:r w:rsidRPr="00946BD7">
        <w:t>and are projected to increase very slightly through 2035. Emissions of PM</w:t>
      </w:r>
      <w:r w:rsidRPr="00946BD7">
        <w:rPr>
          <w:vertAlign w:val="subscript"/>
        </w:rPr>
        <w:t>2.5</w:t>
      </w:r>
      <w:r w:rsidRPr="00946BD7">
        <w:t xml:space="preserve"> are dominated by </w:t>
      </w:r>
      <w:r w:rsidR="004D7DF9">
        <w:t xml:space="preserve">several of </w:t>
      </w:r>
      <w:r w:rsidRPr="00946BD7">
        <w:t>the same sources as emissions of PM</w:t>
      </w:r>
      <w:r w:rsidRPr="00946BD7">
        <w:rPr>
          <w:vertAlign w:val="subscript"/>
        </w:rPr>
        <w:t>10</w:t>
      </w:r>
      <w:r w:rsidR="004D7DF9">
        <w:t>, but are more greatly influenced by combustion sources</w:t>
      </w:r>
      <w:r w:rsidRPr="00946BD7">
        <w:t xml:space="preserve"> (CARB 2013).</w:t>
      </w:r>
    </w:p>
    <w:p w14:paraId="5239F01F" w14:textId="77777777" w:rsidR="00071BAB" w:rsidRDefault="00E5680D" w:rsidP="009A0907">
      <w:pPr>
        <w:pStyle w:val="BodyText"/>
        <w:spacing w:before="240"/>
      </w:pPr>
      <w:r>
        <w:t>Table 3.4-4 shows t</w:t>
      </w:r>
      <w:r w:rsidR="00071BAB" w:rsidRPr="00CF457B">
        <w:t xml:space="preserve">he attainment status </w:t>
      </w:r>
      <w:r w:rsidR="00071BAB">
        <w:t xml:space="preserve">for each criteria air pollutant with respect to </w:t>
      </w:r>
      <w:r w:rsidR="00071BAB" w:rsidRPr="00CF457B">
        <w:t xml:space="preserve">the CAAQS and the NAAQS </w:t>
      </w:r>
      <w:r>
        <w:t xml:space="preserve">in </w:t>
      </w:r>
      <w:r w:rsidR="00071BAB" w:rsidRPr="00CF457B">
        <w:t>each county</w:t>
      </w:r>
      <w:r>
        <w:t xml:space="preserve"> that is part of</w:t>
      </w:r>
      <w:r w:rsidR="00071BAB" w:rsidRPr="00CF457B">
        <w:t xml:space="preserve"> </w:t>
      </w:r>
      <w:r w:rsidR="00071BAB">
        <w:t>the treatable landscape</w:t>
      </w:r>
      <w:r w:rsidR="00071BAB" w:rsidRPr="00071BAB">
        <w:t>.</w:t>
      </w:r>
    </w:p>
    <w:p w14:paraId="7AEDC78C" w14:textId="0CD13DBB" w:rsidR="000D6A87" w:rsidRDefault="000D6A87" w:rsidP="009A0907">
      <w:pPr>
        <w:pStyle w:val="BodyText"/>
        <w:spacing w:before="240"/>
        <w:sectPr w:rsidR="000D6A87" w:rsidSect="00AF160E">
          <w:headerReference w:type="even" r:id="rId19"/>
          <w:headerReference w:type="default" r:id="rId20"/>
          <w:footerReference w:type="even" r:id="rId21"/>
          <w:footerReference w:type="default" r:id="rId22"/>
          <w:pgSz w:w="12240" w:h="15840" w:code="1"/>
          <w:pgMar w:top="1080" w:right="1080" w:bottom="1080" w:left="1080" w:header="576" w:footer="576" w:gutter="0"/>
          <w:pgNumType w:chapStyle="2"/>
          <w:cols w:space="720"/>
          <w:docGrid w:linePitch="360"/>
        </w:sectPr>
      </w:pPr>
    </w:p>
    <w:p w14:paraId="78B771F5" w14:textId="5B4B282D" w:rsidR="00071BAB" w:rsidRDefault="00C37E4E" w:rsidP="00C37E4E">
      <w:pPr>
        <w:pStyle w:val="TableHeader"/>
      </w:pPr>
      <w:bookmarkStart w:id="43" w:name="_Toc23834434"/>
      <w:r>
        <w:lastRenderedPageBreak/>
        <w:t>Table 3.4-4</w:t>
      </w:r>
      <w:r w:rsidRPr="00324FC8">
        <w:tab/>
      </w:r>
      <w:r>
        <w:t>Attainment Designations for Criteria Pollutants by County, Statewide</w:t>
      </w:r>
      <w:bookmarkEnd w:id="43"/>
    </w:p>
    <w:tbl>
      <w:tblPr>
        <w:tblStyle w:val="TableGrid"/>
        <w:tblW w:w="13681" w:type="dxa"/>
        <w:jc w:val="center"/>
        <w:shd w:val="clear" w:color="auto" w:fill="FFFFFF" w:themeFill="background1"/>
        <w:tblLayout w:type="fixed"/>
        <w:tblCellMar>
          <w:top w:w="29" w:type="dxa"/>
          <w:left w:w="14" w:type="dxa"/>
          <w:bottom w:w="29" w:type="dxa"/>
          <w:right w:w="14" w:type="dxa"/>
        </w:tblCellMar>
        <w:tblLook w:val="04A0" w:firstRow="1" w:lastRow="0" w:firstColumn="1" w:lastColumn="0" w:noHBand="0" w:noVBand="1"/>
      </w:tblPr>
      <w:tblGrid>
        <w:gridCol w:w="1016"/>
        <w:gridCol w:w="620"/>
        <w:gridCol w:w="665"/>
        <w:gridCol w:w="600"/>
        <w:gridCol w:w="600"/>
        <w:gridCol w:w="600"/>
        <w:gridCol w:w="600"/>
        <w:gridCol w:w="599"/>
        <w:gridCol w:w="599"/>
        <w:gridCol w:w="599"/>
        <w:gridCol w:w="599"/>
        <w:gridCol w:w="599"/>
        <w:gridCol w:w="599"/>
        <w:gridCol w:w="614"/>
        <w:gridCol w:w="646"/>
        <w:gridCol w:w="695"/>
        <w:gridCol w:w="680"/>
        <w:gridCol w:w="688"/>
        <w:gridCol w:w="688"/>
        <w:gridCol w:w="663"/>
        <w:gridCol w:w="712"/>
      </w:tblGrid>
      <w:tr w:rsidR="00C37E4E" w14:paraId="3D1C7AFC" w14:textId="77777777" w:rsidTr="00236A57">
        <w:trPr>
          <w:trHeight w:val="20"/>
          <w:tblHeader/>
          <w:jc w:val="center"/>
        </w:trPr>
        <w:tc>
          <w:tcPr>
            <w:tcW w:w="1016" w:type="dxa"/>
            <w:tcBorders>
              <w:left w:val="nil"/>
            </w:tcBorders>
            <w:shd w:val="clear" w:color="auto" w:fill="D9D9D9" w:themeFill="background1" w:themeFillShade="D9"/>
            <w:vAlign w:val="center"/>
          </w:tcPr>
          <w:p w14:paraId="77120184" w14:textId="77777777" w:rsidR="00C37E4E" w:rsidRPr="005F3E04" w:rsidRDefault="00C37E4E" w:rsidP="00C37E4E">
            <w:pPr>
              <w:pStyle w:val="TableColumn"/>
            </w:pPr>
            <w:r>
              <w:t>County</w:t>
            </w:r>
          </w:p>
        </w:tc>
        <w:tc>
          <w:tcPr>
            <w:tcW w:w="620" w:type="dxa"/>
            <w:shd w:val="clear" w:color="auto" w:fill="D9D9D9" w:themeFill="background1" w:themeFillShade="D9"/>
            <w:vAlign w:val="center"/>
          </w:tcPr>
          <w:p w14:paraId="08D11E7E" w14:textId="77777777" w:rsidR="00C37E4E" w:rsidRPr="005F3E04" w:rsidRDefault="00C37E4E" w:rsidP="00C37E4E">
            <w:pPr>
              <w:pStyle w:val="TableColumn"/>
            </w:pPr>
            <w:r>
              <w:t>Ozone</w:t>
            </w:r>
          </w:p>
          <w:p w14:paraId="598B6CDD" w14:textId="77777777" w:rsidR="00C37E4E" w:rsidRPr="005F3E04" w:rsidRDefault="00C37E4E" w:rsidP="00C37E4E">
            <w:pPr>
              <w:pStyle w:val="TableColumn"/>
            </w:pPr>
            <w:r w:rsidRPr="00C12FF2">
              <w:rPr>
                <w:sz w:val="14"/>
                <w:szCs w:val="14"/>
              </w:rPr>
              <w:t>CA</w:t>
            </w:r>
            <w:r>
              <w:rPr>
                <w:sz w:val="14"/>
                <w:szCs w:val="14"/>
              </w:rPr>
              <w:t>AQS</w:t>
            </w:r>
          </w:p>
        </w:tc>
        <w:tc>
          <w:tcPr>
            <w:tcW w:w="665" w:type="dxa"/>
            <w:shd w:val="clear" w:color="auto" w:fill="D9D9D9" w:themeFill="background1" w:themeFillShade="D9"/>
            <w:vAlign w:val="center"/>
          </w:tcPr>
          <w:p w14:paraId="54DC30C0" w14:textId="77777777" w:rsidR="00C37E4E" w:rsidRPr="005F3E04" w:rsidRDefault="00C37E4E" w:rsidP="00C37E4E">
            <w:pPr>
              <w:pStyle w:val="TableColumn"/>
            </w:pPr>
            <w:r>
              <w:t>Ozone</w:t>
            </w:r>
          </w:p>
          <w:p w14:paraId="1E47271E" w14:textId="77777777" w:rsidR="00C37E4E" w:rsidRPr="005F3E04" w:rsidRDefault="00C37E4E" w:rsidP="00C37E4E">
            <w:pPr>
              <w:pStyle w:val="TableColumn"/>
            </w:pPr>
            <w:r w:rsidRPr="00C12FF2">
              <w:rPr>
                <w:sz w:val="14"/>
                <w:szCs w:val="14"/>
              </w:rPr>
              <w:t>NA</w:t>
            </w:r>
            <w:r>
              <w:rPr>
                <w:sz w:val="14"/>
                <w:szCs w:val="14"/>
              </w:rPr>
              <w:t>AQS</w:t>
            </w:r>
          </w:p>
        </w:tc>
        <w:tc>
          <w:tcPr>
            <w:tcW w:w="600" w:type="dxa"/>
            <w:shd w:val="clear" w:color="auto" w:fill="D9D9D9" w:themeFill="background1" w:themeFillShade="D9"/>
            <w:vAlign w:val="center"/>
          </w:tcPr>
          <w:p w14:paraId="2AB47CEC" w14:textId="77777777" w:rsidR="00C37E4E" w:rsidRPr="00C37E4E" w:rsidRDefault="00C37E4E" w:rsidP="00C37E4E">
            <w:pPr>
              <w:pStyle w:val="TableColumn"/>
              <w:rPr>
                <w:spacing w:val="-28"/>
              </w:rPr>
            </w:pPr>
            <w:r w:rsidRPr="00C37E4E">
              <w:rPr>
                <w:spacing w:val="-28"/>
              </w:rPr>
              <w:t>Carbon Monoxide</w:t>
            </w:r>
          </w:p>
          <w:p w14:paraId="69292719" w14:textId="77777777" w:rsidR="00C37E4E" w:rsidRPr="005F3E04" w:rsidRDefault="00C37E4E" w:rsidP="00C37E4E">
            <w:pPr>
              <w:pStyle w:val="TableColumn"/>
            </w:pPr>
            <w:r w:rsidRPr="00C12FF2">
              <w:rPr>
                <w:sz w:val="14"/>
                <w:szCs w:val="14"/>
              </w:rPr>
              <w:t>CA</w:t>
            </w:r>
            <w:r>
              <w:rPr>
                <w:sz w:val="14"/>
                <w:szCs w:val="14"/>
              </w:rPr>
              <w:t>AQS</w:t>
            </w:r>
          </w:p>
        </w:tc>
        <w:tc>
          <w:tcPr>
            <w:tcW w:w="600" w:type="dxa"/>
            <w:shd w:val="clear" w:color="auto" w:fill="D9D9D9" w:themeFill="background1" w:themeFillShade="D9"/>
            <w:vAlign w:val="center"/>
          </w:tcPr>
          <w:p w14:paraId="6ACDE137" w14:textId="77777777" w:rsidR="00C37E4E" w:rsidRPr="00C37E4E" w:rsidRDefault="00C37E4E" w:rsidP="00C37E4E">
            <w:pPr>
              <w:pStyle w:val="TableColumn"/>
              <w:rPr>
                <w:spacing w:val="-24"/>
              </w:rPr>
            </w:pPr>
            <w:r w:rsidRPr="00C37E4E">
              <w:rPr>
                <w:spacing w:val="-24"/>
              </w:rPr>
              <w:t>Carbon Monoxide</w:t>
            </w:r>
          </w:p>
          <w:p w14:paraId="7745F3D6" w14:textId="77777777" w:rsidR="00C37E4E" w:rsidRPr="005F3E04" w:rsidRDefault="00C37E4E" w:rsidP="00C37E4E">
            <w:pPr>
              <w:pStyle w:val="TableColumn"/>
            </w:pPr>
            <w:r w:rsidRPr="00C12FF2">
              <w:rPr>
                <w:sz w:val="14"/>
                <w:szCs w:val="14"/>
              </w:rPr>
              <w:t>NA</w:t>
            </w:r>
            <w:r>
              <w:rPr>
                <w:sz w:val="14"/>
                <w:szCs w:val="14"/>
              </w:rPr>
              <w:t>AQS</w:t>
            </w:r>
          </w:p>
        </w:tc>
        <w:tc>
          <w:tcPr>
            <w:tcW w:w="600" w:type="dxa"/>
            <w:shd w:val="clear" w:color="auto" w:fill="D9D9D9" w:themeFill="background1" w:themeFillShade="D9"/>
            <w:vAlign w:val="center"/>
          </w:tcPr>
          <w:p w14:paraId="51A8587F" w14:textId="77777777" w:rsidR="00C37E4E" w:rsidRPr="005F3E04" w:rsidRDefault="00C37E4E" w:rsidP="00C37E4E">
            <w:pPr>
              <w:pStyle w:val="TableColumn"/>
              <w:rPr>
                <w:vertAlign w:val="subscript"/>
              </w:rPr>
            </w:pPr>
            <w:r>
              <w:t>NO</w:t>
            </w:r>
            <w:r>
              <w:rPr>
                <w:vertAlign w:val="subscript"/>
              </w:rPr>
              <w:t>2</w:t>
            </w:r>
          </w:p>
          <w:p w14:paraId="4257CE70" w14:textId="77777777" w:rsidR="00C37E4E" w:rsidRPr="005F3E04" w:rsidRDefault="00C37E4E" w:rsidP="00C37E4E">
            <w:pPr>
              <w:pStyle w:val="TableColumn"/>
              <w:rPr>
                <w:vertAlign w:val="subscript"/>
              </w:rPr>
            </w:pPr>
            <w:r w:rsidRPr="00C12FF2">
              <w:rPr>
                <w:sz w:val="14"/>
                <w:szCs w:val="14"/>
              </w:rPr>
              <w:t>CA</w:t>
            </w:r>
            <w:r>
              <w:rPr>
                <w:sz w:val="14"/>
                <w:szCs w:val="14"/>
              </w:rPr>
              <w:t>AQS</w:t>
            </w:r>
          </w:p>
        </w:tc>
        <w:tc>
          <w:tcPr>
            <w:tcW w:w="600" w:type="dxa"/>
            <w:shd w:val="clear" w:color="auto" w:fill="D9D9D9" w:themeFill="background1" w:themeFillShade="D9"/>
            <w:vAlign w:val="center"/>
          </w:tcPr>
          <w:p w14:paraId="3D977169" w14:textId="77777777" w:rsidR="00C37E4E" w:rsidRPr="005F3E04" w:rsidRDefault="00C37E4E" w:rsidP="00C37E4E">
            <w:pPr>
              <w:pStyle w:val="TableColumn"/>
              <w:rPr>
                <w:vertAlign w:val="subscript"/>
              </w:rPr>
            </w:pPr>
            <w:r>
              <w:t>NO</w:t>
            </w:r>
            <w:r>
              <w:rPr>
                <w:vertAlign w:val="subscript"/>
              </w:rPr>
              <w:t>2</w:t>
            </w:r>
          </w:p>
          <w:p w14:paraId="75E690FF" w14:textId="77777777" w:rsidR="00C37E4E" w:rsidRPr="005F3E04" w:rsidRDefault="00C37E4E" w:rsidP="00C37E4E">
            <w:pPr>
              <w:pStyle w:val="TableColumn"/>
              <w:rPr>
                <w:vertAlign w:val="subscript"/>
              </w:rPr>
            </w:pPr>
            <w:r w:rsidRPr="00C12FF2">
              <w:rPr>
                <w:sz w:val="14"/>
                <w:szCs w:val="14"/>
              </w:rPr>
              <w:t>NA</w:t>
            </w:r>
            <w:r>
              <w:rPr>
                <w:sz w:val="14"/>
                <w:szCs w:val="14"/>
              </w:rPr>
              <w:t>AQS</w:t>
            </w:r>
          </w:p>
        </w:tc>
        <w:tc>
          <w:tcPr>
            <w:tcW w:w="599" w:type="dxa"/>
            <w:shd w:val="clear" w:color="auto" w:fill="D9D9D9" w:themeFill="background1" w:themeFillShade="D9"/>
            <w:vAlign w:val="center"/>
          </w:tcPr>
          <w:p w14:paraId="29558E42" w14:textId="77777777" w:rsidR="00C37E4E" w:rsidRPr="005F3E04" w:rsidRDefault="00C37E4E" w:rsidP="00C37E4E">
            <w:pPr>
              <w:pStyle w:val="TableColumn"/>
              <w:rPr>
                <w:vertAlign w:val="subscript"/>
              </w:rPr>
            </w:pPr>
            <w:r>
              <w:t>SO</w:t>
            </w:r>
            <w:r>
              <w:rPr>
                <w:vertAlign w:val="subscript"/>
              </w:rPr>
              <w:t>2</w:t>
            </w:r>
          </w:p>
          <w:p w14:paraId="523F4B20" w14:textId="77777777" w:rsidR="00C37E4E" w:rsidRPr="005F3E04" w:rsidRDefault="00C37E4E" w:rsidP="00C37E4E">
            <w:pPr>
              <w:pStyle w:val="TableColumn"/>
              <w:rPr>
                <w:vertAlign w:val="subscript"/>
              </w:rPr>
            </w:pPr>
            <w:r w:rsidRPr="00C12FF2">
              <w:rPr>
                <w:sz w:val="14"/>
                <w:szCs w:val="14"/>
              </w:rPr>
              <w:t>CA</w:t>
            </w:r>
            <w:r>
              <w:rPr>
                <w:sz w:val="14"/>
                <w:szCs w:val="14"/>
              </w:rPr>
              <w:t>AQS</w:t>
            </w:r>
          </w:p>
        </w:tc>
        <w:tc>
          <w:tcPr>
            <w:tcW w:w="599" w:type="dxa"/>
            <w:shd w:val="clear" w:color="auto" w:fill="D9D9D9" w:themeFill="background1" w:themeFillShade="D9"/>
            <w:vAlign w:val="center"/>
          </w:tcPr>
          <w:p w14:paraId="6131D999" w14:textId="77777777" w:rsidR="00C37E4E" w:rsidRPr="005F3E04" w:rsidRDefault="00C37E4E" w:rsidP="00C37E4E">
            <w:pPr>
              <w:pStyle w:val="TableColumn"/>
              <w:rPr>
                <w:vertAlign w:val="subscript"/>
              </w:rPr>
            </w:pPr>
            <w:r>
              <w:t>SO</w:t>
            </w:r>
            <w:r>
              <w:rPr>
                <w:vertAlign w:val="subscript"/>
              </w:rPr>
              <w:t>2</w:t>
            </w:r>
          </w:p>
          <w:p w14:paraId="5075ADA7" w14:textId="77777777" w:rsidR="00C37E4E" w:rsidRPr="005F3E04" w:rsidRDefault="00C37E4E" w:rsidP="00C37E4E">
            <w:pPr>
              <w:pStyle w:val="TableColumn"/>
              <w:rPr>
                <w:vertAlign w:val="subscript"/>
              </w:rPr>
            </w:pPr>
            <w:r w:rsidRPr="00C12FF2">
              <w:rPr>
                <w:sz w:val="14"/>
                <w:szCs w:val="14"/>
              </w:rPr>
              <w:t>NA</w:t>
            </w:r>
            <w:r>
              <w:rPr>
                <w:sz w:val="14"/>
                <w:szCs w:val="14"/>
              </w:rPr>
              <w:t>AQS</w:t>
            </w:r>
          </w:p>
        </w:tc>
        <w:tc>
          <w:tcPr>
            <w:tcW w:w="599" w:type="dxa"/>
            <w:shd w:val="clear" w:color="auto" w:fill="D9D9D9" w:themeFill="background1" w:themeFillShade="D9"/>
            <w:vAlign w:val="center"/>
          </w:tcPr>
          <w:p w14:paraId="4D93CF29" w14:textId="77777777" w:rsidR="00C37E4E" w:rsidRPr="005F3E04" w:rsidRDefault="00C37E4E" w:rsidP="00C37E4E">
            <w:pPr>
              <w:pStyle w:val="TableColumn"/>
              <w:rPr>
                <w:vertAlign w:val="subscript"/>
              </w:rPr>
            </w:pPr>
            <w:r>
              <w:t>PM</w:t>
            </w:r>
            <w:r>
              <w:rPr>
                <w:vertAlign w:val="subscript"/>
              </w:rPr>
              <w:t>10</w:t>
            </w:r>
          </w:p>
          <w:p w14:paraId="3A7F3C86" w14:textId="77777777" w:rsidR="00C37E4E" w:rsidRPr="005F3E04" w:rsidRDefault="00C37E4E" w:rsidP="00C37E4E">
            <w:pPr>
              <w:pStyle w:val="TableColumn"/>
              <w:rPr>
                <w:vertAlign w:val="subscript"/>
              </w:rPr>
            </w:pPr>
            <w:r w:rsidRPr="00C12FF2">
              <w:rPr>
                <w:sz w:val="14"/>
                <w:szCs w:val="14"/>
              </w:rPr>
              <w:t>CA</w:t>
            </w:r>
            <w:r>
              <w:rPr>
                <w:sz w:val="14"/>
                <w:szCs w:val="14"/>
              </w:rPr>
              <w:t>AQS</w:t>
            </w:r>
          </w:p>
        </w:tc>
        <w:tc>
          <w:tcPr>
            <w:tcW w:w="599" w:type="dxa"/>
            <w:shd w:val="clear" w:color="auto" w:fill="D9D9D9" w:themeFill="background1" w:themeFillShade="D9"/>
            <w:vAlign w:val="center"/>
          </w:tcPr>
          <w:p w14:paraId="3E41B859" w14:textId="77777777" w:rsidR="00C37E4E" w:rsidRPr="005F3E04" w:rsidRDefault="00C37E4E" w:rsidP="00C37E4E">
            <w:pPr>
              <w:pStyle w:val="TableColumn"/>
              <w:rPr>
                <w:vertAlign w:val="subscript"/>
              </w:rPr>
            </w:pPr>
            <w:r>
              <w:t>PM</w:t>
            </w:r>
            <w:r>
              <w:rPr>
                <w:vertAlign w:val="subscript"/>
              </w:rPr>
              <w:t>10</w:t>
            </w:r>
          </w:p>
          <w:p w14:paraId="7A49F5BC" w14:textId="77777777" w:rsidR="00C37E4E" w:rsidRPr="005F3E04" w:rsidRDefault="00C37E4E" w:rsidP="00C37E4E">
            <w:pPr>
              <w:pStyle w:val="TableColumn"/>
              <w:rPr>
                <w:vertAlign w:val="subscript"/>
              </w:rPr>
            </w:pPr>
            <w:r w:rsidRPr="00C12FF2">
              <w:rPr>
                <w:sz w:val="14"/>
                <w:szCs w:val="14"/>
              </w:rPr>
              <w:t>NA</w:t>
            </w:r>
            <w:r>
              <w:rPr>
                <w:sz w:val="14"/>
                <w:szCs w:val="14"/>
              </w:rPr>
              <w:t>AQS</w:t>
            </w:r>
          </w:p>
        </w:tc>
        <w:tc>
          <w:tcPr>
            <w:tcW w:w="599" w:type="dxa"/>
            <w:shd w:val="clear" w:color="auto" w:fill="D9D9D9" w:themeFill="background1" w:themeFillShade="D9"/>
            <w:vAlign w:val="center"/>
          </w:tcPr>
          <w:p w14:paraId="02653179" w14:textId="77777777" w:rsidR="00C37E4E" w:rsidRPr="005F3E04" w:rsidRDefault="00C37E4E" w:rsidP="00C37E4E">
            <w:pPr>
              <w:pStyle w:val="TableColumn"/>
              <w:rPr>
                <w:vertAlign w:val="subscript"/>
              </w:rPr>
            </w:pPr>
            <w:r>
              <w:t>PM</w:t>
            </w:r>
            <w:r>
              <w:rPr>
                <w:vertAlign w:val="subscript"/>
              </w:rPr>
              <w:t>2.5</w:t>
            </w:r>
          </w:p>
          <w:p w14:paraId="7F27B250" w14:textId="77777777" w:rsidR="00C37E4E" w:rsidRPr="005F3E04" w:rsidRDefault="00C37E4E" w:rsidP="00C37E4E">
            <w:pPr>
              <w:pStyle w:val="TableColumn"/>
              <w:rPr>
                <w:vertAlign w:val="subscript"/>
              </w:rPr>
            </w:pPr>
            <w:r w:rsidRPr="00C12FF2">
              <w:rPr>
                <w:sz w:val="14"/>
                <w:szCs w:val="14"/>
              </w:rPr>
              <w:t>CAAQS</w:t>
            </w:r>
          </w:p>
        </w:tc>
        <w:tc>
          <w:tcPr>
            <w:tcW w:w="599" w:type="dxa"/>
            <w:shd w:val="clear" w:color="auto" w:fill="D9D9D9" w:themeFill="background1" w:themeFillShade="D9"/>
            <w:vAlign w:val="center"/>
          </w:tcPr>
          <w:p w14:paraId="30F0B295" w14:textId="77777777" w:rsidR="00C37E4E" w:rsidRPr="005F3E04" w:rsidRDefault="00C37E4E" w:rsidP="00C37E4E">
            <w:pPr>
              <w:pStyle w:val="TableColumn"/>
              <w:rPr>
                <w:vertAlign w:val="subscript"/>
              </w:rPr>
            </w:pPr>
            <w:r>
              <w:t>PM</w:t>
            </w:r>
            <w:r>
              <w:rPr>
                <w:vertAlign w:val="subscript"/>
              </w:rPr>
              <w:t>2.5</w:t>
            </w:r>
          </w:p>
          <w:p w14:paraId="1CFFD0ED" w14:textId="77777777" w:rsidR="00C37E4E" w:rsidRPr="005F3E04" w:rsidRDefault="00C37E4E" w:rsidP="00C37E4E">
            <w:pPr>
              <w:pStyle w:val="TableColumn"/>
              <w:rPr>
                <w:vertAlign w:val="subscript"/>
              </w:rPr>
            </w:pPr>
            <w:r w:rsidRPr="00C12FF2">
              <w:rPr>
                <w:sz w:val="14"/>
                <w:szCs w:val="14"/>
              </w:rPr>
              <w:t>NAAQS</w:t>
            </w:r>
          </w:p>
        </w:tc>
        <w:tc>
          <w:tcPr>
            <w:tcW w:w="614" w:type="dxa"/>
            <w:shd w:val="clear" w:color="auto" w:fill="D9D9D9" w:themeFill="background1" w:themeFillShade="D9"/>
            <w:vAlign w:val="center"/>
          </w:tcPr>
          <w:p w14:paraId="1CFEE2ED" w14:textId="77777777" w:rsidR="00C37E4E" w:rsidRPr="005F3E04" w:rsidRDefault="00C37E4E" w:rsidP="00C37E4E">
            <w:pPr>
              <w:pStyle w:val="TableColumn"/>
            </w:pPr>
            <w:r>
              <w:t>Lead</w:t>
            </w:r>
          </w:p>
          <w:p w14:paraId="795454DE" w14:textId="77777777" w:rsidR="00C37E4E" w:rsidRPr="005F3E04" w:rsidRDefault="00C37E4E" w:rsidP="00C37E4E">
            <w:pPr>
              <w:pStyle w:val="TableColumn"/>
            </w:pPr>
            <w:r w:rsidRPr="00C12FF2">
              <w:rPr>
                <w:sz w:val="14"/>
                <w:szCs w:val="14"/>
              </w:rPr>
              <w:t>CAAQS</w:t>
            </w:r>
          </w:p>
        </w:tc>
        <w:tc>
          <w:tcPr>
            <w:tcW w:w="646" w:type="dxa"/>
            <w:shd w:val="clear" w:color="auto" w:fill="D9D9D9" w:themeFill="background1" w:themeFillShade="D9"/>
            <w:vAlign w:val="center"/>
          </w:tcPr>
          <w:p w14:paraId="3348C063" w14:textId="77777777" w:rsidR="00C37E4E" w:rsidRPr="005F3E04" w:rsidRDefault="00C37E4E" w:rsidP="00C37E4E">
            <w:pPr>
              <w:pStyle w:val="TableColumn"/>
            </w:pPr>
            <w:r>
              <w:t>Lead</w:t>
            </w:r>
          </w:p>
          <w:p w14:paraId="090953A2" w14:textId="77777777" w:rsidR="00C37E4E" w:rsidRPr="005F3E04" w:rsidRDefault="00C37E4E" w:rsidP="00C37E4E">
            <w:pPr>
              <w:pStyle w:val="TableColumn"/>
            </w:pPr>
            <w:r w:rsidRPr="00C12FF2">
              <w:rPr>
                <w:sz w:val="14"/>
                <w:szCs w:val="14"/>
              </w:rPr>
              <w:t>NAAQS</w:t>
            </w:r>
          </w:p>
        </w:tc>
        <w:tc>
          <w:tcPr>
            <w:tcW w:w="695" w:type="dxa"/>
            <w:shd w:val="clear" w:color="auto" w:fill="D9D9D9" w:themeFill="background1" w:themeFillShade="D9"/>
            <w:vAlign w:val="center"/>
          </w:tcPr>
          <w:p w14:paraId="45DA3422" w14:textId="77777777" w:rsidR="00C37E4E" w:rsidRPr="005F3E04" w:rsidRDefault="00C37E4E" w:rsidP="00C37E4E">
            <w:pPr>
              <w:pStyle w:val="TableColumn"/>
            </w:pPr>
            <w:r>
              <w:t>Sulfates</w:t>
            </w:r>
          </w:p>
          <w:p w14:paraId="5F0EE4BA" w14:textId="77777777" w:rsidR="00C37E4E" w:rsidRPr="005F3E04" w:rsidRDefault="00C37E4E" w:rsidP="00C37E4E">
            <w:pPr>
              <w:pStyle w:val="TableColumn"/>
            </w:pPr>
            <w:r w:rsidRPr="00C12FF2">
              <w:rPr>
                <w:sz w:val="14"/>
                <w:szCs w:val="14"/>
              </w:rPr>
              <w:t>CAAQS</w:t>
            </w:r>
          </w:p>
        </w:tc>
        <w:tc>
          <w:tcPr>
            <w:tcW w:w="680" w:type="dxa"/>
            <w:shd w:val="clear" w:color="auto" w:fill="D9D9D9" w:themeFill="background1" w:themeFillShade="D9"/>
            <w:vAlign w:val="center"/>
          </w:tcPr>
          <w:p w14:paraId="59698E62" w14:textId="77777777" w:rsidR="00C37E4E" w:rsidRPr="005F3E04" w:rsidRDefault="00C37E4E" w:rsidP="00C37E4E">
            <w:pPr>
              <w:pStyle w:val="TableColumn"/>
            </w:pPr>
            <w:r>
              <w:t>Sulfates</w:t>
            </w:r>
          </w:p>
          <w:p w14:paraId="41882523" w14:textId="77777777" w:rsidR="00C37E4E" w:rsidRPr="005F3E04" w:rsidRDefault="00C37E4E" w:rsidP="00C37E4E">
            <w:pPr>
              <w:pStyle w:val="TableColumn"/>
            </w:pPr>
            <w:r w:rsidRPr="00C12FF2">
              <w:rPr>
                <w:sz w:val="14"/>
                <w:szCs w:val="14"/>
              </w:rPr>
              <w:t>NAAQS</w:t>
            </w:r>
          </w:p>
        </w:tc>
        <w:tc>
          <w:tcPr>
            <w:tcW w:w="688" w:type="dxa"/>
            <w:shd w:val="clear" w:color="auto" w:fill="D9D9D9" w:themeFill="background1" w:themeFillShade="D9"/>
            <w:vAlign w:val="center"/>
          </w:tcPr>
          <w:p w14:paraId="1F0579E5" w14:textId="77777777" w:rsidR="00C37E4E" w:rsidRPr="00C37E4E" w:rsidRDefault="00C37E4E" w:rsidP="00C37E4E">
            <w:pPr>
              <w:pStyle w:val="TableColumn"/>
              <w:rPr>
                <w:spacing w:val="-20"/>
              </w:rPr>
            </w:pPr>
            <w:r w:rsidRPr="00C37E4E">
              <w:rPr>
                <w:spacing w:val="-20"/>
              </w:rPr>
              <w:t>Hydrogen Sulfide</w:t>
            </w:r>
          </w:p>
          <w:p w14:paraId="3022194A" w14:textId="77777777" w:rsidR="00C37E4E" w:rsidRPr="00C37E4E" w:rsidRDefault="00C37E4E" w:rsidP="00C37E4E">
            <w:pPr>
              <w:pStyle w:val="TableColumn"/>
              <w:rPr>
                <w:spacing w:val="-20"/>
              </w:rPr>
            </w:pPr>
            <w:r w:rsidRPr="00C37E4E">
              <w:rPr>
                <w:spacing w:val="-20"/>
                <w:sz w:val="14"/>
                <w:szCs w:val="14"/>
              </w:rPr>
              <w:t>CAAQS</w:t>
            </w:r>
          </w:p>
        </w:tc>
        <w:tc>
          <w:tcPr>
            <w:tcW w:w="688" w:type="dxa"/>
            <w:shd w:val="clear" w:color="auto" w:fill="D9D9D9" w:themeFill="background1" w:themeFillShade="D9"/>
            <w:vAlign w:val="center"/>
          </w:tcPr>
          <w:p w14:paraId="2730F038" w14:textId="77777777" w:rsidR="00C37E4E" w:rsidRPr="00C37E4E" w:rsidRDefault="00C37E4E" w:rsidP="00C37E4E">
            <w:pPr>
              <w:pStyle w:val="TableColumn"/>
              <w:rPr>
                <w:spacing w:val="-20"/>
              </w:rPr>
            </w:pPr>
            <w:r w:rsidRPr="00C37E4E">
              <w:rPr>
                <w:spacing w:val="-20"/>
              </w:rPr>
              <w:t>Hydrogen Sulfide</w:t>
            </w:r>
          </w:p>
          <w:p w14:paraId="1B7C60FF" w14:textId="77777777" w:rsidR="00C37E4E" w:rsidRPr="00C37E4E" w:rsidRDefault="00C37E4E" w:rsidP="00C37E4E">
            <w:pPr>
              <w:pStyle w:val="TableColumn"/>
              <w:rPr>
                <w:spacing w:val="-20"/>
              </w:rPr>
            </w:pPr>
            <w:r w:rsidRPr="00C37E4E">
              <w:rPr>
                <w:spacing w:val="-20"/>
                <w:sz w:val="14"/>
                <w:szCs w:val="14"/>
              </w:rPr>
              <w:t>NAAQS</w:t>
            </w:r>
          </w:p>
        </w:tc>
        <w:tc>
          <w:tcPr>
            <w:tcW w:w="663" w:type="dxa"/>
            <w:tcBorders>
              <w:right w:val="nil"/>
            </w:tcBorders>
            <w:shd w:val="clear" w:color="auto" w:fill="D9D9D9" w:themeFill="background1" w:themeFillShade="D9"/>
            <w:vAlign w:val="center"/>
          </w:tcPr>
          <w:p w14:paraId="0DA1E983" w14:textId="77777777" w:rsidR="00C37E4E" w:rsidRPr="00C37E4E" w:rsidRDefault="00C37E4E" w:rsidP="00C37E4E">
            <w:pPr>
              <w:pStyle w:val="TableColumn"/>
              <w:rPr>
                <w:spacing w:val="-20"/>
              </w:rPr>
            </w:pPr>
            <w:r w:rsidRPr="00C37E4E">
              <w:rPr>
                <w:spacing w:val="-20"/>
              </w:rPr>
              <w:t xml:space="preserve">Visibility Reducing Particles </w:t>
            </w:r>
          </w:p>
          <w:p w14:paraId="1787F606" w14:textId="77777777" w:rsidR="00C37E4E" w:rsidRPr="00C37E4E" w:rsidRDefault="00C37E4E" w:rsidP="00C37E4E">
            <w:pPr>
              <w:pStyle w:val="TableColumn"/>
              <w:rPr>
                <w:spacing w:val="-20"/>
              </w:rPr>
            </w:pPr>
            <w:r w:rsidRPr="00C37E4E">
              <w:rPr>
                <w:spacing w:val="-20"/>
                <w:sz w:val="14"/>
                <w:szCs w:val="14"/>
              </w:rPr>
              <w:t>CAAQS</w:t>
            </w:r>
          </w:p>
        </w:tc>
        <w:tc>
          <w:tcPr>
            <w:tcW w:w="712" w:type="dxa"/>
            <w:tcBorders>
              <w:bottom w:val="single" w:sz="4" w:space="0" w:color="auto"/>
              <w:right w:val="nil"/>
            </w:tcBorders>
            <w:shd w:val="clear" w:color="auto" w:fill="D9D9D9" w:themeFill="background1" w:themeFillShade="D9"/>
            <w:vAlign w:val="center"/>
          </w:tcPr>
          <w:p w14:paraId="55F5F6D5" w14:textId="77777777" w:rsidR="00C37E4E" w:rsidRPr="00C37E4E" w:rsidRDefault="00C37E4E" w:rsidP="00C37E4E">
            <w:pPr>
              <w:pStyle w:val="TableColumn"/>
              <w:rPr>
                <w:spacing w:val="-20"/>
              </w:rPr>
            </w:pPr>
            <w:r w:rsidRPr="00C37E4E">
              <w:rPr>
                <w:spacing w:val="-20"/>
              </w:rPr>
              <w:t>Visibility Reducing Particles</w:t>
            </w:r>
          </w:p>
          <w:p w14:paraId="580B1B20" w14:textId="77777777" w:rsidR="00C37E4E" w:rsidRPr="00C37E4E" w:rsidRDefault="00C37E4E" w:rsidP="00C37E4E">
            <w:pPr>
              <w:pStyle w:val="TableColumn"/>
              <w:rPr>
                <w:spacing w:val="-20"/>
              </w:rPr>
            </w:pPr>
            <w:r w:rsidRPr="00C37E4E">
              <w:rPr>
                <w:spacing w:val="-20"/>
                <w:sz w:val="14"/>
                <w:szCs w:val="14"/>
              </w:rPr>
              <w:t xml:space="preserve">NAAQS </w:t>
            </w:r>
          </w:p>
        </w:tc>
      </w:tr>
      <w:tr w:rsidR="00C37E4E" w14:paraId="41ED9B55" w14:textId="77777777" w:rsidTr="00236A57">
        <w:trPr>
          <w:trHeight w:val="20"/>
          <w:jc w:val="center"/>
        </w:trPr>
        <w:tc>
          <w:tcPr>
            <w:tcW w:w="1016" w:type="dxa"/>
            <w:tcBorders>
              <w:left w:val="nil"/>
              <w:bottom w:val="single" w:sz="4" w:space="0" w:color="auto"/>
            </w:tcBorders>
            <w:shd w:val="clear" w:color="auto" w:fill="FFFFFF" w:themeFill="background1"/>
            <w:vAlign w:val="center"/>
          </w:tcPr>
          <w:p w14:paraId="08A6DFA8" w14:textId="77777777" w:rsidR="00C37E4E" w:rsidRPr="005F3E04" w:rsidRDefault="00C37E4E" w:rsidP="00C37E4E">
            <w:pPr>
              <w:pStyle w:val="TableText"/>
            </w:pPr>
            <w:r>
              <w:t>Alameda</w:t>
            </w:r>
          </w:p>
        </w:tc>
        <w:tc>
          <w:tcPr>
            <w:tcW w:w="620" w:type="dxa"/>
            <w:tcBorders>
              <w:bottom w:val="single" w:sz="4" w:space="0" w:color="auto"/>
            </w:tcBorders>
            <w:shd w:val="clear" w:color="auto" w:fill="FFFFFF" w:themeFill="background1"/>
            <w:vAlign w:val="center"/>
          </w:tcPr>
          <w:p w14:paraId="04DED5CD" w14:textId="77777777" w:rsidR="00C37E4E" w:rsidRPr="005F3E04" w:rsidRDefault="00C37E4E" w:rsidP="00C37E4E">
            <w:pPr>
              <w:pStyle w:val="TableText"/>
            </w:pPr>
            <w:r>
              <w:t>N</w:t>
            </w:r>
          </w:p>
        </w:tc>
        <w:tc>
          <w:tcPr>
            <w:tcW w:w="665" w:type="dxa"/>
            <w:tcBorders>
              <w:bottom w:val="single" w:sz="4" w:space="0" w:color="auto"/>
            </w:tcBorders>
            <w:shd w:val="clear" w:color="auto" w:fill="FFFFFF" w:themeFill="background1"/>
            <w:vAlign w:val="center"/>
          </w:tcPr>
          <w:p w14:paraId="73BCBB90" w14:textId="77777777" w:rsidR="00C37E4E" w:rsidRPr="005F3E04" w:rsidRDefault="00C37E4E" w:rsidP="00C37E4E">
            <w:pPr>
              <w:pStyle w:val="TableText"/>
            </w:pPr>
            <w:r>
              <w:t>N</w:t>
            </w:r>
          </w:p>
        </w:tc>
        <w:tc>
          <w:tcPr>
            <w:tcW w:w="600" w:type="dxa"/>
            <w:tcBorders>
              <w:bottom w:val="single" w:sz="4" w:space="0" w:color="auto"/>
            </w:tcBorders>
            <w:shd w:val="clear" w:color="auto" w:fill="FFFFFF" w:themeFill="background1"/>
            <w:vAlign w:val="center"/>
          </w:tcPr>
          <w:p w14:paraId="2A7475F4"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50DDE82F" w14:textId="77777777" w:rsidR="00C37E4E" w:rsidRPr="005F3E04" w:rsidRDefault="00C37E4E" w:rsidP="00C37E4E">
            <w:pPr>
              <w:pStyle w:val="TableText"/>
            </w:pPr>
            <w:r>
              <w:t>UA</w:t>
            </w:r>
          </w:p>
        </w:tc>
        <w:tc>
          <w:tcPr>
            <w:tcW w:w="600" w:type="dxa"/>
            <w:tcBorders>
              <w:bottom w:val="single" w:sz="4" w:space="0" w:color="auto"/>
            </w:tcBorders>
            <w:shd w:val="clear" w:color="auto" w:fill="FFFFFF" w:themeFill="background1"/>
            <w:vAlign w:val="center"/>
          </w:tcPr>
          <w:p w14:paraId="6C21250B"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4E970C42"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13BE2429"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007DE6C1"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790A33E1" w14:textId="77777777" w:rsidR="00C37E4E" w:rsidRPr="005F3E04" w:rsidRDefault="00C37E4E" w:rsidP="00C37E4E">
            <w:pPr>
              <w:pStyle w:val="TableText"/>
            </w:pPr>
            <w:r>
              <w:t>N</w:t>
            </w:r>
          </w:p>
        </w:tc>
        <w:tc>
          <w:tcPr>
            <w:tcW w:w="599" w:type="dxa"/>
            <w:tcBorders>
              <w:bottom w:val="single" w:sz="4" w:space="0" w:color="auto"/>
            </w:tcBorders>
            <w:shd w:val="clear" w:color="auto" w:fill="FFFFFF" w:themeFill="background1"/>
            <w:vAlign w:val="center"/>
          </w:tcPr>
          <w:p w14:paraId="177540AB" w14:textId="77777777" w:rsidR="00C37E4E" w:rsidRPr="005F3E04" w:rsidRDefault="00C37E4E" w:rsidP="00C37E4E">
            <w:pPr>
              <w:pStyle w:val="TableText"/>
            </w:pPr>
            <w:r>
              <w:t>U</w:t>
            </w:r>
          </w:p>
        </w:tc>
        <w:tc>
          <w:tcPr>
            <w:tcW w:w="599" w:type="dxa"/>
            <w:tcBorders>
              <w:bottom w:val="single" w:sz="4" w:space="0" w:color="auto"/>
            </w:tcBorders>
            <w:shd w:val="clear" w:color="auto" w:fill="FFFFFF" w:themeFill="background1"/>
            <w:vAlign w:val="center"/>
          </w:tcPr>
          <w:p w14:paraId="083E9DCA" w14:textId="77777777" w:rsidR="00C37E4E" w:rsidRPr="005F3E04" w:rsidRDefault="00C37E4E" w:rsidP="00C37E4E">
            <w:pPr>
              <w:pStyle w:val="TableText"/>
            </w:pPr>
            <w:r>
              <w:t>N</w:t>
            </w:r>
          </w:p>
        </w:tc>
        <w:tc>
          <w:tcPr>
            <w:tcW w:w="599" w:type="dxa"/>
            <w:tcBorders>
              <w:bottom w:val="single" w:sz="4" w:space="0" w:color="auto"/>
            </w:tcBorders>
            <w:shd w:val="clear" w:color="auto" w:fill="FFFFFF" w:themeFill="background1"/>
            <w:vAlign w:val="center"/>
          </w:tcPr>
          <w:p w14:paraId="653814AA" w14:textId="77777777" w:rsidR="00C37E4E" w:rsidRPr="005F3E04" w:rsidRDefault="00C37E4E" w:rsidP="00C37E4E">
            <w:pPr>
              <w:pStyle w:val="TableText"/>
            </w:pPr>
            <w:r>
              <w:t>N</w:t>
            </w:r>
          </w:p>
        </w:tc>
        <w:tc>
          <w:tcPr>
            <w:tcW w:w="614" w:type="dxa"/>
            <w:tcBorders>
              <w:bottom w:val="single" w:sz="4" w:space="0" w:color="auto"/>
            </w:tcBorders>
            <w:shd w:val="clear" w:color="auto" w:fill="FFFFFF" w:themeFill="background1"/>
            <w:vAlign w:val="center"/>
          </w:tcPr>
          <w:p w14:paraId="337DA622" w14:textId="77777777" w:rsidR="00C37E4E" w:rsidRPr="005F3E04" w:rsidRDefault="00C37E4E" w:rsidP="00C37E4E">
            <w:pPr>
              <w:pStyle w:val="TableText"/>
            </w:pPr>
            <w:r>
              <w:t>A</w:t>
            </w:r>
          </w:p>
        </w:tc>
        <w:tc>
          <w:tcPr>
            <w:tcW w:w="646" w:type="dxa"/>
            <w:tcBorders>
              <w:bottom w:val="single" w:sz="4" w:space="0" w:color="auto"/>
            </w:tcBorders>
            <w:shd w:val="clear" w:color="auto" w:fill="FFFFFF" w:themeFill="background1"/>
            <w:vAlign w:val="center"/>
          </w:tcPr>
          <w:p w14:paraId="765B4129" w14:textId="77777777" w:rsidR="00C37E4E" w:rsidRPr="005F3E04" w:rsidRDefault="00C37E4E" w:rsidP="00C37E4E">
            <w:pPr>
              <w:pStyle w:val="TableText"/>
            </w:pPr>
            <w:r>
              <w:t>UA</w:t>
            </w:r>
          </w:p>
        </w:tc>
        <w:tc>
          <w:tcPr>
            <w:tcW w:w="695" w:type="dxa"/>
            <w:tcBorders>
              <w:bottom w:val="single" w:sz="4" w:space="0" w:color="auto"/>
            </w:tcBorders>
            <w:shd w:val="clear" w:color="auto" w:fill="FFFFFF" w:themeFill="background1"/>
            <w:vAlign w:val="center"/>
          </w:tcPr>
          <w:p w14:paraId="25DFC7CB" w14:textId="77777777" w:rsidR="00C37E4E" w:rsidRPr="005F3E04" w:rsidRDefault="00C37E4E" w:rsidP="00C37E4E">
            <w:pPr>
              <w:pStyle w:val="TableText"/>
            </w:pPr>
            <w:r>
              <w:t>A</w:t>
            </w:r>
          </w:p>
        </w:tc>
        <w:tc>
          <w:tcPr>
            <w:tcW w:w="680" w:type="dxa"/>
            <w:tcBorders>
              <w:bottom w:val="nil"/>
            </w:tcBorders>
            <w:shd w:val="clear" w:color="auto" w:fill="FFFFFF" w:themeFill="background1"/>
          </w:tcPr>
          <w:p w14:paraId="15008101" w14:textId="77777777" w:rsidR="00C37E4E" w:rsidRPr="00C12FF2" w:rsidRDefault="00C37E4E" w:rsidP="00C37E4E">
            <w:pPr>
              <w:pStyle w:val="TableText"/>
              <w:rPr>
                <w:sz w:val="14"/>
                <w:szCs w:val="14"/>
              </w:rPr>
            </w:pPr>
          </w:p>
        </w:tc>
        <w:tc>
          <w:tcPr>
            <w:tcW w:w="688" w:type="dxa"/>
            <w:tcBorders>
              <w:bottom w:val="single" w:sz="4" w:space="0" w:color="auto"/>
            </w:tcBorders>
            <w:shd w:val="clear" w:color="auto" w:fill="FFFFFF" w:themeFill="background1"/>
            <w:vAlign w:val="center"/>
          </w:tcPr>
          <w:p w14:paraId="4F61B710" w14:textId="77777777" w:rsidR="00C37E4E" w:rsidRPr="005F3E04" w:rsidRDefault="00C37E4E" w:rsidP="00C37E4E">
            <w:pPr>
              <w:pStyle w:val="TableText"/>
            </w:pPr>
            <w:r>
              <w:t>U</w:t>
            </w:r>
          </w:p>
        </w:tc>
        <w:tc>
          <w:tcPr>
            <w:tcW w:w="688" w:type="dxa"/>
            <w:tcBorders>
              <w:bottom w:val="nil"/>
            </w:tcBorders>
            <w:shd w:val="clear" w:color="auto" w:fill="FFFFFF" w:themeFill="background1"/>
          </w:tcPr>
          <w:p w14:paraId="72B8C763" w14:textId="77777777" w:rsidR="00C37E4E" w:rsidRPr="00C12FF2" w:rsidRDefault="00C37E4E" w:rsidP="00C37E4E">
            <w:pPr>
              <w:pStyle w:val="TableText"/>
              <w:rPr>
                <w:sz w:val="14"/>
                <w:szCs w:val="14"/>
              </w:rPr>
            </w:pPr>
          </w:p>
        </w:tc>
        <w:tc>
          <w:tcPr>
            <w:tcW w:w="663" w:type="dxa"/>
            <w:tcBorders>
              <w:bottom w:val="single" w:sz="4" w:space="0" w:color="auto"/>
            </w:tcBorders>
            <w:shd w:val="clear" w:color="auto" w:fill="FFFFFF" w:themeFill="background1"/>
            <w:vAlign w:val="center"/>
          </w:tcPr>
          <w:p w14:paraId="35C6145B" w14:textId="77777777" w:rsidR="00C37E4E" w:rsidRPr="005F3E04" w:rsidRDefault="00C37E4E" w:rsidP="00C37E4E">
            <w:pPr>
              <w:pStyle w:val="TableText"/>
            </w:pPr>
            <w:r>
              <w:t>U</w:t>
            </w:r>
          </w:p>
        </w:tc>
        <w:tc>
          <w:tcPr>
            <w:tcW w:w="712" w:type="dxa"/>
            <w:tcBorders>
              <w:bottom w:val="nil"/>
              <w:right w:val="nil"/>
            </w:tcBorders>
            <w:shd w:val="clear" w:color="auto" w:fill="FFFFFF" w:themeFill="background1"/>
          </w:tcPr>
          <w:p w14:paraId="0B07B669" w14:textId="77777777" w:rsidR="00C37E4E" w:rsidRPr="00B0084C" w:rsidRDefault="00C37E4E" w:rsidP="00C37E4E">
            <w:pPr>
              <w:pStyle w:val="TableText"/>
              <w:rPr>
                <w:sz w:val="14"/>
                <w:szCs w:val="14"/>
              </w:rPr>
            </w:pPr>
          </w:p>
        </w:tc>
      </w:tr>
      <w:tr w:rsidR="00C37E4E" w14:paraId="3565CFEE" w14:textId="77777777" w:rsidTr="00236A57">
        <w:trPr>
          <w:trHeight w:val="20"/>
          <w:jc w:val="center"/>
        </w:trPr>
        <w:tc>
          <w:tcPr>
            <w:tcW w:w="1016" w:type="dxa"/>
            <w:tcBorders>
              <w:left w:val="nil"/>
            </w:tcBorders>
            <w:shd w:val="clear" w:color="auto" w:fill="FFFFFF" w:themeFill="background1"/>
            <w:vAlign w:val="center"/>
          </w:tcPr>
          <w:p w14:paraId="536CE6C4" w14:textId="77777777" w:rsidR="00C37E4E" w:rsidRPr="005F3E04" w:rsidRDefault="00C37E4E" w:rsidP="00C37E4E">
            <w:pPr>
              <w:pStyle w:val="TableText"/>
            </w:pPr>
            <w:r>
              <w:t>Alpine</w:t>
            </w:r>
          </w:p>
        </w:tc>
        <w:tc>
          <w:tcPr>
            <w:tcW w:w="620" w:type="dxa"/>
            <w:shd w:val="clear" w:color="auto" w:fill="FFFFFF" w:themeFill="background1"/>
            <w:vAlign w:val="center"/>
          </w:tcPr>
          <w:p w14:paraId="13DDD3B5" w14:textId="77777777" w:rsidR="00C37E4E" w:rsidRPr="005F3E04" w:rsidRDefault="00C37E4E" w:rsidP="00C37E4E">
            <w:pPr>
              <w:pStyle w:val="TableText"/>
            </w:pPr>
            <w:r>
              <w:t>U</w:t>
            </w:r>
          </w:p>
        </w:tc>
        <w:tc>
          <w:tcPr>
            <w:tcW w:w="665" w:type="dxa"/>
            <w:shd w:val="clear" w:color="auto" w:fill="FFFFFF" w:themeFill="background1"/>
            <w:vAlign w:val="center"/>
          </w:tcPr>
          <w:p w14:paraId="400F8CD0" w14:textId="77777777" w:rsidR="00C37E4E" w:rsidRPr="005F3E04" w:rsidRDefault="00C37E4E" w:rsidP="00C37E4E">
            <w:pPr>
              <w:pStyle w:val="TableText"/>
            </w:pPr>
            <w:r>
              <w:t>AU</w:t>
            </w:r>
          </w:p>
        </w:tc>
        <w:tc>
          <w:tcPr>
            <w:tcW w:w="600" w:type="dxa"/>
            <w:shd w:val="clear" w:color="auto" w:fill="FFFFFF" w:themeFill="background1"/>
            <w:vAlign w:val="center"/>
          </w:tcPr>
          <w:p w14:paraId="2F99DB09" w14:textId="77777777" w:rsidR="00C37E4E" w:rsidRPr="005F3E04" w:rsidRDefault="00C37E4E" w:rsidP="00C37E4E">
            <w:pPr>
              <w:pStyle w:val="TableText"/>
            </w:pPr>
            <w:r>
              <w:t>U</w:t>
            </w:r>
          </w:p>
        </w:tc>
        <w:tc>
          <w:tcPr>
            <w:tcW w:w="600" w:type="dxa"/>
            <w:shd w:val="clear" w:color="auto" w:fill="FFFFFF" w:themeFill="background1"/>
            <w:vAlign w:val="center"/>
          </w:tcPr>
          <w:p w14:paraId="3C74A915" w14:textId="77777777" w:rsidR="00C37E4E" w:rsidRPr="005F3E04" w:rsidRDefault="00C37E4E" w:rsidP="00C37E4E">
            <w:pPr>
              <w:pStyle w:val="TableText"/>
            </w:pPr>
            <w:r>
              <w:t>UA</w:t>
            </w:r>
          </w:p>
        </w:tc>
        <w:tc>
          <w:tcPr>
            <w:tcW w:w="600" w:type="dxa"/>
            <w:shd w:val="clear" w:color="auto" w:fill="FFFFFF" w:themeFill="background1"/>
            <w:vAlign w:val="center"/>
          </w:tcPr>
          <w:p w14:paraId="62876909" w14:textId="77777777" w:rsidR="00C37E4E" w:rsidRPr="005F3E04" w:rsidRDefault="00C37E4E" w:rsidP="00C37E4E">
            <w:pPr>
              <w:pStyle w:val="TableText"/>
            </w:pPr>
            <w:r>
              <w:t>A</w:t>
            </w:r>
          </w:p>
        </w:tc>
        <w:tc>
          <w:tcPr>
            <w:tcW w:w="600" w:type="dxa"/>
            <w:shd w:val="clear" w:color="auto" w:fill="FFFFFF" w:themeFill="background1"/>
            <w:vAlign w:val="center"/>
          </w:tcPr>
          <w:p w14:paraId="7FD57960" w14:textId="77777777" w:rsidR="00C37E4E" w:rsidRPr="005F3E04" w:rsidRDefault="00C37E4E" w:rsidP="00C37E4E">
            <w:pPr>
              <w:pStyle w:val="TableText"/>
            </w:pPr>
            <w:r>
              <w:t>UA</w:t>
            </w:r>
          </w:p>
        </w:tc>
        <w:tc>
          <w:tcPr>
            <w:tcW w:w="599" w:type="dxa"/>
            <w:shd w:val="clear" w:color="auto" w:fill="FFFFFF" w:themeFill="background1"/>
            <w:vAlign w:val="center"/>
          </w:tcPr>
          <w:p w14:paraId="3B9E426C" w14:textId="77777777" w:rsidR="00C37E4E" w:rsidRPr="005F3E04" w:rsidRDefault="00C37E4E" w:rsidP="00C37E4E">
            <w:pPr>
              <w:pStyle w:val="TableText"/>
            </w:pPr>
            <w:r>
              <w:t>A</w:t>
            </w:r>
          </w:p>
        </w:tc>
        <w:tc>
          <w:tcPr>
            <w:tcW w:w="599" w:type="dxa"/>
            <w:shd w:val="clear" w:color="auto" w:fill="FFFFFF" w:themeFill="background1"/>
            <w:vAlign w:val="center"/>
          </w:tcPr>
          <w:p w14:paraId="41670E76" w14:textId="77777777" w:rsidR="00C37E4E" w:rsidRPr="005F3E04" w:rsidRDefault="00C37E4E" w:rsidP="00C37E4E">
            <w:pPr>
              <w:pStyle w:val="TableText"/>
            </w:pPr>
            <w:r>
              <w:t>UA</w:t>
            </w:r>
          </w:p>
        </w:tc>
        <w:tc>
          <w:tcPr>
            <w:tcW w:w="599" w:type="dxa"/>
            <w:shd w:val="clear" w:color="auto" w:fill="FFFFFF" w:themeFill="background1"/>
            <w:vAlign w:val="center"/>
          </w:tcPr>
          <w:p w14:paraId="29A2ADEB" w14:textId="77777777" w:rsidR="00C37E4E" w:rsidRPr="005F3E04" w:rsidRDefault="00C37E4E" w:rsidP="00C37E4E">
            <w:pPr>
              <w:pStyle w:val="TableText"/>
            </w:pPr>
            <w:r>
              <w:t>N</w:t>
            </w:r>
          </w:p>
        </w:tc>
        <w:tc>
          <w:tcPr>
            <w:tcW w:w="599" w:type="dxa"/>
            <w:shd w:val="clear" w:color="auto" w:fill="FFFFFF" w:themeFill="background1"/>
            <w:vAlign w:val="center"/>
          </w:tcPr>
          <w:p w14:paraId="60F6DD2C" w14:textId="77777777" w:rsidR="00C37E4E" w:rsidRPr="005F3E04" w:rsidRDefault="00C37E4E" w:rsidP="00C37E4E">
            <w:pPr>
              <w:pStyle w:val="TableText"/>
            </w:pPr>
            <w:r>
              <w:t>U</w:t>
            </w:r>
          </w:p>
        </w:tc>
        <w:tc>
          <w:tcPr>
            <w:tcW w:w="599" w:type="dxa"/>
            <w:shd w:val="clear" w:color="auto" w:fill="FFFFFF" w:themeFill="background1"/>
            <w:vAlign w:val="center"/>
          </w:tcPr>
          <w:p w14:paraId="798FC1CA" w14:textId="77777777" w:rsidR="00C37E4E" w:rsidRPr="005F3E04" w:rsidRDefault="00C37E4E" w:rsidP="00C37E4E">
            <w:pPr>
              <w:pStyle w:val="TableText"/>
            </w:pPr>
            <w:r>
              <w:t>A</w:t>
            </w:r>
          </w:p>
        </w:tc>
        <w:tc>
          <w:tcPr>
            <w:tcW w:w="599" w:type="dxa"/>
            <w:shd w:val="clear" w:color="auto" w:fill="FFFFFF" w:themeFill="background1"/>
            <w:vAlign w:val="center"/>
          </w:tcPr>
          <w:p w14:paraId="1B0A564D" w14:textId="77777777" w:rsidR="00C37E4E" w:rsidRPr="005F3E04" w:rsidRDefault="00C37E4E" w:rsidP="00C37E4E">
            <w:pPr>
              <w:pStyle w:val="TableText"/>
            </w:pPr>
            <w:r>
              <w:t>UA</w:t>
            </w:r>
          </w:p>
        </w:tc>
        <w:tc>
          <w:tcPr>
            <w:tcW w:w="614" w:type="dxa"/>
            <w:shd w:val="clear" w:color="auto" w:fill="FFFFFF" w:themeFill="background1"/>
            <w:vAlign w:val="center"/>
          </w:tcPr>
          <w:p w14:paraId="769D7B72" w14:textId="77777777" w:rsidR="00C37E4E" w:rsidRPr="005F3E04" w:rsidRDefault="00C37E4E" w:rsidP="00C37E4E">
            <w:pPr>
              <w:pStyle w:val="TableText"/>
            </w:pPr>
            <w:r>
              <w:t>A</w:t>
            </w:r>
          </w:p>
        </w:tc>
        <w:tc>
          <w:tcPr>
            <w:tcW w:w="646" w:type="dxa"/>
            <w:shd w:val="clear" w:color="auto" w:fill="FFFFFF" w:themeFill="background1"/>
            <w:vAlign w:val="center"/>
          </w:tcPr>
          <w:p w14:paraId="1295BC74" w14:textId="77777777" w:rsidR="00C37E4E" w:rsidRPr="005F3E04" w:rsidRDefault="00C37E4E" w:rsidP="00C37E4E">
            <w:pPr>
              <w:pStyle w:val="TableText"/>
            </w:pPr>
            <w:r>
              <w:t>UA</w:t>
            </w:r>
          </w:p>
        </w:tc>
        <w:tc>
          <w:tcPr>
            <w:tcW w:w="695" w:type="dxa"/>
            <w:shd w:val="clear" w:color="auto" w:fill="FFFFFF" w:themeFill="background1"/>
            <w:vAlign w:val="center"/>
          </w:tcPr>
          <w:p w14:paraId="156B6152"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53813C96" w14:textId="77777777" w:rsidR="00C37E4E" w:rsidRPr="005F3E04" w:rsidRDefault="00C37E4E" w:rsidP="00C37E4E">
            <w:pPr>
              <w:pStyle w:val="TableText"/>
            </w:pPr>
          </w:p>
        </w:tc>
        <w:tc>
          <w:tcPr>
            <w:tcW w:w="688" w:type="dxa"/>
            <w:shd w:val="clear" w:color="auto" w:fill="FFFFFF" w:themeFill="background1"/>
            <w:vAlign w:val="center"/>
          </w:tcPr>
          <w:p w14:paraId="1FFE305E"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759252DF" w14:textId="77777777" w:rsidR="00C37E4E" w:rsidRPr="005F3E04" w:rsidRDefault="00C37E4E" w:rsidP="00C37E4E">
            <w:pPr>
              <w:pStyle w:val="TableText"/>
            </w:pPr>
          </w:p>
        </w:tc>
        <w:tc>
          <w:tcPr>
            <w:tcW w:w="663" w:type="dxa"/>
            <w:shd w:val="clear" w:color="auto" w:fill="FFFFFF" w:themeFill="background1"/>
            <w:vAlign w:val="center"/>
          </w:tcPr>
          <w:p w14:paraId="09823538"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634050BA" w14:textId="77777777" w:rsidR="00C37E4E" w:rsidRPr="005F3E04" w:rsidRDefault="00C37E4E" w:rsidP="00C37E4E">
            <w:pPr>
              <w:jc w:val="center"/>
              <w:rPr>
                <w:rFonts w:ascii="Franklin Gothic Book" w:hAnsi="Franklin Gothic Book"/>
                <w:sz w:val="16"/>
                <w:szCs w:val="16"/>
              </w:rPr>
            </w:pPr>
          </w:p>
        </w:tc>
      </w:tr>
      <w:tr w:rsidR="00C37E4E" w14:paraId="1088BC10" w14:textId="77777777" w:rsidTr="00236A57">
        <w:trPr>
          <w:trHeight w:val="20"/>
          <w:jc w:val="center"/>
        </w:trPr>
        <w:tc>
          <w:tcPr>
            <w:tcW w:w="1016" w:type="dxa"/>
            <w:tcBorders>
              <w:left w:val="nil"/>
              <w:bottom w:val="single" w:sz="4" w:space="0" w:color="auto"/>
            </w:tcBorders>
            <w:shd w:val="clear" w:color="auto" w:fill="FFFFFF" w:themeFill="background1"/>
            <w:vAlign w:val="center"/>
          </w:tcPr>
          <w:p w14:paraId="1DE6A791" w14:textId="77777777" w:rsidR="00C37E4E" w:rsidRPr="005F3E04" w:rsidRDefault="00C37E4E" w:rsidP="00C37E4E">
            <w:pPr>
              <w:pStyle w:val="TableText"/>
            </w:pPr>
            <w:r>
              <w:t>Amador</w:t>
            </w:r>
          </w:p>
        </w:tc>
        <w:tc>
          <w:tcPr>
            <w:tcW w:w="620" w:type="dxa"/>
            <w:tcBorders>
              <w:bottom w:val="single" w:sz="4" w:space="0" w:color="auto"/>
            </w:tcBorders>
            <w:shd w:val="clear" w:color="auto" w:fill="FFFFFF" w:themeFill="background1"/>
            <w:vAlign w:val="center"/>
          </w:tcPr>
          <w:p w14:paraId="34B731CE" w14:textId="77777777" w:rsidR="00C37E4E" w:rsidRPr="005F3E04" w:rsidRDefault="00C37E4E" w:rsidP="00C37E4E">
            <w:pPr>
              <w:pStyle w:val="TableText"/>
            </w:pPr>
            <w:r>
              <w:t>N</w:t>
            </w:r>
          </w:p>
        </w:tc>
        <w:tc>
          <w:tcPr>
            <w:tcW w:w="665" w:type="dxa"/>
            <w:tcBorders>
              <w:bottom w:val="single" w:sz="4" w:space="0" w:color="auto"/>
            </w:tcBorders>
            <w:shd w:val="clear" w:color="auto" w:fill="FFFFFF" w:themeFill="background1"/>
            <w:vAlign w:val="center"/>
          </w:tcPr>
          <w:p w14:paraId="72FE744A" w14:textId="77777777" w:rsidR="00C37E4E" w:rsidRPr="005F3E04" w:rsidRDefault="00C37E4E" w:rsidP="00C37E4E">
            <w:pPr>
              <w:pStyle w:val="TableText"/>
            </w:pPr>
            <w:r>
              <w:t>N</w:t>
            </w:r>
          </w:p>
        </w:tc>
        <w:tc>
          <w:tcPr>
            <w:tcW w:w="600" w:type="dxa"/>
            <w:tcBorders>
              <w:bottom w:val="single" w:sz="4" w:space="0" w:color="auto"/>
            </w:tcBorders>
            <w:shd w:val="clear" w:color="auto" w:fill="FFFFFF" w:themeFill="background1"/>
            <w:vAlign w:val="center"/>
          </w:tcPr>
          <w:p w14:paraId="26C02D86" w14:textId="77777777" w:rsidR="00C37E4E" w:rsidRPr="005F3E04" w:rsidRDefault="00C37E4E" w:rsidP="00C37E4E">
            <w:pPr>
              <w:pStyle w:val="TableText"/>
            </w:pPr>
            <w:r>
              <w:t>U</w:t>
            </w:r>
          </w:p>
        </w:tc>
        <w:tc>
          <w:tcPr>
            <w:tcW w:w="600" w:type="dxa"/>
            <w:tcBorders>
              <w:bottom w:val="single" w:sz="4" w:space="0" w:color="auto"/>
            </w:tcBorders>
            <w:shd w:val="clear" w:color="auto" w:fill="FFFFFF" w:themeFill="background1"/>
            <w:vAlign w:val="center"/>
          </w:tcPr>
          <w:p w14:paraId="359F4439" w14:textId="77777777" w:rsidR="00C37E4E" w:rsidRPr="005F3E04" w:rsidRDefault="00C37E4E" w:rsidP="00C37E4E">
            <w:pPr>
              <w:pStyle w:val="TableText"/>
            </w:pPr>
            <w:r>
              <w:t>UA</w:t>
            </w:r>
          </w:p>
        </w:tc>
        <w:tc>
          <w:tcPr>
            <w:tcW w:w="600" w:type="dxa"/>
            <w:tcBorders>
              <w:bottom w:val="single" w:sz="4" w:space="0" w:color="auto"/>
            </w:tcBorders>
            <w:shd w:val="clear" w:color="auto" w:fill="FFFFFF" w:themeFill="background1"/>
            <w:vAlign w:val="center"/>
          </w:tcPr>
          <w:p w14:paraId="3A0910AE"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08D1B21D"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6FAAC046"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049F310C"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6A295753" w14:textId="77777777" w:rsidR="00C37E4E" w:rsidRPr="005F3E04" w:rsidRDefault="00C37E4E" w:rsidP="00C37E4E">
            <w:pPr>
              <w:pStyle w:val="TableText"/>
            </w:pPr>
            <w:r>
              <w:t>U</w:t>
            </w:r>
          </w:p>
        </w:tc>
        <w:tc>
          <w:tcPr>
            <w:tcW w:w="599" w:type="dxa"/>
            <w:tcBorders>
              <w:bottom w:val="single" w:sz="4" w:space="0" w:color="auto"/>
            </w:tcBorders>
            <w:shd w:val="clear" w:color="auto" w:fill="FFFFFF" w:themeFill="background1"/>
            <w:vAlign w:val="center"/>
          </w:tcPr>
          <w:p w14:paraId="4F07ED4F" w14:textId="77777777" w:rsidR="00C37E4E" w:rsidRPr="005F3E04" w:rsidRDefault="00C37E4E" w:rsidP="00C37E4E">
            <w:pPr>
              <w:pStyle w:val="TableText"/>
            </w:pPr>
            <w:r>
              <w:t>U</w:t>
            </w:r>
          </w:p>
        </w:tc>
        <w:tc>
          <w:tcPr>
            <w:tcW w:w="599" w:type="dxa"/>
            <w:tcBorders>
              <w:bottom w:val="single" w:sz="4" w:space="0" w:color="auto"/>
            </w:tcBorders>
            <w:shd w:val="clear" w:color="auto" w:fill="FFFFFF" w:themeFill="background1"/>
            <w:vAlign w:val="center"/>
          </w:tcPr>
          <w:p w14:paraId="7E27C796" w14:textId="77777777" w:rsidR="00C37E4E" w:rsidRPr="005F3E04" w:rsidRDefault="00C37E4E" w:rsidP="00C37E4E">
            <w:pPr>
              <w:pStyle w:val="TableText"/>
            </w:pPr>
            <w:r>
              <w:t>U</w:t>
            </w:r>
          </w:p>
        </w:tc>
        <w:tc>
          <w:tcPr>
            <w:tcW w:w="599" w:type="dxa"/>
            <w:tcBorders>
              <w:bottom w:val="single" w:sz="4" w:space="0" w:color="auto"/>
            </w:tcBorders>
            <w:shd w:val="clear" w:color="auto" w:fill="FFFFFF" w:themeFill="background1"/>
            <w:vAlign w:val="center"/>
          </w:tcPr>
          <w:p w14:paraId="5720C82B" w14:textId="77777777" w:rsidR="00C37E4E" w:rsidRPr="005F3E04" w:rsidRDefault="00C37E4E" w:rsidP="00C37E4E">
            <w:pPr>
              <w:pStyle w:val="TableText"/>
            </w:pPr>
            <w:r>
              <w:t>UA</w:t>
            </w:r>
          </w:p>
        </w:tc>
        <w:tc>
          <w:tcPr>
            <w:tcW w:w="614" w:type="dxa"/>
            <w:tcBorders>
              <w:bottom w:val="single" w:sz="4" w:space="0" w:color="auto"/>
            </w:tcBorders>
            <w:shd w:val="clear" w:color="auto" w:fill="FFFFFF" w:themeFill="background1"/>
            <w:vAlign w:val="center"/>
          </w:tcPr>
          <w:p w14:paraId="1FABEB12" w14:textId="77777777" w:rsidR="00C37E4E" w:rsidRPr="005F3E04" w:rsidRDefault="00C37E4E" w:rsidP="00C37E4E">
            <w:pPr>
              <w:pStyle w:val="TableText"/>
            </w:pPr>
            <w:r>
              <w:t>A</w:t>
            </w:r>
          </w:p>
        </w:tc>
        <w:tc>
          <w:tcPr>
            <w:tcW w:w="646" w:type="dxa"/>
            <w:tcBorders>
              <w:bottom w:val="single" w:sz="4" w:space="0" w:color="auto"/>
            </w:tcBorders>
            <w:shd w:val="clear" w:color="auto" w:fill="FFFFFF" w:themeFill="background1"/>
            <w:vAlign w:val="center"/>
          </w:tcPr>
          <w:p w14:paraId="2165D607" w14:textId="77777777" w:rsidR="00C37E4E" w:rsidRPr="005F3E04" w:rsidRDefault="00C37E4E" w:rsidP="00C37E4E">
            <w:pPr>
              <w:pStyle w:val="TableText"/>
            </w:pPr>
            <w:r>
              <w:t>UA</w:t>
            </w:r>
          </w:p>
        </w:tc>
        <w:tc>
          <w:tcPr>
            <w:tcW w:w="695" w:type="dxa"/>
            <w:tcBorders>
              <w:bottom w:val="single" w:sz="4" w:space="0" w:color="auto"/>
            </w:tcBorders>
            <w:shd w:val="clear" w:color="auto" w:fill="FFFFFF" w:themeFill="background1"/>
            <w:vAlign w:val="center"/>
          </w:tcPr>
          <w:p w14:paraId="5AD07EC4"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0B9C1633" w14:textId="77777777" w:rsidR="00C37E4E" w:rsidRPr="005F3E04" w:rsidRDefault="00C37E4E" w:rsidP="00C37E4E">
            <w:pPr>
              <w:pStyle w:val="TableText"/>
            </w:pPr>
          </w:p>
        </w:tc>
        <w:tc>
          <w:tcPr>
            <w:tcW w:w="688" w:type="dxa"/>
            <w:tcBorders>
              <w:bottom w:val="single" w:sz="4" w:space="0" w:color="auto"/>
            </w:tcBorders>
            <w:shd w:val="clear" w:color="auto" w:fill="FFFFFF" w:themeFill="background1"/>
            <w:vAlign w:val="center"/>
          </w:tcPr>
          <w:p w14:paraId="7E0C52B4"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39CDBBBA" w14:textId="77777777" w:rsidR="00C37E4E" w:rsidRPr="005F3E04" w:rsidRDefault="00C37E4E" w:rsidP="00C37E4E">
            <w:pPr>
              <w:pStyle w:val="TableText"/>
            </w:pPr>
          </w:p>
        </w:tc>
        <w:tc>
          <w:tcPr>
            <w:tcW w:w="663" w:type="dxa"/>
            <w:tcBorders>
              <w:bottom w:val="single" w:sz="4" w:space="0" w:color="auto"/>
            </w:tcBorders>
            <w:shd w:val="clear" w:color="auto" w:fill="FFFFFF" w:themeFill="background1"/>
            <w:vAlign w:val="center"/>
          </w:tcPr>
          <w:p w14:paraId="24A79D9F"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4D56A870" w14:textId="77777777" w:rsidR="00C37E4E" w:rsidRPr="005F3E04" w:rsidRDefault="00C37E4E" w:rsidP="00C37E4E">
            <w:pPr>
              <w:jc w:val="center"/>
              <w:rPr>
                <w:rFonts w:ascii="Franklin Gothic Book" w:hAnsi="Franklin Gothic Book"/>
                <w:sz w:val="16"/>
                <w:szCs w:val="16"/>
              </w:rPr>
            </w:pPr>
          </w:p>
        </w:tc>
      </w:tr>
      <w:tr w:rsidR="00C37E4E" w14:paraId="55AF9D38" w14:textId="77777777" w:rsidTr="00236A57">
        <w:trPr>
          <w:trHeight w:val="20"/>
          <w:jc w:val="center"/>
        </w:trPr>
        <w:tc>
          <w:tcPr>
            <w:tcW w:w="1016" w:type="dxa"/>
            <w:tcBorders>
              <w:left w:val="nil"/>
            </w:tcBorders>
            <w:shd w:val="clear" w:color="auto" w:fill="FFFFFF" w:themeFill="background1"/>
            <w:vAlign w:val="center"/>
          </w:tcPr>
          <w:p w14:paraId="68A37073" w14:textId="77777777" w:rsidR="00C37E4E" w:rsidRPr="005F3E04" w:rsidRDefault="00C37E4E" w:rsidP="00C37E4E">
            <w:pPr>
              <w:pStyle w:val="TableText"/>
            </w:pPr>
            <w:r>
              <w:t>Butte</w:t>
            </w:r>
          </w:p>
        </w:tc>
        <w:tc>
          <w:tcPr>
            <w:tcW w:w="620" w:type="dxa"/>
            <w:shd w:val="clear" w:color="auto" w:fill="FFFFFF" w:themeFill="background1"/>
            <w:vAlign w:val="center"/>
          </w:tcPr>
          <w:p w14:paraId="611DE649" w14:textId="77777777" w:rsidR="00C37E4E" w:rsidRPr="005F3E04" w:rsidRDefault="00C37E4E" w:rsidP="00C37E4E">
            <w:pPr>
              <w:pStyle w:val="TableText"/>
            </w:pPr>
            <w:r>
              <w:t>N</w:t>
            </w:r>
          </w:p>
        </w:tc>
        <w:tc>
          <w:tcPr>
            <w:tcW w:w="665" w:type="dxa"/>
            <w:shd w:val="clear" w:color="auto" w:fill="FFFFFF" w:themeFill="background1"/>
            <w:vAlign w:val="center"/>
          </w:tcPr>
          <w:p w14:paraId="531857AF" w14:textId="77777777" w:rsidR="00C37E4E" w:rsidRPr="005F3E04" w:rsidRDefault="00C37E4E" w:rsidP="00C37E4E">
            <w:pPr>
              <w:pStyle w:val="TableText"/>
            </w:pPr>
            <w:r>
              <w:t>N</w:t>
            </w:r>
          </w:p>
        </w:tc>
        <w:tc>
          <w:tcPr>
            <w:tcW w:w="600" w:type="dxa"/>
            <w:shd w:val="clear" w:color="auto" w:fill="FFFFFF" w:themeFill="background1"/>
            <w:vAlign w:val="center"/>
          </w:tcPr>
          <w:p w14:paraId="67E8B441" w14:textId="77777777" w:rsidR="00C37E4E" w:rsidRPr="005F3E04" w:rsidRDefault="00C37E4E" w:rsidP="00C37E4E">
            <w:pPr>
              <w:pStyle w:val="TableText"/>
            </w:pPr>
            <w:r>
              <w:t>A</w:t>
            </w:r>
          </w:p>
        </w:tc>
        <w:tc>
          <w:tcPr>
            <w:tcW w:w="600" w:type="dxa"/>
            <w:shd w:val="clear" w:color="auto" w:fill="FFFFFF" w:themeFill="background1"/>
            <w:vAlign w:val="center"/>
          </w:tcPr>
          <w:p w14:paraId="65582017" w14:textId="77777777" w:rsidR="00C37E4E" w:rsidRPr="005F3E04" w:rsidRDefault="00C37E4E" w:rsidP="00C37E4E">
            <w:pPr>
              <w:pStyle w:val="TableText"/>
            </w:pPr>
            <w:r>
              <w:t>UA</w:t>
            </w:r>
          </w:p>
        </w:tc>
        <w:tc>
          <w:tcPr>
            <w:tcW w:w="600" w:type="dxa"/>
            <w:shd w:val="clear" w:color="auto" w:fill="FFFFFF" w:themeFill="background1"/>
            <w:vAlign w:val="center"/>
          </w:tcPr>
          <w:p w14:paraId="00D40394" w14:textId="77777777" w:rsidR="00C37E4E" w:rsidRPr="005F3E04" w:rsidRDefault="00C37E4E" w:rsidP="00C37E4E">
            <w:pPr>
              <w:pStyle w:val="TableText"/>
            </w:pPr>
            <w:r>
              <w:t>A</w:t>
            </w:r>
          </w:p>
        </w:tc>
        <w:tc>
          <w:tcPr>
            <w:tcW w:w="600" w:type="dxa"/>
            <w:shd w:val="clear" w:color="auto" w:fill="FFFFFF" w:themeFill="background1"/>
            <w:vAlign w:val="center"/>
          </w:tcPr>
          <w:p w14:paraId="6099E37C" w14:textId="77777777" w:rsidR="00C37E4E" w:rsidRPr="005F3E04" w:rsidRDefault="00C37E4E" w:rsidP="00C37E4E">
            <w:pPr>
              <w:pStyle w:val="TableText"/>
            </w:pPr>
            <w:r>
              <w:t>UA</w:t>
            </w:r>
          </w:p>
        </w:tc>
        <w:tc>
          <w:tcPr>
            <w:tcW w:w="599" w:type="dxa"/>
            <w:shd w:val="clear" w:color="auto" w:fill="FFFFFF" w:themeFill="background1"/>
            <w:vAlign w:val="center"/>
          </w:tcPr>
          <w:p w14:paraId="0AB8F806" w14:textId="77777777" w:rsidR="00C37E4E" w:rsidRPr="005F3E04" w:rsidRDefault="00C37E4E" w:rsidP="00C37E4E">
            <w:pPr>
              <w:pStyle w:val="TableText"/>
            </w:pPr>
            <w:r>
              <w:t>A</w:t>
            </w:r>
          </w:p>
        </w:tc>
        <w:tc>
          <w:tcPr>
            <w:tcW w:w="599" w:type="dxa"/>
            <w:shd w:val="clear" w:color="auto" w:fill="FFFFFF" w:themeFill="background1"/>
            <w:vAlign w:val="center"/>
          </w:tcPr>
          <w:p w14:paraId="750FB34D" w14:textId="77777777" w:rsidR="00C37E4E" w:rsidRPr="005F3E04" w:rsidRDefault="00C37E4E" w:rsidP="00C37E4E">
            <w:pPr>
              <w:pStyle w:val="TableText"/>
            </w:pPr>
            <w:r>
              <w:t>UA</w:t>
            </w:r>
          </w:p>
        </w:tc>
        <w:tc>
          <w:tcPr>
            <w:tcW w:w="599" w:type="dxa"/>
            <w:shd w:val="clear" w:color="auto" w:fill="FFFFFF" w:themeFill="background1"/>
            <w:vAlign w:val="center"/>
          </w:tcPr>
          <w:p w14:paraId="765E88DB" w14:textId="77777777" w:rsidR="00C37E4E" w:rsidRPr="005F3E04" w:rsidRDefault="00C37E4E" w:rsidP="00C37E4E">
            <w:pPr>
              <w:pStyle w:val="TableText"/>
            </w:pPr>
            <w:r>
              <w:t>N</w:t>
            </w:r>
          </w:p>
        </w:tc>
        <w:tc>
          <w:tcPr>
            <w:tcW w:w="599" w:type="dxa"/>
            <w:shd w:val="clear" w:color="auto" w:fill="FFFFFF" w:themeFill="background1"/>
            <w:vAlign w:val="center"/>
          </w:tcPr>
          <w:p w14:paraId="23B52B60" w14:textId="77777777" w:rsidR="00C37E4E" w:rsidRPr="005F3E04" w:rsidRDefault="00C37E4E" w:rsidP="00C37E4E">
            <w:pPr>
              <w:pStyle w:val="TableText"/>
            </w:pPr>
            <w:r>
              <w:t>U</w:t>
            </w:r>
          </w:p>
        </w:tc>
        <w:tc>
          <w:tcPr>
            <w:tcW w:w="599" w:type="dxa"/>
            <w:shd w:val="clear" w:color="auto" w:fill="FFFFFF" w:themeFill="background1"/>
            <w:vAlign w:val="center"/>
          </w:tcPr>
          <w:p w14:paraId="784DD86A" w14:textId="77777777" w:rsidR="00C37E4E" w:rsidRPr="005F3E04" w:rsidRDefault="00C37E4E" w:rsidP="00C37E4E">
            <w:pPr>
              <w:pStyle w:val="TableText"/>
            </w:pPr>
            <w:r>
              <w:t>N</w:t>
            </w:r>
          </w:p>
        </w:tc>
        <w:tc>
          <w:tcPr>
            <w:tcW w:w="599" w:type="dxa"/>
            <w:shd w:val="clear" w:color="auto" w:fill="FFFFFF" w:themeFill="background1"/>
            <w:vAlign w:val="center"/>
          </w:tcPr>
          <w:p w14:paraId="5D7452D7" w14:textId="77777777" w:rsidR="00C37E4E" w:rsidRPr="005F3E04" w:rsidRDefault="00C37E4E" w:rsidP="00C37E4E">
            <w:pPr>
              <w:pStyle w:val="TableText"/>
            </w:pPr>
            <w:r>
              <w:t>UA</w:t>
            </w:r>
          </w:p>
        </w:tc>
        <w:tc>
          <w:tcPr>
            <w:tcW w:w="614" w:type="dxa"/>
            <w:shd w:val="clear" w:color="auto" w:fill="FFFFFF" w:themeFill="background1"/>
            <w:vAlign w:val="center"/>
          </w:tcPr>
          <w:p w14:paraId="529AF784" w14:textId="77777777" w:rsidR="00C37E4E" w:rsidRPr="005F3E04" w:rsidRDefault="00C37E4E" w:rsidP="00C37E4E">
            <w:pPr>
              <w:pStyle w:val="TableText"/>
            </w:pPr>
            <w:r>
              <w:t>A</w:t>
            </w:r>
          </w:p>
        </w:tc>
        <w:tc>
          <w:tcPr>
            <w:tcW w:w="646" w:type="dxa"/>
            <w:shd w:val="clear" w:color="auto" w:fill="FFFFFF" w:themeFill="background1"/>
            <w:vAlign w:val="center"/>
          </w:tcPr>
          <w:p w14:paraId="1E1674FF" w14:textId="77777777" w:rsidR="00C37E4E" w:rsidRPr="005F3E04" w:rsidRDefault="00C37E4E" w:rsidP="00C37E4E">
            <w:pPr>
              <w:pStyle w:val="TableText"/>
            </w:pPr>
            <w:r>
              <w:t>UA</w:t>
            </w:r>
          </w:p>
        </w:tc>
        <w:tc>
          <w:tcPr>
            <w:tcW w:w="695" w:type="dxa"/>
            <w:shd w:val="clear" w:color="auto" w:fill="FFFFFF" w:themeFill="background1"/>
            <w:vAlign w:val="center"/>
          </w:tcPr>
          <w:p w14:paraId="5E931FA5"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4D31E1F2" w14:textId="77777777" w:rsidR="00C37E4E" w:rsidRPr="005F3E04" w:rsidRDefault="00C37E4E" w:rsidP="00C37E4E">
            <w:pPr>
              <w:pStyle w:val="TableText"/>
            </w:pPr>
          </w:p>
        </w:tc>
        <w:tc>
          <w:tcPr>
            <w:tcW w:w="688" w:type="dxa"/>
            <w:shd w:val="clear" w:color="auto" w:fill="FFFFFF" w:themeFill="background1"/>
            <w:vAlign w:val="center"/>
          </w:tcPr>
          <w:p w14:paraId="0DB5D510"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13BB799E" w14:textId="77777777" w:rsidR="00C37E4E" w:rsidRPr="005F3E04" w:rsidRDefault="00C37E4E" w:rsidP="00C37E4E">
            <w:pPr>
              <w:pStyle w:val="TableText"/>
            </w:pPr>
          </w:p>
        </w:tc>
        <w:tc>
          <w:tcPr>
            <w:tcW w:w="663" w:type="dxa"/>
            <w:shd w:val="clear" w:color="auto" w:fill="FFFFFF" w:themeFill="background1"/>
            <w:vAlign w:val="center"/>
          </w:tcPr>
          <w:p w14:paraId="1A355BB9"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0C0C79F7" w14:textId="77777777" w:rsidR="00C37E4E" w:rsidRPr="005F3E04" w:rsidRDefault="00C37E4E" w:rsidP="00C37E4E">
            <w:pPr>
              <w:jc w:val="center"/>
              <w:rPr>
                <w:rFonts w:ascii="Franklin Gothic Book" w:hAnsi="Franklin Gothic Book"/>
                <w:sz w:val="16"/>
                <w:szCs w:val="16"/>
              </w:rPr>
            </w:pPr>
          </w:p>
        </w:tc>
      </w:tr>
      <w:tr w:rsidR="00C37E4E" w14:paraId="7928F1EB" w14:textId="77777777" w:rsidTr="00236A57">
        <w:trPr>
          <w:trHeight w:val="20"/>
          <w:jc w:val="center"/>
        </w:trPr>
        <w:tc>
          <w:tcPr>
            <w:tcW w:w="1016" w:type="dxa"/>
            <w:tcBorders>
              <w:left w:val="nil"/>
              <w:bottom w:val="single" w:sz="4" w:space="0" w:color="auto"/>
            </w:tcBorders>
            <w:shd w:val="clear" w:color="auto" w:fill="FFFFFF" w:themeFill="background1"/>
            <w:vAlign w:val="center"/>
          </w:tcPr>
          <w:p w14:paraId="4D2F58CA" w14:textId="77777777" w:rsidR="00C37E4E" w:rsidRPr="005F3E04" w:rsidRDefault="00C37E4E" w:rsidP="00C37E4E">
            <w:pPr>
              <w:pStyle w:val="TableText"/>
            </w:pPr>
            <w:r>
              <w:t>Calaveras</w:t>
            </w:r>
          </w:p>
        </w:tc>
        <w:tc>
          <w:tcPr>
            <w:tcW w:w="620" w:type="dxa"/>
            <w:tcBorders>
              <w:bottom w:val="single" w:sz="4" w:space="0" w:color="auto"/>
            </w:tcBorders>
            <w:shd w:val="clear" w:color="auto" w:fill="FFFFFF" w:themeFill="background1"/>
            <w:vAlign w:val="center"/>
          </w:tcPr>
          <w:p w14:paraId="2C6E295B" w14:textId="77777777" w:rsidR="00C37E4E" w:rsidRPr="005F3E04" w:rsidRDefault="00C37E4E" w:rsidP="00C37E4E">
            <w:pPr>
              <w:pStyle w:val="TableText"/>
            </w:pPr>
            <w:r>
              <w:t>N</w:t>
            </w:r>
          </w:p>
        </w:tc>
        <w:tc>
          <w:tcPr>
            <w:tcW w:w="665" w:type="dxa"/>
            <w:tcBorders>
              <w:bottom w:val="single" w:sz="4" w:space="0" w:color="auto"/>
            </w:tcBorders>
            <w:shd w:val="clear" w:color="auto" w:fill="FFFFFF" w:themeFill="background1"/>
            <w:vAlign w:val="center"/>
          </w:tcPr>
          <w:p w14:paraId="19355816" w14:textId="77777777" w:rsidR="00C37E4E" w:rsidRPr="005F3E04" w:rsidRDefault="00C37E4E" w:rsidP="00C37E4E">
            <w:pPr>
              <w:pStyle w:val="TableText"/>
            </w:pPr>
            <w:r>
              <w:t>N</w:t>
            </w:r>
          </w:p>
        </w:tc>
        <w:tc>
          <w:tcPr>
            <w:tcW w:w="600" w:type="dxa"/>
            <w:tcBorders>
              <w:bottom w:val="single" w:sz="4" w:space="0" w:color="auto"/>
            </w:tcBorders>
            <w:shd w:val="clear" w:color="auto" w:fill="FFFFFF" w:themeFill="background1"/>
            <w:vAlign w:val="center"/>
          </w:tcPr>
          <w:p w14:paraId="2E80F72B" w14:textId="77777777" w:rsidR="00C37E4E" w:rsidRPr="005F3E04" w:rsidRDefault="00C37E4E" w:rsidP="00C37E4E">
            <w:pPr>
              <w:pStyle w:val="TableText"/>
            </w:pPr>
            <w:r>
              <w:t>U</w:t>
            </w:r>
          </w:p>
        </w:tc>
        <w:tc>
          <w:tcPr>
            <w:tcW w:w="600" w:type="dxa"/>
            <w:tcBorders>
              <w:bottom w:val="single" w:sz="4" w:space="0" w:color="auto"/>
            </w:tcBorders>
            <w:shd w:val="clear" w:color="auto" w:fill="FFFFFF" w:themeFill="background1"/>
            <w:vAlign w:val="center"/>
          </w:tcPr>
          <w:p w14:paraId="249708C9" w14:textId="77777777" w:rsidR="00C37E4E" w:rsidRPr="005F3E04" w:rsidRDefault="00C37E4E" w:rsidP="00C37E4E">
            <w:pPr>
              <w:pStyle w:val="TableText"/>
            </w:pPr>
            <w:r>
              <w:t>UA</w:t>
            </w:r>
          </w:p>
        </w:tc>
        <w:tc>
          <w:tcPr>
            <w:tcW w:w="600" w:type="dxa"/>
            <w:tcBorders>
              <w:bottom w:val="single" w:sz="4" w:space="0" w:color="auto"/>
            </w:tcBorders>
            <w:shd w:val="clear" w:color="auto" w:fill="FFFFFF" w:themeFill="background1"/>
            <w:vAlign w:val="center"/>
          </w:tcPr>
          <w:p w14:paraId="5138CA87"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0ABE9023"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4BAC4231"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2A742379"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4481B259" w14:textId="77777777" w:rsidR="00C37E4E" w:rsidRPr="005F3E04" w:rsidRDefault="00C37E4E" w:rsidP="00C37E4E">
            <w:pPr>
              <w:pStyle w:val="TableText"/>
            </w:pPr>
            <w:r>
              <w:t>N</w:t>
            </w:r>
          </w:p>
        </w:tc>
        <w:tc>
          <w:tcPr>
            <w:tcW w:w="599" w:type="dxa"/>
            <w:tcBorders>
              <w:bottom w:val="single" w:sz="4" w:space="0" w:color="auto"/>
            </w:tcBorders>
            <w:shd w:val="clear" w:color="auto" w:fill="FFFFFF" w:themeFill="background1"/>
            <w:vAlign w:val="center"/>
          </w:tcPr>
          <w:p w14:paraId="3EA3CE8F" w14:textId="77777777" w:rsidR="00C37E4E" w:rsidRPr="005F3E04" w:rsidRDefault="00C37E4E" w:rsidP="00C37E4E">
            <w:pPr>
              <w:pStyle w:val="TableText"/>
            </w:pPr>
            <w:r>
              <w:t>U</w:t>
            </w:r>
          </w:p>
        </w:tc>
        <w:tc>
          <w:tcPr>
            <w:tcW w:w="599" w:type="dxa"/>
            <w:tcBorders>
              <w:bottom w:val="single" w:sz="4" w:space="0" w:color="auto"/>
            </w:tcBorders>
            <w:shd w:val="clear" w:color="auto" w:fill="FFFFFF" w:themeFill="background1"/>
            <w:vAlign w:val="center"/>
          </w:tcPr>
          <w:p w14:paraId="2D380FB4" w14:textId="77777777" w:rsidR="00C37E4E" w:rsidRPr="005F3E04" w:rsidRDefault="00C37E4E" w:rsidP="00C37E4E">
            <w:pPr>
              <w:pStyle w:val="TableText"/>
            </w:pPr>
            <w:r>
              <w:t>U</w:t>
            </w:r>
          </w:p>
        </w:tc>
        <w:tc>
          <w:tcPr>
            <w:tcW w:w="599" w:type="dxa"/>
            <w:tcBorders>
              <w:bottom w:val="single" w:sz="4" w:space="0" w:color="auto"/>
            </w:tcBorders>
            <w:shd w:val="clear" w:color="auto" w:fill="FFFFFF" w:themeFill="background1"/>
            <w:vAlign w:val="center"/>
          </w:tcPr>
          <w:p w14:paraId="5ABF385E" w14:textId="77777777" w:rsidR="00C37E4E" w:rsidRPr="005F3E04" w:rsidRDefault="00C37E4E" w:rsidP="00C37E4E">
            <w:pPr>
              <w:pStyle w:val="TableText"/>
            </w:pPr>
            <w:r>
              <w:t>UA</w:t>
            </w:r>
          </w:p>
        </w:tc>
        <w:tc>
          <w:tcPr>
            <w:tcW w:w="614" w:type="dxa"/>
            <w:tcBorders>
              <w:bottom w:val="single" w:sz="4" w:space="0" w:color="auto"/>
            </w:tcBorders>
            <w:shd w:val="clear" w:color="auto" w:fill="FFFFFF" w:themeFill="background1"/>
            <w:vAlign w:val="center"/>
          </w:tcPr>
          <w:p w14:paraId="74E24F07" w14:textId="77777777" w:rsidR="00C37E4E" w:rsidRPr="005F3E04" w:rsidRDefault="00C37E4E" w:rsidP="00C37E4E">
            <w:pPr>
              <w:pStyle w:val="TableText"/>
            </w:pPr>
            <w:r>
              <w:t>A</w:t>
            </w:r>
          </w:p>
        </w:tc>
        <w:tc>
          <w:tcPr>
            <w:tcW w:w="646" w:type="dxa"/>
            <w:tcBorders>
              <w:bottom w:val="single" w:sz="4" w:space="0" w:color="auto"/>
            </w:tcBorders>
            <w:shd w:val="clear" w:color="auto" w:fill="FFFFFF" w:themeFill="background1"/>
            <w:vAlign w:val="center"/>
          </w:tcPr>
          <w:p w14:paraId="28FEBA6D" w14:textId="77777777" w:rsidR="00C37E4E" w:rsidRPr="005F3E04" w:rsidRDefault="00C37E4E" w:rsidP="00C37E4E">
            <w:pPr>
              <w:pStyle w:val="TableText"/>
            </w:pPr>
            <w:r>
              <w:t>UA</w:t>
            </w:r>
          </w:p>
        </w:tc>
        <w:tc>
          <w:tcPr>
            <w:tcW w:w="695" w:type="dxa"/>
            <w:tcBorders>
              <w:bottom w:val="single" w:sz="4" w:space="0" w:color="auto"/>
            </w:tcBorders>
            <w:shd w:val="clear" w:color="auto" w:fill="FFFFFF" w:themeFill="background1"/>
            <w:vAlign w:val="center"/>
          </w:tcPr>
          <w:p w14:paraId="4F42BD3D"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4E62BE9A" w14:textId="77777777" w:rsidR="00C37E4E" w:rsidRPr="005F3E04" w:rsidRDefault="00C37E4E" w:rsidP="00C37E4E">
            <w:pPr>
              <w:pStyle w:val="TableText"/>
            </w:pPr>
          </w:p>
        </w:tc>
        <w:tc>
          <w:tcPr>
            <w:tcW w:w="688" w:type="dxa"/>
            <w:tcBorders>
              <w:bottom w:val="single" w:sz="4" w:space="0" w:color="auto"/>
            </w:tcBorders>
            <w:shd w:val="clear" w:color="auto" w:fill="FFFFFF" w:themeFill="background1"/>
            <w:vAlign w:val="center"/>
          </w:tcPr>
          <w:p w14:paraId="3D36F3EF"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0038F770" w14:textId="77777777" w:rsidR="00C37E4E" w:rsidRPr="005F3E04" w:rsidRDefault="00C37E4E" w:rsidP="00C37E4E">
            <w:pPr>
              <w:pStyle w:val="TableText"/>
            </w:pPr>
          </w:p>
        </w:tc>
        <w:tc>
          <w:tcPr>
            <w:tcW w:w="663" w:type="dxa"/>
            <w:tcBorders>
              <w:bottom w:val="single" w:sz="4" w:space="0" w:color="auto"/>
            </w:tcBorders>
            <w:shd w:val="clear" w:color="auto" w:fill="FFFFFF" w:themeFill="background1"/>
            <w:vAlign w:val="center"/>
          </w:tcPr>
          <w:p w14:paraId="24792E79"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57F8A6EF" w14:textId="77777777" w:rsidR="00C37E4E" w:rsidRPr="005F3E04" w:rsidRDefault="00C37E4E" w:rsidP="00C37E4E">
            <w:pPr>
              <w:jc w:val="center"/>
              <w:rPr>
                <w:rFonts w:ascii="Franklin Gothic Book" w:hAnsi="Franklin Gothic Book"/>
                <w:sz w:val="16"/>
                <w:szCs w:val="16"/>
              </w:rPr>
            </w:pPr>
          </w:p>
        </w:tc>
      </w:tr>
      <w:tr w:rsidR="00C37E4E" w14:paraId="29541576" w14:textId="77777777" w:rsidTr="00236A57">
        <w:trPr>
          <w:trHeight w:val="20"/>
          <w:jc w:val="center"/>
        </w:trPr>
        <w:tc>
          <w:tcPr>
            <w:tcW w:w="1016" w:type="dxa"/>
            <w:tcBorders>
              <w:left w:val="nil"/>
            </w:tcBorders>
            <w:shd w:val="clear" w:color="auto" w:fill="FFFFFF" w:themeFill="background1"/>
            <w:vAlign w:val="center"/>
          </w:tcPr>
          <w:p w14:paraId="32D5AF12" w14:textId="77777777" w:rsidR="00C37E4E" w:rsidRPr="005F3E04" w:rsidRDefault="00C37E4E" w:rsidP="00C37E4E">
            <w:pPr>
              <w:pStyle w:val="TableText"/>
            </w:pPr>
            <w:r>
              <w:t>Colusa</w:t>
            </w:r>
          </w:p>
        </w:tc>
        <w:tc>
          <w:tcPr>
            <w:tcW w:w="620" w:type="dxa"/>
            <w:shd w:val="clear" w:color="auto" w:fill="FFFFFF" w:themeFill="background1"/>
            <w:vAlign w:val="center"/>
          </w:tcPr>
          <w:p w14:paraId="4AAA1231" w14:textId="77777777" w:rsidR="00C37E4E" w:rsidRPr="005F3E04" w:rsidRDefault="00C37E4E" w:rsidP="00C37E4E">
            <w:pPr>
              <w:pStyle w:val="TableText"/>
            </w:pPr>
            <w:r>
              <w:t>A</w:t>
            </w:r>
          </w:p>
        </w:tc>
        <w:tc>
          <w:tcPr>
            <w:tcW w:w="665" w:type="dxa"/>
            <w:shd w:val="clear" w:color="auto" w:fill="FFFFFF" w:themeFill="background1"/>
            <w:vAlign w:val="center"/>
          </w:tcPr>
          <w:p w14:paraId="7988B4AB" w14:textId="77777777" w:rsidR="00C37E4E" w:rsidRPr="005F3E04" w:rsidRDefault="00C37E4E" w:rsidP="00C37E4E">
            <w:pPr>
              <w:pStyle w:val="TableText"/>
            </w:pPr>
            <w:r>
              <w:t>AU</w:t>
            </w:r>
          </w:p>
        </w:tc>
        <w:tc>
          <w:tcPr>
            <w:tcW w:w="600" w:type="dxa"/>
            <w:shd w:val="clear" w:color="auto" w:fill="FFFFFF" w:themeFill="background1"/>
            <w:vAlign w:val="center"/>
          </w:tcPr>
          <w:p w14:paraId="0C880048" w14:textId="77777777" w:rsidR="00C37E4E" w:rsidRPr="005F3E04" w:rsidRDefault="00C37E4E" w:rsidP="00C37E4E">
            <w:pPr>
              <w:pStyle w:val="TableText"/>
            </w:pPr>
            <w:r>
              <w:t>U</w:t>
            </w:r>
          </w:p>
        </w:tc>
        <w:tc>
          <w:tcPr>
            <w:tcW w:w="600" w:type="dxa"/>
            <w:shd w:val="clear" w:color="auto" w:fill="FFFFFF" w:themeFill="background1"/>
            <w:vAlign w:val="center"/>
          </w:tcPr>
          <w:p w14:paraId="587F7CE2" w14:textId="77777777" w:rsidR="00C37E4E" w:rsidRPr="005F3E04" w:rsidRDefault="00C37E4E" w:rsidP="00C37E4E">
            <w:pPr>
              <w:pStyle w:val="TableText"/>
            </w:pPr>
            <w:r>
              <w:t>UA</w:t>
            </w:r>
          </w:p>
        </w:tc>
        <w:tc>
          <w:tcPr>
            <w:tcW w:w="600" w:type="dxa"/>
            <w:shd w:val="clear" w:color="auto" w:fill="FFFFFF" w:themeFill="background1"/>
            <w:vAlign w:val="center"/>
          </w:tcPr>
          <w:p w14:paraId="2DE6C2D1" w14:textId="77777777" w:rsidR="00C37E4E" w:rsidRPr="005F3E04" w:rsidRDefault="00C37E4E" w:rsidP="00C37E4E">
            <w:pPr>
              <w:pStyle w:val="TableText"/>
            </w:pPr>
            <w:r>
              <w:t>A</w:t>
            </w:r>
          </w:p>
        </w:tc>
        <w:tc>
          <w:tcPr>
            <w:tcW w:w="600" w:type="dxa"/>
            <w:shd w:val="clear" w:color="auto" w:fill="FFFFFF" w:themeFill="background1"/>
            <w:vAlign w:val="center"/>
          </w:tcPr>
          <w:p w14:paraId="08CCA82B" w14:textId="77777777" w:rsidR="00C37E4E" w:rsidRPr="005F3E04" w:rsidRDefault="00C37E4E" w:rsidP="00C37E4E">
            <w:pPr>
              <w:pStyle w:val="TableText"/>
            </w:pPr>
            <w:r>
              <w:t>UA</w:t>
            </w:r>
          </w:p>
        </w:tc>
        <w:tc>
          <w:tcPr>
            <w:tcW w:w="599" w:type="dxa"/>
            <w:shd w:val="clear" w:color="auto" w:fill="FFFFFF" w:themeFill="background1"/>
            <w:vAlign w:val="center"/>
          </w:tcPr>
          <w:p w14:paraId="2E5C1DBD" w14:textId="77777777" w:rsidR="00C37E4E" w:rsidRPr="005F3E04" w:rsidRDefault="00C37E4E" w:rsidP="00C37E4E">
            <w:pPr>
              <w:pStyle w:val="TableText"/>
            </w:pPr>
            <w:r>
              <w:t>A</w:t>
            </w:r>
          </w:p>
        </w:tc>
        <w:tc>
          <w:tcPr>
            <w:tcW w:w="599" w:type="dxa"/>
            <w:shd w:val="clear" w:color="auto" w:fill="FFFFFF" w:themeFill="background1"/>
            <w:vAlign w:val="center"/>
          </w:tcPr>
          <w:p w14:paraId="1EEDA445" w14:textId="77777777" w:rsidR="00C37E4E" w:rsidRPr="005F3E04" w:rsidRDefault="00C37E4E" w:rsidP="00C37E4E">
            <w:pPr>
              <w:pStyle w:val="TableText"/>
            </w:pPr>
            <w:r>
              <w:t>UA</w:t>
            </w:r>
          </w:p>
        </w:tc>
        <w:tc>
          <w:tcPr>
            <w:tcW w:w="599" w:type="dxa"/>
            <w:shd w:val="clear" w:color="auto" w:fill="FFFFFF" w:themeFill="background1"/>
            <w:vAlign w:val="center"/>
          </w:tcPr>
          <w:p w14:paraId="1DC39EEB" w14:textId="77777777" w:rsidR="00C37E4E" w:rsidRPr="005F3E04" w:rsidRDefault="00C37E4E" w:rsidP="00C37E4E">
            <w:pPr>
              <w:pStyle w:val="TableText"/>
            </w:pPr>
            <w:r>
              <w:t>N</w:t>
            </w:r>
          </w:p>
        </w:tc>
        <w:tc>
          <w:tcPr>
            <w:tcW w:w="599" w:type="dxa"/>
            <w:shd w:val="clear" w:color="auto" w:fill="FFFFFF" w:themeFill="background1"/>
            <w:vAlign w:val="center"/>
          </w:tcPr>
          <w:p w14:paraId="74B46B85" w14:textId="77777777" w:rsidR="00C37E4E" w:rsidRPr="005F3E04" w:rsidRDefault="00C37E4E" w:rsidP="00C37E4E">
            <w:pPr>
              <w:pStyle w:val="TableText"/>
            </w:pPr>
            <w:r>
              <w:t>U</w:t>
            </w:r>
          </w:p>
        </w:tc>
        <w:tc>
          <w:tcPr>
            <w:tcW w:w="599" w:type="dxa"/>
            <w:shd w:val="clear" w:color="auto" w:fill="FFFFFF" w:themeFill="background1"/>
            <w:vAlign w:val="center"/>
          </w:tcPr>
          <w:p w14:paraId="488DB877" w14:textId="77777777" w:rsidR="00C37E4E" w:rsidRPr="005F3E04" w:rsidRDefault="00C37E4E" w:rsidP="00C37E4E">
            <w:pPr>
              <w:pStyle w:val="TableText"/>
            </w:pPr>
            <w:r>
              <w:t>A</w:t>
            </w:r>
          </w:p>
        </w:tc>
        <w:tc>
          <w:tcPr>
            <w:tcW w:w="599" w:type="dxa"/>
            <w:shd w:val="clear" w:color="auto" w:fill="FFFFFF" w:themeFill="background1"/>
            <w:vAlign w:val="center"/>
          </w:tcPr>
          <w:p w14:paraId="7FEA7D7A" w14:textId="77777777" w:rsidR="00C37E4E" w:rsidRPr="005F3E04" w:rsidRDefault="00C37E4E" w:rsidP="00C37E4E">
            <w:pPr>
              <w:pStyle w:val="TableText"/>
            </w:pPr>
            <w:r>
              <w:t>UA</w:t>
            </w:r>
          </w:p>
        </w:tc>
        <w:tc>
          <w:tcPr>
            <w:tcW w:w="614" w:type="dxa"/>
            <w:shd w:val="clear" w:color="auto" w:fill="FFFFFF" w:themeFill="background1"/>
            <w:vAlign w:val="center"/>
          </w:tcPr>
          <w:p w14:paraId="61DC9FC3" w14:textId="77777777" w:rsidR="00C37E4E" w:rsidRPr="005F3E04" w:rsidRDefault="00C37E4E" w:rsidP="00C37E4E">
            <w:pPr>
              <w:pStyle w:val="TableText"/>
            </w:pPr>
            <w:r>
              <w:t>A</w:t>
            </w:r>
          </w:p>
        </w:tc>
        <w:tc>
          <w:tcPr>
            <w:tcW w:w="646" w:type="dxa"/>
            <w:shd w:val="clear" w:color="auto" w:fill="FFFFFF" w:themeFill="background1"/>
            <w:vAlign w:val="center"/>
          </w:tcPr>
          <w:p w14:paraId="67E9F226" w14:textId="77777777" w:rsidR="00C37E4E" w:rsidRPr="005F3E04" w:rsidRDefault="00C37E4E" w:rsidP="00C37E4E">
            <w:pPr>
              <w:pStyle w:val="TableText"/>
            </w:pPr>
            <w:r>
              <w:t>UA</w:t>
            </w:r>
          </w:p>
        </w:tc>
        <w:tc>
          <w:tcPr>
            <w:tcW w:w="695" w:type="dxa"/>
            <w:shd w:val="clear" w:color="auto" w:fill="FFFFFF" w:themeFill="background1"/>
            <w:vAlign w:val="center"/>
          </w:tcPr>
          <w:p w14:paraId="14FB94BE"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1285F6F2" w14:textId="77777777" w:rsidR="00C37E4E" w:rsidRPr="005F3E04" w:rsidRDefault="00C37E4E" w:rsidP="00C37E4E">
            <w:pPr>
              <w:pStyle w:val="TableText"/>
            </w:pPr>
          </w:p>
        </w:tc>
        <w:tc>
          <w:tcPr>
            <w:tcW w:w="688" w:type="dxa"/>
            <w:shd w:val="clear" w:color="auto" w:fill="FFFFFF" w:themeFill="background1"/>
            <w:vAlign w:val="center"/>
          </w:tcPr>
          <w:p w14:paraId="385F650D"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3EB473F9" w14:textId="77777777" w:rsidR="00C37E4E" w:rsidRPr="005F3E04" w:rsidRDefault="00C37E4E" w:rsidP="00C37E4E">
            <w:pPr>
              <w:pStyle w:val="TableText"/>
            </w:pPr>
          </w:p>
        </w:tc>
        <w:tc>
          <w:tcPr>
            <w:tcW w:w="663" w:type="dxa"/>
            <w:shd w:val="clear" w:color="auto" w:fill="FFFFFF" w:themeFill="background1"/>
            <w:vAlign w:val="center"/>
          </w:tcPr>
          <w:p w14:paraId="2BD1DF8A"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2D7980EF" w14:textId="77777777" w:rsidR="00C37E4E" w:rsidRPr="005F3E04" w:rsidRDefault="00C37E4E" w:rsidP="00C37E4E">
            <w:pPr>
              <w:jc w:val="center"/>
              <w:rPr>
                <w:rFonts w:ascii="Franklin Gothic Book" w:hAnsi="Franklin Gothic Book"/>
                <w:sz w:val="16"/>
                <w:szCs w:val="16"/>
              </w:rPr>
            </w:pPr>
          </w:p>
        </w:tc>
      </w:tr>
      <w:tr w:rsidR="00C37E4E" w14:paraId="728E85FD" w14:textId="77777777" w:rsidTr="00236A57">
        <w:trPr>
          <w:trHeight w:val="20"/>
          <w:jc w:val="center"/>
        </w:trPr>
        <w:tc>
          <w:tcPr>
            <w:tcW w:w="1016" w:type="dxa"/>
            <w:tcBorders>
              <w:left w:val="nil"/>
              <w:bottom w:val="single" w:sz="4" w:space="0" w:color="auto"/>
            </w:tcBorders>
            <w:shd w:val="clear" w:color="auto" w:fill="FFFFFF" w:themeFill="background1"/>
            <w:vAlign w:val="center"/>
          </w:tcPr>
          <w:p w14:paraId="19C81208" w14:textId="77777777" w:rsidR="00C37E4E" w:rsidRPr="005F3E04" w:rsidRDefault="00C37E4E" w:rsidP="00C37E4E">
            <w:pPr>
              <w:pStyle w:val="TableText"/>
            </w:pPr>
            <w:r>
              <w:t>Contra Costa</w:t>
            </w:r>
          </w:p>
        </w:tc>
        <w:tc>
          <w:tcPr>
            <w:tcW w:w="620" w:type="dxa"/>
            <w:tcBorders>
              <w:bottom w:val="single" w:sz="4" w:space="0" w:color="auto"/>
            </w:tcBorders>
            <w:shd w:val="clear" w:color="auto" w:fill="FFFFFF" w:themeFill="background1"/>
            <w:vAlign w:val="center"/>
          </w:tcPr>
          <w:p w14:paraId="2B687F4B" w14:textId="77777777" w:rsidR="00C37E4E" w:rsidRPr="005F3E04" w:rsidRDefault="00C37E4E" w:rsidP="00C37E4E">
            <w:pPr>
              <w:pStyle w:val="TableText"/>
            </w:pPr>
            <w:r>
              <w:t>N</w:t>
            </w:r>
          </w:p>
        </w:tc>
        <w:tc>
          <w:tcPr>
            <w:tcW w:w="665" w:type="dxa"/>
            <w:tcBorders>
              <w:bottom w:val="single" w:sz="4" w:space="0" w:color="auto"/>
            </w:tcBorders>
            <w:shd w:val="clear" w:color="auto" w:fill="FFFFFF" w:themeFill="background1"/>
            <w:vAlign w:val="center"/>
          </w:tcPr>
          <w:p w14:paraId="62E83789" w14:textId="77777777" w:rsidR="00C37E4E" w:rsidRPr="005F3E04" w:rsidRDefault="00C37E4E" w:rsidP="00C37E4E">
            <w:pPr>
              <w:pStyle w:val="TableText"/>
            </w:pPr>
            <w:r>
              <w:t>N</w:t>
            </w:r>
          </w:p>
        </w:tc>
        <w:tc>
          <w:tcPr>
            <w:tcW w:w="600" w:type="dxa"/>
            <w:tcBorders>
              <w:bottom w:val="single" w:sz="4" w:space="0" w:color="auto"/>
            </w:tcBorders>
            <w:shd w:val="clear" w:color="auto" w:fill="FFFFFF" w:themeFill="background1"/>
            <w:vAlign w:val="center"/>
          </w:tcPr>
          <w:p w14:paraId="01A77411"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101C55DE" w14:textId="77777777" w:rsidR="00C37E4E" w:rsidRPr="005F3E04" w:rsidRDefault="00C37E4E" w:rsidP="00C37E4E">
            <w:pPr>
              <w:pStyle w:val="TableText"/>
            </w:pPr>
            <w:r>
              <w:t>UA</w:t>
            </w:r>
          </w:p>
        </w:tc>
        <w:tc>
          <w:tcPr>
            <w:tcW w:w="600" w:type="dxa"/>
            <w:tcBorders>
              <w:bottom w:val="single" w:sz="4" w:space="0" w:color="auto"/>
            </w:tcBorders>
            <w:shd w:val="clear" w:color="auto" w:fill="FFFFFF" w:themeFill="background1"/>
            <w:vAlign w:val="center"/>
          </w:tcPr>
          <w:p w14:paraId="2A16E723"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4BAE059D"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6E1A3CB3"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7F978D51"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74156B03" w14:textId="77777777" w:rsidR="00C37E4E" w:rsidRPr="005F3E04" w:rsidRDefault="00C37E4E" w:rsidP="00C37E4E">
            <w:pPr>
              <w:pStyle w:val="TableText"/>
            </w:pPr>
            <w:r>
              <w:t>U</w:t>
            </w:r>
          </w:p>
        </w:tc>
        <w:tc>
          <w:tcPr>
            <w:tcW w:w="599" w:type="dxa"/>
            <w:tcBorders>
              <w:bottom w:val="single" w:sz="4" w:space="0" w:color="auto"/>
            </w:tcBorders>
            <w:shd w:val="clear" w:color="auto" w:fill="FFFFFF" w:themeFill="background1"/>
            <w:vAlign w:val="center"/>
          </w:tcPr>
          <w:p w14:paraId="74B74567" w14:textId="77777777" w:rsidR="00C37E4E" w:rsidRPr="005F3E04" w:rsidRDefault="00C37E4E" w:rsidP="00C37E4E">
            <w:pPr>
              <w:pStyle w:val="TableText"/>
            </w:pPr>
            <w:r>
              <w:t>U</w:t>
            </w:r>
          </w:p>
        </w:tc>
        <w:tc>
          <w:tcPr>
            <w:tcW w:w="599" w:type="dxa"/>
            <w:tcBorders>
              <w:bottom w:val="single" w:sz="4" w:space="0" w:color="auto"/>
            </w:tcBorders>
            <w:shd w:val="clear" w:color="auto" w:fill="FFFFFF" w:themeFill="background1"/>
            <w:vAlign w:val="center"/>
          </w:tcPr>
          <w:p w14:paraId="35EE6F3D" w14:textId="77777777" w:rsidR="00C37E4E" w:rsidRPr="005F3E04" w:rsidRDefault="00C37E4E" w:rsidP="00C37E4E">
            <w:pPr>
              <w:pStyle w:val="TableText"/>
            </w:pPr>
            <w:r>
              <w:t>N</w:t>
            </w:r>
          </w:p>
        </w:tc>
        <w:tc>
          <w:tcPr>
            <w:tcW w:w="599" w:type="dxa"/>
            <w:tcBorders>
              <w:bottom w:val="single" w:sz="4" w:space="0" w:color="auto"/>
            </w:tcBorders>
            <w:shd w:val="clear" w:color="auto" w:fill="FFFFFF" w:themeFill="background1"/>
            <w:vAlign w:val="center"/>
          </w:tcPr>
          <w:p w14:paraId="172E4384" w14:textId="77777777" w:rsidR="00C37E4E" w:rsidRPr="005F3E04" w:rsidRDefault="00C37E4E" w:rsidP="00C37E4E">
            <w:pPr>
              <w:pStyle w:val="TableText"/>
            </w:pPr>
            <w:r>
              <w:t>N</w:t>
            </w:r>
          </w:p>
        </w:tc>
        <w:tc>
          <w:tcPr>
            <w:tcW w:w="614" w:type="dxa"/>
            <w:tcBorders>
              <w:bottom w:val="single" w:sz="4" w:space="0" w:color="auto"/>
            </w:tcBorders>
            <w:shd w:val="clear" w:color="auto" w:fill="FFFFFF" w:themeFill="background1"/>
            <w:vAlign w:val="center"/>
          </w:tcPr>
          <w:p w14:paraId="64E0D5F3" w14:textId="77777777" w:rsidR="00C37E4E" w:rsidRPr="005F3E04" w:rsidRDefault="00C37E4E" w:rsidP="00C37E4E">
            <w:pPr>
              <w:pStyle w:val="TableText"/>
            </w:pPr>
            <w:r>
              <w:t>A</w:t>
            </w:r>
          </w:p>
        </w:tc>
        <w:tc>
          <w:tcPr>
            <w:tcW w:w="646" w:type="dxa"/>
            <w:tcBorders>
              <w:bottom w:val="single" w:sz="4" w:space="0" w:color="auto"/>
            </w:tcBorders>
            <w:shd w:val="clear" w:color="auto" w:fill="FFFFFF" w:themeFill="background1"/>
            <w:vAlign w:val="center"/>
          </w:tcPr>
          <w:p w14:paraId="207CB18F" w14:textId="77777777" w:rsidR="00C37E4E" w:rsidRPr="005F3E04" w:rsidRDefault="00C37E4E" w:rsidP="00C37E4E">
            <w:pPr>
              <w:pStyle w:val="TableText"/>
            </w:pPr>
            <w:r>
              <w:t>UA</w:t>
            </w:r>
          </w:p>
        </w:tc>
        <w:tc>
          <w:tcPr>
            <w:tcW w:w="695" w:type="dxa"/>
            <w:tcBorders>
              <w:bottom w:val="single" w:sz="4" w:space="0" w:color="auto"/>
            </w:tcBorders>
            <w:shd w:val="clear" w:color="auto" w:fill="FFFFFF" w:themeFill="background1"/>
            <w:vAlign w:val="center"/>
          </w:tcPr>
          <w:p w14:paraId="6AB46C1A"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26A40148" w14:textId="77777777" w:rsidR="00C37E4E" w:rsidRPr="005F3E04" w:rsidRDefault="00C37E4E" w:rsidP="00C37E4E">
            <w:pPr>
              <w:pStyle w:val="TableText"/>
            </w:pPr>
          </w:p>
        </w:tc>
        <w:tc>
          <w:tcPr>
            <w:tcW w:w="688" w:type="dxa"/>
            <w:tcBorders>
              <w:bottom w:val="single" w:sz="4" w:space="0" w:color="auto"/>
            </w:tcBorders>
            <w:shd w:val="clear" w:color="auto" w:fill="FFFFFF" w:themeFill="background1"/>
            <w:vAlign w:val="center"/>
          </w:tcPr>
          <w:p w14:paraId="7CD1E6D8"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1B91D572" w14:textId="77777777" w:rsidR="00C37E4E" w:rsidRPr="005F3E04" w:rsidRDefault="00C37E4E" w:rsidP="00C37E4E">
            <w:pPr>
              <w:pStyle w:val="TableText"/>
            </w:pPr>
          </w:p>
        </w:tc>
        <w:tc>
          <w:tcPr>
            <w:tcW w:w="663" w:type="dxa"/>
            <w:tcBorders>
              <w:bottom w:val="single" w:sz="4" w:space="0" w:color="auto"/>
            </w:tcBorders>
            <w:shd w:val="clear" w:color="auto" w:fill="FFFFFF" w:themeFill="background1"/>
            <w:vAlign w:val="center"/>
          </w:tcPr>
          <w:p w14:paraId="44B63C52"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1E3501B0" w14:textId="77777777" w:rsidR="00C37E4E" w:rsidRPr="005F3E04" w:rsidRDefault="00C37E4E" w:rsidP="00C37E4E">
            <w:pPr>
              <w:jc w:val="center"/>
              <w:rPr>
                <w:rFonts w:ascii="Franklin Gothic Book" w:hAnsi="Franklin Gothic Book"/>
                <w:sz w:val="16"/>
                <w:szCs w:val="16"/>
              </w:rPr>
            </w:pPr>
          </w:p>
        </w:tc>
      </w:tr>
      <w:tr w:rsidR="00C37E4E" w14:paraId="47140DA7" w14:textId="77777777" w:rsidTr="00236A57">
        <w:trPr>
          <w:trHeight w:val="20"/>
          <w:jc w:val="center"/>
        </w:trPr>
        <w:tc>
          <w:tcPr>
            <w:tcW w:w="1016" w:type="dxa"/>
            <w:tcBorders>
              <w:left w:val="nil"/>
            </w:tcBorders>
            <w:shd w:val="clear" w:color="auto" w:fill="FFFFFF" w:themeFill="background1"/>
            <w:vAlign w:val="center"/>
          </w:tcPr>
          <w:p w14:paraId="60B73EEF" w14:textId="77777777" w:rsidR="00C37E4E" w:rsidRPr="005F3E04" w:rsidRDefault="00C37E4E" w:rsidP="00C37E4E">
            <w:pPr>
              <w:pStyle w:val="TableText"/>
            </w:pPr>
            <w:r>
              <w:t>Del Norte</w:t>
            </w:r>
          </w:p>
        </w:tc>
        <w:tc>
          <w:tcPr>
            <w:tcW w:w="620" w:type="dxa"/>
            <w:shd w:val="clear" w:color="auto" w:fill="FFFFFF" w:themeFill="background1"/>
            <w:vAlign w:val="center"/>
          </w:tcPr>
          <w:p w14:paraId="70F632C2" w14:textId="77777777" w:rsidR="00C37E4E" w:rsidRPr="005F3E04" w:rsidRDefault="00C37E4E" w:rsidP="00C37E4E">
            <w:pPr>
              <w:pStyle w:val="TableText"/>
            </w:pPr>
            <w:r>
              <w:t>A</w:t>
            </w:r>
          </w:p>
        </w:tc>
        <w:tc>
          <w:tcPr>
            <w:tcW w:w="665" w:type="dxa"/>
            <w:shd w:val="clear" w:color="auto" w:fill="FFFFFF" w:themeFill="background1"/>
            <w:vAlign w:val="center"/>
          </w:tcPr>
          <w:p w14:paraId="300637CF" w14:textId="77777777" w:rsidR="00C37E4E" w:rsidRPr="005F3E04" w:rsidRDefault="00C37E4E" w:rsidP="00C37E4E">
            <w:pPr>
              <w:pStyle w:val="TableText"/>
            </w:pPr>
            <w:r>
              <w:t>AU</w:t>
            </w:r>
          </w:p>
        </w:tc>
        <w:tc>
          <w:tcPr>
            <w:tcW w:w="600" w:type="dxa"/>
            <w:shd w:val="clear" w:color="auto" w:fill="FFFFFF" w:themeFill="background1"/>
            <w:vAlign w:val="center"/>
          </w:tcPr>
          <w:p w14:paraId="7997D970" w14:textId="77777777" w:rsidR="00C37E4E" w:rsidRPr="005F3E04" w:rsidRDefault="00C37E4E" w:rsidP="00C37E4E">
            <w:pPr>
              <w:pStyle w:val="TableText"/>
            </w:pPr>
            <w:r>
              <w:t>U</w:t>
            </w:r>
          </w:p>
        </w:tc>
        <w:tc>
          <w:tcPr>
            <w:tcW w:w="600" w:type="dxa"/>
            <w:shd w:val="clear" w:color="auto" w:fill="FFFFFF" w:themeFill="background1"/>
            <w:vAlign w:val="center"/>
          </w:tcPr>
          <w:p w14:paraId="517D8457" w14:textId="77777777" w:rsidR="00C37E4E" w:rsidRPr="005F3E04" w:rsidRDefault="00C37E4E" w:rsidP="00C37E4E">
            <w:pPr>
              <w:pStyle w:val="TableText"/>
            </w:pPr>
            <w:r>
              <w:t>UA</w:t>
            </w:r>
          </w:p>
        </w:tc>
        <w:tc>
          <w:tcPr>
            <w:tcW w:w="600" w:type="dxa"/>
            <w:shd w:val="clear" w:color="auto" w:fill="FFFFFF" w:themeFill="background1"/>
            <w:vAlign w:val="center"/>
          </w:tcPr>
          <w:p w14:paraId="574AD1C0" w14:textId="77777777" w:rsidR="00C37E4E" w:rsidRPr="005F3E04" w:rsidRDefault="00C37E4E" w:rsidP="00C37E4E">
            <w:pPr>
              <w:pStyle w:val="TableText"/>
            </w:pPr>
            <w:r>
              <w:t>A</w:t>
            </w:r>
          </w:p>
        </w:tc>
        <w:tc>
          <w:tcPr>
            <w:tcW w:w="600" w:type="dxa"/>
            <w:shd w:val="clear" w:color="auto" w:fill="FFFFFF" w:themeFill="background1"/>
            <w:vAlign w:val="center"/>
          </w:tcPr>
          <w:p w14:paraId="6C5D8BEA" w14:textId="77777777" w:rsidR="00C37E4E" w:rsidRPr="005F3E04" w:rsidRDefault="00C37E4E" w:rsidP="00C37E4E">
            <w:pPr>
              <w:pStyle w:val="TableText"/>
            </w:pPr>
            <w:r>
              <w:t>UA</w:t>
            </w:r>
          </w:p>
        </w:tc>
        <w:tc>
          <w:tcPr>
            <w:tcW w:w="599" w:type="dxa"/>
            <w:shd w:val="clear" w:color="auto" w:fill="FFFFFF" w:themeFill="background1"/>
            <w:vAlign w:val="center"/>
          </w:tcPr>
          <w:p w14:paraId="5BCD6FB1" w14:textId="77777777" w:rsidR="00C37E4E" w:rsidRPr="005F3E04" w:rsidRDefault="00C37E4E" w:rsidP="00C37E4E">
            <w:pPr>
              <w:pStyle w:val="TableText"/>
            </w:pPr>
            <w:r>
              <w:t>A</w:t>
            </w:r>
          </w:p>
        </w:tc>
        <w:tc>
          <w:tcPr>
            <w:tcW w:w="599" w:type="dxa"/>
            <w:shd w:val="clear" w:color="auto" w:fill="FFFFFF" w:themeFill="background1"/>
            <w:vAlign w:val="center"/>
          </w:tcPr>
          <w:p w14:paraId="7342B17D" w14:textId="77777777" w:rsidR="00C37E4E" w:rsidRPr="005F3E04" w:rsidRDefault="00C37E4E" w:rsidP="00C37E4E">
            <w:pPr>
              <w:pStyle w:val="TableText"/>
            </w:pPr>
            <w:r>
              <w:t>UA</w:t>
            </w:r>
          </w:p>
        </w:tc>
        <w:tc>
          <w:tcPr>
            <w:tcW w:w="599" w:type="dxa"/>
            <w:shd w:val="clear" w:color="auto" w:fill="FFFFFF" w:themeFill="background1"/>
            <w:vAlign w:val="center"/>
          </w:tcPr>
          <w:p w14:paraId="60A00098" w14:textId="77777777" w:rsidR="00C37E4E" w:rsidRPr="005F3E04" w:rsidRDefault="00C37E4E" w:rsidP="00C37E4E">
            <w:pPr>
              <w:pStyle w:val="TableText"/>
            </w:pPr>
            <w:r>
              <w:t>A</w:t>
            </w:r>
          </w:p>
        </w:tc>
        <w:tc>
          <w:tcPr>
            <w:tcW w:w="599" w:type="dxa"/>
            <w:shd w:val="clear" w:color="auto" w:fill="FFFFFF" w:themeFill="background1"/>
            <w:vAlign w:val="center"/>
          </w:tcPr>
          <w:p w14:paraId="7543AE8B" w14:textId="77777777" w:rsidR="00C37E4E" w:rsidRPr="005F3E04" w:rsidRDefault="00C37E4E" w:rsidP="00C37E4E">
            <w:pPr>
              <w:pStyle w:val="TableText"/>
            </w:pPr>
            <w:r>
              <w:t>U</w:t>
            </w:r>
          </w:p>
        </w:tc>
        <w:tc>
          <w:tcPr>
            <w:tcW w:w="599" w:type="dxa"/>
            <w:shd w:val="clear" w:color="auto" w:fill="FFFFFF" w:themeFill="background1"/>
            <w:vAlign w:val="center"/>
          </w:tcPr>
          <w:p w14:paraId="408BF6D8" w14:textId="77777777" w:rsidR="00C37E4E" w:rsidRPr="005F3E04" w:rsidRDefault="00C37E4E" w:rsidP="00C37E4E">
            <w:pPr>
              <w:pStyle w:val="TableText"/>
            </w:pPr>
            <w:r>
              <w:t>A</w:t>
            </w:r>
          </w:p>
        </w:tc>
        <w:tc>
          <w:tcPr>
            <w:tcW w:w="599" w:type="dxa"/>
            <w:shd w:val="clear" w:color="auto" w:fill="FFFFFF" w:themeFill="background1"/>
            <w:vAlign w:val="center"/>
          </w:tcPr>
          <w:p w14:paraId="5489891F" w14:textId="77777777" w:rsidR="00C37E4E" w:rsidRPr="005F3E04" w:rsidRDefault="00C37E4E" w:rsidP="00C37E4E">
            <w:pPr>
              <w:pStyle w:val="TableText"/>
            </w:pPr>
            <w:r>
              <w:t>UA</w:t>
            </w:r>
          </w:p>
        </w:tc>
        <w:tc>
          <w:tcPr>
            <w:tcW w:w="614" w:type="dxa"/>
            <w:shd w:val="clear" w:color="auto" w:fill="FFFFFF" w:themeFill="background1"/>
            <w:vAlign w:val="center"/>
          </w:tcPr>
          <w:p w14:paraId="3B5E3D22" w14:textId="77777777" w:rsidR="00C37E4E" w:rsidRPr="005F3E04" w:rsidRDefault="00C37E4E" w:rsidP="00C37E4E">
            <w:pPr>
              <w:pStyle w:val="TableText"/>
            </w:pPr>
            <w:r>
              <w:t>A</w:t>
            </w:r>
          </w:p>
        </w:tc>
        <w:tc>
          <w:tcPr>
            <w:tcW w:w="646" w:type="dxa"/>
            <w:shd w:val="clear" w:color="auto" w:fill="FFFFFF" w:themeFill="background1"/>
            <w:vAlign w:val="center"/>
          </w:tcPr>
          <w:p w14:paraId="295C1725" w14:textId="77777777" w:rsidR="00C37E4E" w:rsidRPr="005F3E04" w:rsidRDefault="00C37E4E" w:rsidP="00C37E4E">
            <w:pPr>
              <w:pStyle w:val="TableText"/>
            </w:pPr>
            <w:r>
              <w:t>UA</w:t>
            </w:r>
          </w:p>
        </w:tc>
        <w:tc>
          <w:tcPr>
            <w:tcW w:w="695" w:type="dxa"/>
            <w:shd w:val="clear" w:color="auto" w:fill="FFFFFF" w:themeFill="background1"/>
            <w:vAlign w:val="center"/>
          </w:tcPr>
          <w:p w14:paraId="4CF0BF75"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4AEDBD40" w14:textId="77777777" w:rsidR="00C37E4E" w:rsidRPr="005F3E04" w:rsidRDefault="00C37E4E" w:rsidP="00C37E4E">
            <w:pPr>
              <w:pStyle w:val="TableText"/>
            </w:pPr>
          </w:p>
        </w:tc>
        <w:tc>
          <w:tcPr>
            <w:tcW w:w="688" w:type="dxa"/>
            <w:shd w:val="clear" w:color="auto" w:fill="FFFFFF" w:themeFill="background1"/>
            <w:vAlign w:val="center"/>
          </w:tcPr>
          <w:p w14:paraId="1D82209C"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2429CAC7" w14:textId="77777777" w:rsidR="00C37E4E" w:rsidRPr="005F3E04" w:rsidRDefault="00C37E4E" w:rsidP="00C37E4E">
            <w:pPr>
              <w:pStyle w:val="TableText"/>
            </w:pPr>
          </w:p>
        </w:tc>
        <w:tc>
          <w:tcPr>
            <w:tcW w:w="663" w:type="dxa"/>
            <w:shd w:val="clear" w:color="auto" w:fill="FFFFFF" w:themeFill="background1"/>
            <w:vAlign w:val="center"/>
          </w:tcPr>
          <w:p w14:paraId="7255006B"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41FDF7B1" w14:textId="77777777" w:rsidR="00C37E4E" w:rsidRPr="005F3E04" w:rsidRDefault="00C37E4E" w:rsidP="00C37E4E">
            <w:pPr>
              <w:jc w:val="center"/>
              <w:rPr>
                <w:rFonts w:ascii="Franklin Gothic Book" w:hAnsi="Franklin Gothic Book"/>
                <w:sz w:val="16"/>
                <w:szCs w:val="16"/>
              </w:rPr>
            </w:pPr>
          </w:p>
        </w:tc>
      </w:tr>
      <w:tr w:rsidR="00C37E4E" w14:paraId="7A2C338D" w14:textId="77777777" w:rsidTr="00236A57">
        <w:trPr>
          <w:trHeight w:val="20"/>
          <w:jc w:val="center"/>
        </w:trPr>
        <w:tc>
          <w:tcPr>
            <w:tcW w:w="1016" w:type="dxa"/>
            <w:tcBorders>
              <w:left w:val="nil"/>
              <w:bottom w:val="single" w:sz="4" w:space="0" w:color="auto"/>
            </w:tcBorders>
            <w:shd w:val="clear" w:color="auto" w:fill="FFFFFF" w:themeFill="background1"/>
            <w:vAlign w:val="center"/>
          </w:tcPr>
          <w:p w14:paraId="675C9D07" w14:textId="77777777" w:rsidR="00C37E4E" w:rsidRPr="00980D5B" w:rsidRDefault="00C37E4E" w:rsidP="00C37E4E">
            <w:pPr>
              <w:pStyle w:val="TableText"/>
              <w:rPr>
                <w:vertAlign w:val="superscript"/>
              </w:rPr>
            </w:pPr>
            <w:r>
              <w:t>El Dorado</w:t>
            </w:r>
            <w:r>
              <w:rPr>
                <w:vertAlign w:val="superscript"/>
              </w:rPr>
              <w:t>1</w:t>
            </w:r>
          </w:p>
        </w:tc>
        <w:tc>
          <w:tcPr>
            <w:tcW w:w="620" w:type="dxa"/>
            <w:tcBorders>
              <w:bottom w:val="single" w:sz="4" w:space="0" w:color="auto"/>
            </w:tcBorders>
            <w:shd w:val="clear" w:color="auto" w:fill="FFFFFF" w:themeFill="background1"/>
            <w:vAlign w:val="center"/>
          </w:tcPr>
          <w:p w14:paraId="6700FBD1" w14:textId="77777777" w:rsidR="00C37E4E" w:rsidRPr="005F3E04" w:rsidRDefault="00C37E4E" w:rsidP="00C37E4E">
            <w:pPr>
              <w:pStyle w:val="TableText"/>
            </w:pPr>
            <w:r>
              <w:t>A/N</w:t>
            </w:r>
          </w:p>
        </w:tc>
        <w:tc>
          <w:tcPr>
            <w:tcW w:w="665" w:type="dxa"/>
            <w:tcBorders>
              <w:bottom w:val="single" w:sz="4" w:space="0" w:color="auto"/>
            </w:tcBorders>
            <w:shd w:val="clear" w:color="auto" w:fill="FFFFFF" w:themeFill="background1"/>
            <w:vAlign w:val="center"/>
          </w:tcPr>
          <w:p w14:paraId="2BC97ECF" w14:textId="77777777" w:rsidR="00C37E4E" w:rsidRPr="005F3E04" w:rsidRDefault="00C37E4E" w:rsidP="00C37E4E">
            <w:pPr>
              <w:pStyle w:val="TableText"/>
            </w:pPr>
            <w:r>
              <w:t>N/AU</w:t>
            </w:r>
          </w:p>
        </w:tc>
        <w:tc>
          <w:tcPr>
            <w:tcW w:w="600" w:type="dxa"/>
            <w:tcBorders>
              <w:bottom w:val="single" w:sz="4" w:space="0" w:color="auto"/>
            </w:tcBorders>
            <w:shd w:val="clear" w:color="auto" w:fill="FFFFFF" w:themeFill="background1"/>
            <w:vAlign w:val="center"/>
          </w:tcPr>
          <w:p w14:paraId="6C1284AB" w14:textId="77777777" w:rsidR="00C37E4E" w:rsidRPr="005F3E04" w:rsidRDefault="00C37E4E" w:rsidP="00C37E4E">
            <w:pPr>
              <w:pStyle w:val="TableText"/>
            </w:pPr>
            <w:r>
              <w:t>U</w:t>
            </w:r>
          </w:p>
        </w:tc>
        <w:tc>
          <w:tcPr>
            <w:tcW w:w="600" w:type="dxa"/>
            <w:tcBorders>
              <w:bottom w:val="single" w:sz="4" w:space="0" w:color="auto"/>
            </w:tcBorders>
            <w:shd w:val="clear" w:color="auto" w:fill="FFFFFF" w:themeFill="background1"/>
            <w:vAlign w:val="center"/>
          </w:tcPr>
          <w:p w14:paraId="1D787A2D" w14:textId="77777777" w:rsidR="00C37E4E" w:rsidRPr="005F3E04" w:rsidRDefault="00C37E4E" w:rsidP="00C37E4E">
            <w:pPr>
              <w:pStyle w:val="TableText"/>
            </w:pPr>
            <w:r>
              <w:t>UA</w:t>
            </w:r>
          </w:p>
        </w:tc>
        <w:tc>
          <w:tcPr>
            <w:tcW w:w="600" w:type="dxa"/>
            <w:tcBorders>
              <w:bottom w:val="single" w:sz="4" w:space="0" w:color="auto"/>
            </w:tcBorders>
            <w:shd w:val="clear" w:color="auto" w:fill="FFFFFF" w:themeFill="background1"/>
            <w:vAlign w:val="center"/>
          </w:tcPr>
          <w:p w14:paraId="31F3D31C"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71F6ACF0"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1F55763D"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2CA5D029"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702F921A" w14:textId="77777777" w:rsidR="00C37E4E" w:rsidRPr="005F3E04" w:rsidRDefault="00C37E4E" w:rsidP="00C37E4E">
            <w:pPr>
              <w:pStyle w:val="TableText"/>
            </w:pPr>
            <w:r>
              <w:t>N</w:t>
            </w:r>
          </w:p>
        </w:tc>
        <w:tc>
          <w:tcPr>
            <w:tcW w:w="599" w:type="dxa"/>
            <w:tcBorders>
              <w:bottom w:val="single" w:sz="4" w:space="0" w:color="auto"/>
            </w:tcBorders>
            <w:shd w:val="clear" w:color="auto" w:fill="FFFFFF" w:themeFill="background1"/>
            <w:vAlign w:val="center"/>
          </w:tcPr>
          <w:p w14:paraId="6C04EE26" w14:textId="77777777" w:rsidR="00C37E4E" w:rsidRPr="005F3E04" w:rsidRDefault="00C37E4E" w:rsidP="00C37E4E">
            <w:pPr>
              <w:pStyle w:val="TableText"/>
            </w:pPr>
            <w:r>
              <w:t>U</w:t>
            </w:r>
          </w:p>
        </w:tc>
        <w:tc>
          <w:tcPr>
            <w:tcW w:w="599" w:type="dxa"/>
            <w:tcBorders>
              <w:bottom w:val="single" w:sz="4" w:space="0" w:color="auto"/>
            </w:tcBorders>
            <w:shd w:val="clear" w:color="auto" w:fill="FFFFFF" w:themeFill="background1"/>
            <w:vAlign w:val="center"/>
          </w:tcPr>
          <w:p w14:paraId="143107A4" w14:textId="77777777" w:rsidR="00C37E4E" w:rsidRPr="005F3E04" w:rsidRDefault="00C37E4E" w:rsidP="00C37E4E">
            <w:pPr>
              <w:pStyle w:val="TableText"/>
            </w:pPr>
            <w:r>
              <w:t>A/U</w:t>
            </w:r>
          </w:p>
        </w:tc>
        <w:tc>
          <w:tcPr>
            <w:tcW w:w="599" w:type="dxa"/>
            <w:tcBorders>
              <w:bottom w:val="single" w:sz="4" w:space="0" w:color="auto"/>
            </w:tcBorders>
            <w:shd w:val="clear" w:color="auto" w:fill="FFFFFF" w:themeFill="background1"/>
            <w:vAlign w:val="center"/>
          </w:tcPr>
          <w:p w14:paraId="37FEDE58" w14:textId="77777777" w:rsidR="00C37E4E" w:rsidRPr="005F3E04" w:rsidRDefault="00C37E4E" w:rsidP="00C37E4E">
            <w:pPr>
              <w:pStyle w:val="TableText"/>
            </w:pPr>
            <w:r>
              <w:t>N/UA</w:t>
            </w:r>
          </w:p>
        </w:tc>
        <w:tc>
          <w:tcPr>
            <w:tcW w:w="614" w:type="dxa"/>
            <w:tcBorders>
              <w:bottom w:val="single" w:sz="4" w:space="0" w:color="auto"/>
            </w:tcBorders>
            <w:shd w:val="clear" w:color="auto" w:fill="FFFFFF" w:themeFill="background1"/>
            <w:vAlign w:val="center"/>
          </w:tcPr>
          <w:p w14:paraId="47A49F8C" w14:textId="77777777" w:rsidR="00C37E4E" w:rsidRPr="005F3E04" w:rsidRDefault="00C37E4E" w:rsidP="00C37E4E">
            <w:pPr>
              <w:pStyle w:val="TableText"/>
            </w:pPr>
            <w:r>
              <w:t>A</w:t>
            </w:r>
          </w:p>
        </w:tc>
        <w:tc>
          <w:tcPr>
            <w:tcW w:w="646" w:type="dxa"/>
            <w:tcBorders>
              <w:bottom w:val="single" w:sz="4" w:space="0" w:color="auto"/>
            </w:tcBorders>
            <w:shd w:val="clear" w:color="auto" w:fill="FFFFFF" w:themeFill="background1"/>
            <w:vAlign w:val="center"/>
          </w:tcPr>
          <w:p w14:paraId="1189A5F0" w14:textId="77777777" w:rsidR="00C37E4E" w:rsidRPr="005F3E04" w:rsidRDefault="00C37E4E" w:rsidP="00C37E4E">
            <w:pPr>
              <w:pStyle w:val="TableText"/>
            </w:pPr>
            <w:r>
              <w:t>UA</w:t>
            </w:r>
          </w:p>
        </w:tc>
        <w:tc>
          <w:tcPr>
            <w:tcW w:w="695" w:type="dxa"/>
            <w:tcBorders>
              <w:bottom w:val="single" w:sz="4" w:space="0" w:color="auto"/>
            </w:tcBorders>
            <w:shd w:val="clear" w:color="auto" w:fill="FFFFFF" w:themeFill="background1"/>
            <w:vAlign w:val="center"/>
          </w:tcPr>
          <w:p w14:paraId="68AFA720"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35AB66A5" w14:textId="77777777" w:rsidR="00C37E4E" w:rsidRPr="005F3E04" w:rsidRDefault="00C37E4E" w:rsidP="00C37E4E">
            <w:pPr>
              <w:pStyle w:val="TableText"/>
            </w:pPr>
          </w:p>
        </w:tc>
        <w:tc>
          <w:tcPr>
            <w:tcW w:w="688" w:type="dxa"/>
            <w:tcBorders>
              <w:bottom w:val="single" w:sz="4" w:space="0" w:color="auto"/>
            </w:tcBorders>
            <w:shd w:val="clear" w:color="auto" w:fill="FFFFFF" w:themeFill="background1"/>
            <w:vAlign w:val="center"/>
          </w:tcPr>
          <w:p w14:paraId="0B8D90A0"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50F204F1" w14:textId="77777777" w:rsidR="00C37E4E" w:rsidRPr="005F3E04" w:rsidRDefault="00C37E4E" w:rsidP="00C37E4E">
            <w:pPr>
              <w:pStyle w:val="TableText"/>
            </w:pPr>
          </w:p>
        </w:tc>
        <w:tc>
          <w:tcPr>
            <w:tcW w:w="663" w:type="dxa"/>
            <w:tcBorders>
              <w:bottom w:val="single" w:sz="4" w:space="0" w:color="auto"/>
            </w:tcBorders>
            <w:shd w:val="clear" w:color="auto" w:fill="FFFFFF" w:themeFill="background1"/>
            <w:vAlign w:val="center"/>
          </w:tcPr>
          <w:p w14:paraId="6FB481F1"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7AE9E612" w14:textId="77777777" w:rsidR="00C37E4E" w:rsidRPr="005F3E04" w:rsidRDefault="00C37E4E" w:rsidP="00C37E4E">
            <w:pPr>
              <w:jc w:val="center"/>
              <w:rPr>
                <w:rFonts w:ascii="Franklin Gothic Book" w:hAnsi="Franklin Gothic Book"/>
                <w:sz w:val="16"/>
                <w:szCs w:val="16"/>
              </w:rPr>
            </w:pPr>
          </w:p>
        </w:tc>
      </w:tr>
      <w:tr w:rsidR="00C37E4E" w14:paraId="6F5E99F8" w14:textId="77777777" w:rsidTr="00236A57">
        <w:trPr>
          <w:trHeight w:val="20"/>
          <w:jc w:val="center"/>
        </w:trPr>
        <w:tc>
          <w:tcPr>
            <w:tcW w:w="1016" w:type="dxa"/>
            <w:tcBorders>
              <w:left w:val="nil"/>
            </w:tcBorders>
            <w:shd w:val="clear" w:color="auto" w:fill="FFFFFF" w:themeFill="background1"/>
            <w:vAlign w:val="center"/>
          </w:tcPr>
          <w:p w14:paraId="0CC2A189" w14:textId="77777777" w:rsidR="00C37E4E" w:rsidRPr="005F3E04" w:rsidRDefault="00C37E4E" w:rsidP="00C37E4E">
            <w:pPr>
              <w:pStyle w:val="TableText"/>
            </w:pPr>
            <w:r>
              <w:t>Fresno</w:t>
            </w:r>
          </w:p>
        </w:tc>
        <w:tc>
          <w:tcPr>
            <w:tcW w:w="620" w:type="dxa"/>
            <w:shd w:val="clear" w:color="auto" w:fill="FFFFFF" w:themeFill="background1"/>
            <w:vAlign w:val="center"/>
          </w:tcPr>
          <w:p w14:paraId="21BBBB3F" w14:textId="77777777" w:rsidR="00C37E4E" w:rsidRPr="005F3E04" w:rsidRDefault="00C37E4E" w:rsidP="00C37E4E">
            <w:pPr>
              <w:pStyle w:val="TableText"/>
            </w:pPr>
            <w:r>
              <w:t>N</w:t>
            </w:r>
          </w:p>
        </w:tc>
        <w:tc>
          <w:tcPr>
            <w:tcW w:w="665" w:type="dxa"/>
            <w:shd w:val="clear" w:color="auto" w:fill="FFFFFF" w:themeFill="background1"/>
            <w:vAlign w:val="center"/>
          </w:tcPr>
          <w:p w14:paraId="3A0B1563" w14:textId="77777777" w:rsidR="00C37E4E" w:rsidRPr="005F3E04" w:rsidRDefault="00C37E4E" w:rsidP="00C37E4E">
            <w:pPr>
              <w:pStyle w:val="TableText"/>
            </w:pPr>
            <w:r>
              <w:t>N</w:t>
            </w:r>
          </w:p>
        </w:tc>
        <w:tc>
          <w:tcPr>
            <w:tcW w:w="600" w:type="dxa"/>
            <w:shd w:val="clear" w:color="auto" w:fill="FFFFFF" w:themeFill="background1"/>
            <w:vAlign w:val="center"/>
          </w:tcPr>
          <w:p w14:paraId="564044F7" w14:textId="77777777" w:rsidR="00C37E4E" w:rsidRPr="005F3E04" w:rsidRDefault="00C37E4E" w:rsidP="00C37E4E">
            <w:pPr>
              <w:pStyle w:val="TableText"/>
            </w:pPr>
            <w:r>
              <w:t>A</w:t>
            </w:r>
          </w:p>
        </w:tc>
        <w:tc>
          <w:tcPr>
            <w:tcW w:w="600" w:type="dxa"/>
            <w:shd w:val="clear" w:color="auto" w:fill="FFFFFF" w:themeFill="background1"/>
            <w:vAlign w:val="center"/>
          </w:tcPr>
          <w:p w14:paraId="7AA294F0" w14:textId="77777777" w:rsidR="00C37E4E" w:rsidRPr="005F3E04" w:rsidRDefault="00C37E4E" w:rsidP="00C37E4E">
            <w:pPr>
              <w:pStyle w:val="TableText"/>
            </w:pPr>
            <w:r>
              <w:t>UA</w:t>
            </w:r>
          </w:p>
        </w:tc>
        <w:tc>
          <w:tcPr>
            <w:tcW w:w="600" w:type="dxa"/>
            <w:shd w:val="clear" w:color="auto" w:fill="FFFFFF" w:themeFill="background1"/>
            <w:vAlign w:val="center"/>
          </w:tcPr>
          <w:p w14:paraId="4A38B9E4" w14:textId="77777777" w:rsidR="00C37E4E" w:rsidRPr="005F3E04" w:rsidRDefault="00C37E4E" w:rsidP="00C37E4E">
            <w:pPr>
              <w:pStyle w:val="TableText"/>
            </w:pPr>
            <w:r>
              <w:t>A</w:t>
            </w:r>
          </w:p>
        </w:tc>
        <w:tc>
          <w:tcPr>
            <w:tcW w:w="600" w:type="dxa"/>
            <w:shd w:val="clear" w:color="auto" w:fill="FFFFFF" w:themeFill="background1"/>
            <w:vAlign w:val="center"/>
          </w:tcPr>
          <w:p w14:paraId="7D403FA8" w14:textId="77777777" w:rsidR="00C37E4E" w:rsidRPr="005F3E04" w:rsidRDefault="00C37E4E" w:rsidP="00C37E4E">
            <w:pPr>
              <w:pStyle w:val="TableText"/>
            </w:pPr>
            <w:r>
              <w:t>UA</w:t>
            </w:r>
          </w:p>
        </w:tc>
        <w:tc>
          <w:tcPr>
            <w:tcW w:w="599" w:type="dxa"/>
            <w:shd w:val="clear" w:color="auto" w:fill="FFFFFF" w:themeFill="background1"/>
            <w:vAlign w:val="center"/>
          </w:tcPr>
          <w:p w14:paraId="24D71C73" w14:textId="77777777" w:rsidR="00C37E4E" w:rsidRPr="005F3E04" w:rsidRDefault="00C37E4E" w:rsidP="00C37E4E">
            <w:pPr>
              <w:pStyle w:val="TableText"/>
            </w:pPr>
            <w:r>
              <w:t>A</w:t>
            </w:r>
          </w:p>
        </w:tc>
        <w:tc>
          <w:tcPr>
            <w:tcW w:w="599" w:type="dxa"/>
            <w:shd w:val="clear" w:color="auto" w:fill="FFFFFF" w:themeFill="background1"/>
            <w:vAlign w:val="center"/>
          </w:tcPr>
          <w:p w14:paraId="6B6B2A89" w14:textId="77777777" w:rsidR="00C37E4E" w:rsidRPr="005F3E04" w:rsidRDefault="00C37E4E" w:rsidP="00C37E4E">
            <w:pPr>
              <w:pStyle w:val="TableText"/>
            </w:pPr>
            <w:r>
              <w:t>UA</w:t>
            </w:r>
          </w:p>
        </w:tc>
        <w:tc>
          <w:tcPr>
            <w:tcW w:w="599" w:type="dxa"/>
            <w:shd w:val="clear" w:color="auto" w:fill="FFFFFF" w:themeFill="background1"/>
            <w:vAlign w:val="center"/>
          </w:tcPr>
          <w:p w14:paraId="094BC3E8" w14:textId="77777777" w:rsidR="00C37E4E" w:rsidRPr="005F3E04" w:rsidRDefault="00C37E4E" w:rsidP="00C37E4E">
            <w:pPr>
              <w:pStyle w:val="TableText"/>
            </w:pPr>
            <w:r>
              <w:t>N</w:t>
            </w:r>
          </w:p>
        </w:tc>
        <w:tc>
          <w:tcPr>
            <w:tcW w:w="599" w:type="dxa"/>
            <w:shd w:val="clear" w:color="auto" w:fill="FFFFFF" w:themeFill="background1"/>
            <w:vAlign w:val="center"/>
          </w:tcPr>
          <w:p w14:paraId="3AA751C1" w14:textId="77777777" w:rsidR="00C37E4E" w:rsidRPr="005F3E04" w:rsidRDefault="00C37E4E" w:rsidP="00C37E4E">
            <w:pPr>
              <w:pStyle w:val="TableText"/>
            </w:pPr>
            <w:r>
              <w:t>A</w:t>
            </w:r>
          </w:p>
        </w:tc>
        <w:tc>
          <w:tcPr>
            <w:tcW w:w="599" w:type="dxa"/>
            <w:shd w:val="clear" w:color="auto" w:fill="FFFFFF" w:themeFill="background1"/>
            <w:vAlign w:val="center"/>
          </w:tcPr>
          <w:p w14:paraId="3FF834FA" w14:textId="77777777" w:rsidR="00C37E4E" w:rsidRPr="005F3E04" w:rsidRDefault="00C37E4E" w:rsidP="00C37E4E">
            <w:pPr>
              <w:pStyle w:val="TableText"/>
            </w:pPr>
            <w:r>
              <w:t>N</w:t>
            </w:r>
          </w:p>
        </w:tc>
        <w:tc>
          <w:tcPr>
            <w:tcW w:w="599" w:type="dxa"/>
            <w:shd w:val="clear" w:color="auto" w:fill="FFFFFF" w:themeFill="background1"/>
            <w:vAlign w:val="center"/>
          </w:tcPr>
          <w:p w14:paraId="301528D2" w14:textId="77777777" w:rsidR="00C37E4E" w:rsidRPr="005F3E04" w:rsidRDefault="00C37E4E" w:rsidP="00C37E4E">
            <w:pPr>
              <w:pStyle w:val="TableText"/>
            </w:pPr>
            <w:r>
              <w:t>N</w:t>
            </w:r>
          </w:p>
        </w:tc>
        <w:tc>
          <w:tcPr>
            <w:tcW w:w="614" w:type="dxa"/>
            <w:shd w:val="clear" w:color="auto" w:fill="FFFFFF" w:themeFill="background1"/>
            <w:vAlign w:val="center"/>
          </w:tcPr>
          <w:p w14:paraId="36CBDD80" w14:textId="77777777" w:rsidR="00C37E4E" w:rsidRPr="005F3E04" w:rsidRDefault="00C37E4E" w:rsidP="00C37E4E">
            <w:pPr>
              <w:pStyle w:val="TableText"/>
            </w:pPr>
            <w:r>
              <w:t>A</w:t>
            </w:r>
          </w:p>
        </w:tc>
        <w:tc>
          <w:tcPr>
            <w:tcW w:w="646" w:type="dxa"/>
            <w:shd w:val="clear" w:color="auto" w:fill="FFFFFF" w:themeFill="background1"/>
            <w:vAlign w:val="center"/>
          </w:tcPr>
          <w:p w14:paraId="45FD4FD7" w14:textId="77777777" w:rsidR="00C37E4E" w:rsidRPr="005F3E04" w:rsidRDefault="00C37E4E" w:rsidP="00C37E4E">
            <w:pPr>
              <w:pStyle w:val="TableText"/>
            </w:pPr>
            <w:r>
              <w:t>UA</w:t>
            </w:r>
          </w:p>
        </w:tc>
        <w:tc>
          <w:tcPr>
            <w:tcW w:w="695" w:type="dxa"/>
            <w:shd w:val="clear" w:color="auto" w:fill="FFFFFF" w:themeFill="background1"/>
            <w:vAlign w:val="center"/>
          </w:tcPr>
          <w:p w14:paraId="21ECCADE"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142F5F5F" w14:textId="77777777" w:rsidR="00C37E4E" w:rsidRPr="005F3E04" w:rsidRDefault="00C37E4E" w:rsidP="00C37E4E">
            <w:pPr>
              <w:pStyle w:val="TableText"/>
            </w:pPr>
          </w:p>
        </w:tc>
        <w:tc>
          <w:tcPr>
            <w:tcW w:w="688" w:type="dxa"/>
            <w:shd w:val="clear" w:color="auto" w:fill="FFFFFF" w:themeFill="background1"/>
            <w:vAlign w:val="center"/>
          </w:tcPr>
          <w:p w14:paraId="786A863E"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29ACE459" w14:textId="77777777" w:rsidR="00C37E4E" w:rsidRPr="005F3E04" w:rsidRDefault="00C37E4E" w:rsidP="00C37E4E">
            <w:pPr>
              <w:pStyle w:val="TableText"/>
            </w:pPr>
          </w:p>
        </w:tc>
        <w:tc>
          <w:tcPr>
            <w:tcW w:w="663" w:type="dxa"/>
            <w:shd w:val="clear" w:color="auto" w:fill="FFFFFF" w:themeFill="background1"/>
            <w:vAlign w:val="center"/>
          </w:tcPr>
          <w:p w14:paraId="68C0EC7E"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4C3D8686" w14:textId="77777777" w:rsidR="00C37E4E" w:rsidRPr="005F3E04" w:rsidRDefault="00C37E4E" w:rsidP="00C37E4E">
            <w:pPr>
              <w:jc w:val="center"/>
              <w:rPr>
                <w:rFonts w:ascii="Franklin Gothic Book" w:hAnsi="Franklin Gothic Book"/>
                <w:sz w:val="16"/>
                <w:szCs w:val="16"/>
              </w:rPr>
            </w:pPr>
          </w:p>
        </w:tc>
      </w:tr>
      <w:tr w:rsidR="00C37E4E" w14:paraId="2580C87D" w14:textId="77777777" w:rsidTr="00236A57">
        <w:trPr>
          <w:trHeight w:val="20"/>
          <w:jc w:val="center"/>
        </w:trPr>
        <w:tc>
          <w:tcPr>
            <w:tcW w:w="1016" w:type="dxa"/>
            <w:tcBorders>
              <w:left w:val="nil"/>
              <w:bottom w:val="single" w:sz="4" w:space="0" w:color="auto"/>
            </w:tcBorders>
            <w:shd w:val="clear" w:color="auto" w:fill="FFFFFF" w:themeFill="background1"/>
            <w:vAlign w:val="center"/>
          </w:tcPr>
          <w:p w14:paraId="1B45B063" w14:textId="77777777" w:rsidR="00C37E4E" w:rsidRPr="005F3E04" w:rsidRDefault="00C37E4E" w:rsidP="00C37E4E">
            <w:pPr>
              <w:pStyle w:val="TableText"/>
            </w:pPr>
            <w:r>
              <w:t>Glenn</w:t>
            </w:r>
          </w:p>
        </w:tc>
        <w:tc>
          <w:tcPr>
            <w:tcW w:w="620" w:type="dxa"/>
            <w:tcBorders>
              <w:bottom w:val="single" w:sz="4" w:space="0" w:color="auto"/>
            </w:tcBorders>
            <w:shd w:val="clear" w:color="auto" w:fill="FFFFFF" w:themeFill="background1"/>
            <w:vAlign w:val="center"/>
          </w:tcPr>
          <w:p w14:paraId="5B8C9204" w14:textId="77777777" w:rsidR="00C37E4E" w:rsidRPr="005F3E04" w:rsidRDefault="00C37E4E" w:rsidP="00C37E4E">
            <w:pPr>
              <w:pStyle w:val="TableText"/>
            </w:pPr>
            <w:r>
              <w:t>A</w:t>
            </w:r>
          </w:p>
        </w:tc>
        <w:tc>
          <w:tcPr>
            <w:tcW w:w="665" w:type="dxa"/>
            <w:tcBorders>
              <w:bottom w:val="single" w:sz="4" w:space="0" w:color="auto"/>
            </w:tcBorders>
            <w:shd w:val="clear" w:color="auto" w:fill="FFFFFF" w:themeFill="background1"/>
            <w:vAlign w:val="center"/>
          </w:tcPr>
          <w:p w14:paraId="3ACA8B4E" w14:textId="77777777" w:rsidR="00C37E4E" w:rsidRPr="005F3E04" w:rsidRDefault="00C37E4E" w:rsidP="00C37E4E">
            <w:pPr>
              <w:pStyle w:val="TableText"/>
            </w:pPr>
            <w:r>
              <w:t>AU</w:t>
            </w:r>
          </w:p>
        </w:tc>
        <w:tc>
          <w:tcPr>
            <w:tcW w:w="600" w:type="dxa"/>
            <w:tcBorders>
              <w:bottom w:val="single" w:sz="4" w:space="0" w:color="auto"/>
            </w:tcBorders>
            <w:shd w:val="clear" w:color="auto" w:fill="FFFFFF" w:themeFill="background1"/>
            <w:vAlign w:val="center"/>
          </w:tcPr>
          <w:p w14:paraId="074EFFBD" w14:textId="77777777" w:rsidR="00C37E4E" w:rsidRPr="005F3E04" w:rsidRDefault="00C37E4E" w:rsidP="00C37E4E">
            <w:pPr>
              <w:pStyle w:val="TableText"/>
            </w:pPr>
            <w:r>
              <w:t>U</w:t>
            </w:r>
          </w:p>
        </w:tc>
        <w:tc>
          <w:tcPr>
            <w:tcW w:w="600" w:type="dxa"/>
            <w:tcBorders>
              <w:bottom w:val="single" w:sz="4" w:space="0" w:color="auto"/>
            </w:tcBorders>
            <w:shd w:val="clear" w:color="auto" w:fill="FFFFFF" w:themeFill="background1"/>
            <w:vAlign w:val="center"/>
          </w:tcPr>
          <w:p w14:paraId="7CB5A550" w14:textId="77777777" w:rsidR="00C37E4E" w:rsidRPr="005F3E04" w:rsidRDefault="00C37E4E" w:rsidP="00C37E4E">
            <w:pPr>
              <w:pStyle w:val="TableText"/>
            </w:pPr>
            <w:r>
              <w:t>UA</w:t>
            </w:r>
          </w:p>
        </w:tc>
        <w:tc>
          <w:tcPr>
            <w:tcW w:w="600" w:type="dxa"/>
            <w:tcBorders>
              <w:bottom w:val="single" w:sz="4" w:space="0" w:color="auto"/>
            </w:tcBorders>
            <w:shd w:val="clear" w:color="auto" w:fill="FFFFFF" w:themeFill="background1"/>
            <w:vAlign w:val="center"/>
          </w:tcPr>
          <w:p w14:paraId="5F93DBFB"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466B1801"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1584C6D1"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21CBFB59"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29763A62" w14:textId="77777777" w:rsidR="00C37E4E" w:rsidRPr="005F3E04" w:rsidRDefault="00C37E4E" w:rsidP="00C37E4E">
            <w:pPr>
              <w:pStyle w:val="TableText"/>
            </w:pPr>
            <w:r>
              <w:t>N</w:t>
            </w:r>
          </w:p>
        </w:tc>
        <w:tc>
          <w:tcPr>
            <w:tcW w:w="599" w:type="dxa"/>
            <w:tcBorders>
              <w:bottom w:val="single" w:sz="4" w:space="0" w:color="auto"/>
            </w:tcBorders>
            <w:shd w:val="clear" w:color="auto" w:fill="FFFFFF" w:themeFill="background1"/>
            <w:vAlign w:val="center"/>
          </w:tcPr>
          <w:p w14:paraId="37AA8C28" w14:textId="77777777" w:rsidR="00C37E4E" w:rsidRPr="005F3E04" w:rsidRDefault="00C37E4E" w:rsidP="00C37E4E">
            <w:pPr>
              <w:pStyle w:val="TableText"/>
            </w:pPr>
            <w:r>
              <w:t>U</w:t>
            </w:r>
          </w:p>
        </w:tc>
        <w:tc>
          <w:tcPr>
            <w:tcW w:w="599" w:type="dxa"/>
            <w:tcBorders>
              <w:bottom w:val="single" w:sz="4" w:space="0" w:color="auto"/>
            </w:tcBorders>
            <w:shd w:val="clear" w:color="auto" w:fill="FFFFFF" w:themeFill="background1"/>
            <w:vAlign w:val="center"/>
          </w:tcPr>
          <w:p w14:paraId="24CFAA1B"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4DBDA3E7" w14:textId="77777777" w:rsidR="00C37E4E" w:rsidRPr="005F3E04" w:rsidRDefault="00C37E4E" w:rsidP="00C37E4E">
            <w:pPr>
              <w:pStyle w:val="TableText"/>
            </w:pPr>
            <w:r>
              <w:t>UA</w:t>
            </w:r>
          </w:p>
        </w:tc>
        <w:tc>
          <w:tcPr>
            <w:tcW w:w="614" w:type="dxa"/>
            <w:tcBorders>
              <w:bottom w:val="single" w:sz="4" w:space="0" w:color="auto"/>
            </w:tcBorders>
            <w:shd w:val="clear" w:color="auto" w:fill="FFFFFF" w:themeFill="background1"/>
            <w:vAlign w:val="center"/>
          </w:tcPr>
          <w:p w14:paraId="7F45A370" w14:textId="77777777" w:rsidR="00C37E4E" w:rsidRPr="005F3E04" w:rsidRDefault="00C37E4E" w:rsidP="00C37E4E">
            <w:pPr>
              <w:pStyle w:val="TableText"/>
            </w:pPr>
            <w:r>
              <w:t>A</w:t>
            </w:r>
          </w:p>
        </w:tc>
        <w:tc>
          <w:tcPr>
            <w:tcW w:w="646" w:type="dxa"/>
            <w:tcBorders>
              <w:bottom w:val="single" w:sz="4" w:space="0" w:color="auto"/>
            </w:tcBorders>
            <w:shd w:val="clear" w:color="auto" w:fill="FFFFFF" w:themeFill="background1"/>
            <w:vAlign w:val="center"/>
          </w:tcPr>
          <w:p w14:paraId="2D9C0DAE" w14:textId="77777777" w:rsidR="00C37E4E" w:rsidRPr="005F3E04" w:rsidRDefault="00C37E4E" w:rsidP="00C37E4E">
            <w:pPr>
              <w:pStyle w:val="TableText"/>
            </w:pPr>
            <w:r>
              <w:t>UA</w:t>
            </w:r>
          </w:p>
        </w:tc>
        <w:tc>
          <w:tcPr>
            <w:tcW w:w="695" w:type="dxa"/>
            <w:tcBorders>
              <w:bottom w:val="single" w:sz="4" w:space="0" w:color="auto"/>
            </w:tcBorders>
            <w:shd w:val="clear" w:color="auto" w:fill="FFFFFF" w:themeFill="background1"/>
            <w:vAlign w:val="center"/>
          </w:tcPr>
          <w:p w14:paraId="56C587C7"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72F6C6A4" w14:textId="77777777" w:rsidR="00C37E4E" w:rsidRPr="005F3E04" w:rsidRDefault="00C37E4E" w:rsidP="00C37E4E">
            <w:pPr>
              <w:pStyle w:val="TableText"/>
            </w:pPr>
          </w:p>
        </w:tc>
        <w:tc>
          <w:tcPr>
            <w:tcW w:w="688" w:type="dxa"/>
            <w:tcBorders>
              <w:bottom w:val="single" w:sz="4" w:space="0" w:color="auto"/>
            </w:tcBorders>
            <w:shd w:val="clear" w:color="auto" w:fill="FFFFFF" w:themeFill="background1"/>
            <w:vAlign w:val="center"/>
          </w:tcPr>
          <w:p w14:paraId="002F6A42"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360C1003" w14:textId="77777777" w:rsidR="00C37E4E" w:rsidRPr="005F3E04" w:rsidRDefault="00C37E4E" w:rsidP="00C37E4E">
            <w:pPr>
              <w:pStyle w:val="TableText"/>
            </w:pPr>
          </w:p>
        </w:tc>
        <w:tc>
          <w:tcPr>
            <w:tcW w:w="663" w:type="dxa"/>
            <w:tcBorders>
              <w:bottom w:val="single" w:sz="4" w:space="0" w:color="auto"/>
            </w:tcBorders>
            <w:shd w:val="clear" w:color="auto" w:fill="FFFFFF" w:themeFill="background1"/>
            <w:vAlign w:val="center"/>
          </w:tcPr>
          <w:p w14:paraId="07CF191D"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2F031D1E" w14:textId="77777777" w:rsidR="00C37E4E" w:rsidRPr="005F3E04" w:rsidRDefault="00C37E4E" w:rsidP="00C37E4E">
            <w:pPr>
              <w:jc w:val="center"/>
              <w:rPr>
                <w:rFonts w:ascii="Franklin Gothic Book" w:hAnsi="Franklin Gothic Book"/>
                <w:sz w:val="16"/>
                <w:szCs w:val="16"/>
              </w:rPr>
            </w:pPr>
          </w:p>
        </w:tc>
      </w:tr>
      <w:tr w:rsidR="00C37E4E" w14:paraId="6AF4D4D2" w14:textId="77777777" w:rsidTr="00236A57">
        <w:trPr>
          <w:trHeight w:val="20"/>
          <w:jc w:val="center"/>
        </w:trPr>
        <w:tc>
          <w:tcPr>
            <w:tcW w:w="1016" w:type="dxa"/>
            <w:tcBorders>
              <w:left w:val="nil"/>
            </w:tcBorders>
            <w:shd w:val="clear" w:color="auto" w:fill="FFFFFF" w:themeFill="background1"/>
            <w:vAlign w:val="center"/>
          </w:tcPr>
          <w:p w14:paraId="58982CEA" w14:textId="77777777" w:rsidR="00C37E4E" w:rsidRPr="005F3E04" w:rsidRDefault="00C37E4E" w:rsidP="00C37E4E">
            <w:pPr>
              <w:pStyle w:val="TableText"/>
            </w:pPr>
            <w:r>
              <w:t>Humboldt</w:t>
            </w:r>
          </w:p>
        </w:tc>
        <w:tc>
          <w:tcPr>
            <w:tcW w:w="620" w:type="dxa"/>
            <w:shd w:val="clear" w:color="auto" w:fill="FFFFFF" w:themeFill="background1"/>
            <w:vAlign w:val="center"/>
          </w:tcPr>
          <w:p w14:paraId="60FFEE1D" w14:textId="77777777" w:rsidR="00C37E4E" w:rsidRPr="005F3E04" w:rsidRDefault="00C37E4E" w:rsidP="00C37E4E">
            <w:pPr>
              <w:pStyle w:val="TableText"/>
            </w:pPr>
            <w:r>
              <w:t>A</w:t>
            </w:r>
          </w:p>
        </w:tc>
        <w:tc>
          <w:tcPr>
            <w:tcW w:w="665" w:type="dxa"/>
            <w:shd w:val="clear" w:color="auto" w:fill="FFFFFF" w:themeFill="background1"/>
            <w:vAlign w:val="center"/>
          </w:tcPr>
          <w:p w14:paraId="555EB7F5" w14:textId="77777777" w:rsidR="00C37E4E" w:rsidRPr="005F3E04" w:rsidRDefault="00C37E4E" w:rsidP="00C37E4E">
            <w:pPr>
              <w:pStyle w:val="TableText"/>
            </w:pPr>
            <w:r>
              <w:t>AU</w:t>
            </w:r>
          </w:p>
        </w:tc>
        <w:tc>
          <w:tcPr>
            <w:tcW w:w="600" w:type="dxa"/>
            <w:shd w:val="clear" w:color="auto" w:fill="FFFFFF" w:themeFill="background1"/>
            <w:vAlign w:val="center"/>
          </w:tcPr>
          <w:p w14:paraId="2DC421A6" w14:textId="77777777" w:rsidR="00C37E4E" w:rsidRPr="005F3E04" w:rsidRDefault="00C37E4E" w:rsidP="00C37E4E">
            <w:pPr>
              <w:pStyle w:val="TableText"/>
            </w:pPr>
            <w:r>
              <w:t>A</w:t>
            </w:r>
          </w:p>
        </w:tc>
        <w:tc>
          <w:tcPr>
            <w:tcW w:w="600" w:type="dxa"/>
            <w:shd w:val="clear" w:color="auto" w:fill="FFFFFF" w:themeFill="background1"/>
            <w:vAlign w:val="center"/>
          </w:tcPr>
          <w:p w14:paraId="584BA981" w14:textId="77777777" w:rsidR="00C37E4E" w:rsidRPr="005F3E04" w:rsidRDefault="00C37E4E" w:rsidP="00C37E4E">
            <w:pPr>
              <w:pStyle w:val="TableText"/>
            </w:pPr>
            <w:r>
              <w:t>UA</w:t>
            </w:r>
          </w:p>
        </w:tc>
        <w:tc>
          <w:tcPr>
            <w:tcW w:w="600" w:type="dxa"/>
            <w:shd w:val="clear" w:color="auto" w:fill="FFFFFF" w:themeFill="background1"/>
            <w:vAlign w:val="center"/>
          </w:tcPr>
          <w:p w14:paraId="69B2AFA6" w14:textId="77777777" w:rsidR="00C37E4E" w:rsidRPr="005F3E04" w:rsidRDefault="00C37E4E" w:rsidP="00C37E4E">
            <w:pPr>
              <w:pStyle w:val="TableText"/>
            </w:pPr>
            <w:r>
              <w:t>A</w:t>
            </w:r>
          </w:p>
        </w:tc>
        <w:tc>
          <w:tcPr>
            <w:tcW w:w="600" w:type="dxa"/>
            <w:shd w:val="clear" w:color="auto" w:fill="FFFFFF" w:themeFill="background1"/>
            <w:vAlign w:val="center"/>
          </w:tcPr>
          <w:p w14:paraId="070961D4" w14:textId="77777777" w:rsidR="00C37E4E" w:rsidRPr="005F3E04" w:rsidRDefault="00C37E4E" w:rsidP="00C37E4E">
            <w:pPr>
              <w:pStyle w:val="TableText"/>
            </w:pPr>
            <w:r>
              <w:t>UA</w:t>
            </w:r>
          </w:p>
        </w:tc>
        <w:tc>
          <w:tcPr>
            <w:tcW w:w="599" w:type="dxa"/>
            <w:shd w:val="clear" w:color="auto" w:fill="FFFFFF" w:themeFill="background1"/>
            <w:vAlign w:val="center"/>
          </w:tcPr>
          <w:p w14:paraId="0DFAB26C" w14:textId="77777777" w:rsidR="00C37E4E" w:rsidRPr="005F3E04" w:rsidRDefault="00C37E4E" w:rsidP="00C37E4E">
            <w:pPr>
              <w:pStyle w:val="TableText"/>
            </w:pPr>
            <w:r>
              <w:t>A</w:t>
            </w:r>
          </w:p>
        </w:tc>
        <w:tc>
          <w:tcPr>
            <w:tcW w:w="599" w:type="dxa"/>
            <w:shd w:val="clear" w:color="auto" w:fill="FFFFFF" w:themeFill="background1"/>
            <w:vAlign w:val="center"/>
          </w:tcPr>
          <w:p w14:paraId="659B99BF" w14:textId="77777777" w:rsidR="00C37E4E" w:rsidRPr="005F3E04" w:rsidRDefault="00C37E4E" w:rsidP="00C37E4E">
            <w:pPr>
              <w:pStyle w:val="TableText"/>
            </w:pPr>
            <w:r>
              <w:t>UA</w:t>
            </w:r>
          </w:p>
        </w:tc>
        <w:tc>
          <w:tcPr>
            <w:tcW w:w="599" w:type="dxa"/>
            <w:shd w:val="clear" w:color="auto" w:fill="FFFFFF" w:themeFill="background1"/>
            <w:vAlign w:val="center"/>
          </w:tcPr>
          <w:p w14:paraId="1D661D4A" w14:textId="77777777" w:rsidR="00C37E4E" w:rsidRPr="005F3E04" w:rsidRDefault="00C37E4E" w:rsidP="00C37E4E">
            <w:pPr>
              <w:pStyle w:val="TableText"/>
            </w:pPr>
            <w:r>
              <w:t>N</w:t>
            </w:r>
          </w:p>
        </w:tc>
        <w:tc>
          <w:tcPr>
            <w:tcW w:w="599" w:type="dxa"/>
            <w:shd w:val="clear" w:color="auto" w:fill="FFFFFF" w:themeFill="background1"/>
            <w:vAlign w:val="center"/>
          </w:tcPr>
          <w:p w14:paraId="717E5EBF" w14:textId="77777777" w:rsidR="00C37E4E" w:rsidRPr="005F3E04" w:rsidRDefault="00C37E4E" w:rsidP="00C37E4E">
            <w:pPr>
              <w:pStyle w:val="TableText"/>
            </w:pPr>
            <w:r>
              <w:t>U</w:t>
            </w:r>
          </w:p>
        </w:tc>
        <w:tc>
          <w:tcPr>
            <w:tcW w:w="599" w:type="dxa"/>
            <w:shd w:val="clear" w:color="auto" w:fill="FFFFFF" w:themeFill="background1"/>
            <w:vAlign w:val="center"/>
          </w:tcPr>
          <w:p w14:paraId="1805AE70" w14:textId="77777777" w:rsidR="00C37E4E" w:rsidRPr="005F3E04" w:rsidRDefault="00C37E4E" w:rsidP="00C37E4E">
            <w:pPr>
              <w:pStyle w:val="TableText"/>
            </w:pPr>
            <w:r>
              <w:t>A</w:t>
            </w:r>
          </w:p>
        </w:tc>
        <w:tc>
          <w:tcPr>
            <w:tcW w:w="599" w:type="dxa"/>
            <w:shd w:val="clear" w:color="auto" w:fill="FFFFFF" w:themeFill="background1"/>
            <w:vAlign w:val="center"/>
          </w:tcPr>
          <w:p w14:paraId="2D01CBA4" w14:textId="77777777" w:rsidR="00C37E4E" w:rsidRPr="005F3E04" w:rsidRDefault="00C37E4E" w:rsidP="00C37E4E">
            <w:pPr>
              <w:pStyle w:val="TableText"/>
            </w:pPr>
            <w:r>
              <w:t>UA</w:t>
            </w:r>
          </w:p>
        </w:tc>
        <w:tc>
          <w:tcPr>
            <w:tcW w:w="614" w:type="dxa"/>
            <w:shd w:val="clear" w:color="auto" w:fill="FFFFFF" w:themeFill="background1"/>
            <w:vAlign w:val="center"/>
          </w:tcPr>
          <w:p w14:paraId="38EE1AF6" w14:textId="77777777" w:rsidR="00C37E4E" w:rsidRPr="005F3E04" w:rsidRDefault="00C37E4E" w:rsidP="00C37E4E">
            <w:pPr>
              <w:pStyle w:val="TableText"/>
            </w:pPr>
            <w:r>
              <w:t>A</w:t>
            </w:r>
          </w:p>
        </w:tc>
        <w:tc>
          <w:tcPr>
            <w:tcW w:w="646" w:type="dxa"/>
            <w:shd w:val="clear" w:color="auto" w:fill="FFFFFF" w:themeFill="background1"/>
            <w:vAlign w:val="center"/>
          </w:tcPr>
          <w:p w14:paraId="218D14AE" w14:textId="77777777" w:rsidR="00C37E4E" w:rsidRPr="005F3E04" w:rsidRDefault="00C37E4E" w:rsidP="00C37E4E">
            <w:pPr>
              <w:pStyle w:val="TableText"/>
            </w:pPr>
            <w:r>
              <w:t>UA</w:t>
            </w:r>
          </w:p>
        </w:tc>
        <w:tc>
          <w:tcPr>
            <w:tcW w:w="695" w:type="dxa"/>
            <w:shd w:val="clear" w:color="auto" w:fill="FFFFFF" w:themeFill="background1"/>
            <w:vAlign w:val="center"/>
          </w:tcPr>
          <w:p w14:paraId="3C5F0B5D"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2543B273" w14:textId="77777777" w:rsidR="00C37E4E" w:rsidRPr="005F3E04" w:rsidRDefault="00C37E4E" w:rsidP="00C37E4E">
            <w:pPr>
              <w:pStyle w:val="TableText"/>
            </w:pPr>
          </w:p>
        </w:tc>
        <w:tc>
          <w:tcPr>
            <w:tcW w:w="688" w:type="dxa"/>
            <w:shd w:val="clear" w:color="auto" w:fill="FFFFFF" w:themeFill="background1"/>
            <w:vAlign w:val="center"/>
          </w:tcPr>
          <w:p w14:paraId="31219A14" w14:textId="77777777" w:rsidR="00C37E4E" w:rsidRPr="005F3E04" w:rsidRDefault="00C37E4E" w:rsidP="00C37E4E">
            <w:pPr>
              <w:pStyle w:val="TableText"/>
            </w:pPr>
            <w:r>
              <w:t>A</w:t>
            </w:r>
          </w:p>
        </w:tc>
        <w:tc>
          <w:tcPr>
            <w:tcW w:w="688" w:type="dxa"/>
            <w:tcBorders>
              <w:top w:val="nil"/>
              <w:bottom w:val="nil"/>
            </w:tcBorders>
            <w:shd w:val="clear" w:color="auto" w:fill="FFFFFF" w:themeFill="background1"/>
          </w:tcPr>
          <w:p w14:paraId="7120C2DC" w14:textId="77777777" w:rsidR="00C37E4E" w:rsidRPr="005F3E04" w:rsidRDefault="00C37E4E" w:rsidP="00C37E4E">
            <w:pPr>
              <w:pStyle w:val="TableText"/>
            </w:pPr>
          </w:p>
        </w:tc>
        <w:tc>
          <w:tcPr>
            <w:tcW w:w="663" w:type="dxa"/>
            <w:shd w:val="clear" w:color="auto" w:fill="FFFFFF" w:themeFill="background1"/>
            <w:vAlign w:val="center"/>
          </w:tcPr>
          <w:p w14:paraId="10E06AB6"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0C6A741B" w14:textId="77777777" w:rsidR="00C37E4E" w:rsidRPr="005F3E04" w:rsidRDefault="00C37E4E" w:rsidP="00C37E4E">
            <w:pPr>
              <w:jc w:val="center"/>
              <w:rPr>
                <w:rFonts w:ascii="Franklin Gothic Book" w:hAnsi="Franklin Gothic Book"/>
                <w:sz w:val="16"/>
                <w:szCs w:val="16"/>
              </w:rPr>
            </w:pPr>
          </w:p>
        </w:tc>
      </w:tr>
      <w:tr w:rsidR="00C37E4E" w14:paraId="799C3B13" w14:textId="77777777" w:rsidTr="00236A57">
        <w:trPr>
          <w:trHeight w:val="20"/>
          <w:jc w:val="center"/>
        </w:trPr>
        <w:tc>
          <w:tcPr>
            <w:tcW w:w="1016" w:type="dxa"/>
            <w:tcBorders>
              <w:left w:val="nil"/>
              <w:bottom w:val="single" w:sz="4" w:space="0" w:color="auto"/>
            </w:tcBorders>
            <w:shd w:val="clear" w:color="auto" w:fill="FFFFFF" w:themeFill="background1"/>
            <w:vAlign w:val="center"/>
          </w:tcPr>
          <w:p w14:paraId="4D957227" w14:textId="77777777" w:rsidR="00C37E4E" w:rsidRPr="005F3E04" w:rsidRDefault="00C37E4E" w:rsidP="00C37E4E">
            <w:pPr>
              <w:pStyle w:val="TableText"/>
            </w:pPr>
            <w:r>
              <w:t>Imperial</w:t>
            </w:r>
          </w:p>
        </w:tc>
        <w:tc>
          <w:tcPr>
            <w:tcW w:w="620" w:type="dxa"/>
            <w:tcBorders>
              <w:bottom w:val="single" w:sz="4" w:space="0" w:color="auto"/>
            </w:tcBorders>
            <w:shd w:val="clear" w:color="auto" w:fill="FFFFFF" w:themeFill="background1"/>
            <w:vAlign w:val="center"/>
          </w:tcPr>
          <w:p w14:paraId="7949115D" w14:textId="77777777" w:rsidR="00C37E4E" w:rsidRPr="005F3E04" w:rsidRDefault="00C37E4E" w:rsidP="00C37E4E">
            <w:pPr>
              <w:pStyle w:val="TableText"/>
            </w:pPr>
            <w:r>
              <w:t>N</w:t>
            </w:r>
          </w:p>
        </w:tc>
        <w:tc>
          <w:tcPr>
            <w:tcW w:w="665" w:type="dxa"/>
            <w:tcBorders>
              <w:bottom w:val="single" w:sz="4" w:space="0" w:color="auto"/>
            </w:tcBorders>
            <w:shd w:val="clear" w:color="auto" w:fill="FFFFFF" w:themeFill="background1"/>
            <w:vAlign w:val="center"/>
          </w:tcPr>
          <w:p w14:paraId="032C1CC4" w14:textId="77777777" w:rsidR="00C37E4E" w:rsidRPr="005F3E04" w:rsidRDefault="00C37E4E" w:rsidP="00C37E4E">
            <w:pPr>
              <w:pStyle w:val="TableText"/>
            </w:pPr>
            <w:r>
              <w:t>N</w:t>
            </w:r>
          </w:p>
        </w:tc>
        <w:tc>
          <w:tcPr>
            <w:tcW w:w="600" w:type="dxa"/>
            <w:tcBorders>
              <w:bottom w:val="single" w:sz="4" w:space="0" w:color="auto"/>
            </w:tcBorders>
            <w:shd w:val="clear" w:color="auto" w:fill="FFFFFF" w:themeFill="background1"/>
            <w:vAlign w:val="center"/>
          </w:tcPr>
          <w:p w14:paraId="4E5847F8"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2BCDDADA" w14:textId="77777777" w:rsidR="00C37E4E" w:rsidRPr="005F3E04" w:rsidRDefault="00C37E4E" w:rsidP="00C37E4E">
            <w:pPr>
              <w:pStyle w:val="TableText"/>
            </w:pPr>
            <w:r>
              <w:t>UA</w:t>
            </w:r>
          </w:p>
        </w:tc>
        <w:tc>
          <w:tcPr>
            <w:tcW w:w="600" w:type="dxa"/>
            <w:tcBorders>
              <w:bottom w:val="single" w:sz="4" w:space="0" w:color="auto"/>
            </w:tcBorders>
            <w:shd w:val="clear" w:color="auto" w:fill="FFFFFF" w:themeFill="background1"/>
            <w:vAlign w:val="center"/>
          </w:tcPr>
          <w:p w14:paraId="13519AF0"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3CB1B670"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08B0CAF2"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01665ABE"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4EB3E0AC" w14:textId="77777777" w:rsidR="00C37E4E" w:rsidRPr="005F3E04" w:rsidRDefault="00C37E4E" w:rsidP="00C37E4E">
            <w:pPr>
              <w:pStyle w:val="TableText"/>
            </w:pPr>
            <w:r>
              <w:t>N</w:t>
            </w:r>
          </w:p>
        </w:tc>
        <w:tc>
          <w:tcPr>
            <w:tcW w:w="599" w:type="dxa"/>
            <w:tcBorders>
              <w:bottom w:val="single" w:sz="4" w:space="0" w:color="auto"/>
            </w:tcBorders>
            <w:shd w:val="clear" w:color="auto" w:fill="FFFFFF" w:themeFill="background1"/>
            <w:vAlign w:val="center"/>
          </w:tcPr>
          <w:p w14:paraId="65BF026C" w14:textId="77777777" w:rsidR="00C37E4E" w:rsidRPr="005F3E04" w:rsidRDefault="00C37E4E" w:rsidP="00C37E4E">
            <w:pPr>
              <w:pStyle w:val="TableText"/>
            </w:pPr>
            <w:r>
              <w:t>N</w:t>
            </w:r>
          </w:p>
        </w:tc>
        <w:tc>
          <w:tcPr>
            <w:tcW w:w="599" w:type="dxa"/>
            <w:tcBorders>
              <w:bottom w:val="single" w:sz="4" w:space="0" w:color="auto"/>
            </w:tcBorders>
            <w:shd w:val="clear" w:color="auto" w:fill="FFFFFF" w:themeFill="background1"/>
            <w:vAlign w:val="center"/>
          </w:tcPr>
          <w:p w14:paraId="6BCCC9AA"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2A617632" w14:textId="77777777" w:rsidR="00C37E4E" w:rsidRPr="005F3E04" w:rsidRDefault="00C37E4E" w:rsidP="00C37E4E">
            <w:pPr>
              <w:pStyle w:val="TableText"/>
            </w:pPr>
            <w:r>
              <w:t>UA</w:t>
            </w:r>
          </w:p>
        </w:tc>
        <w:tc>
          <w:tcPr>
            <w:tcW w:w="614" w:type="dxa"/>
            <w:tcBorders>
              <w:bottom w:val="single" w:sz="4" w:space="0" w:color="auto"/>
            </w:tcBorders>
            <w:shd w:val="clear" w:color="auto" w:fill="FFFFFF" w:themeFill="background1"/>
            <w:vAlign w:val="center"/>
          </w:tcPr>
          <w:p w14:paraId="78002451" w14:textId="77777777" w:rsidR="00C37E4E" w:rsidRPr="005F3E04" w:rsidRDefault="00C37E4E" w:rsidP="00C37E4E">
            <w:pPr>
              <w:pStyle w:val="TableText"/>
            </w:pPr>
            <w:r>
              <w:t>A</w:t>
            </w:r>
          </w:p>
        </w:tc>
        <w:tc>
          <w:tcPr>
            <w:tcW w:w="646" w:type="dxa"/>
            <w:tcBorders>
              <w:bottom w:val="single" w:sz="4" w:space="0" w:color="auto"/>
            </w:tcBorders>
            <w:shd w:val="clear" w:color="auto" w:fill="FFFFFF" w:themeFill="background1"/>
            <w:vAlign w:val="center"/>
          </w:tcPr>
          <w:p w14:paraId="387E348F" w14:textId="77777777" w:rsidR="00C37E4E" w:rsidRPr="005F3E04" w:rsidRDefault="00C37E4E" w:rsidP="00C37E4E">
            <w:pPr>
              <w:pStyle w:val="TableText"/>
            </w:pPr>
            <w:r>
              <w:t>UA</w:t>
            </w:r>
          </w:p>
        </w:tc>
        <w:tc>
          <w:tcPr>
            <w:tcW w:w="695" w:type="dxa"/>
            <w:tcBorders>
              <w:bottom w:val="single" w:sz="4" w:space="0" w:color="auto"/>
            </w:tcBorders>
            <w:shd w:val="clear" w:color="auto" w:fill="FFFFFF" w:themeFill="background1"/>
            <w:vAlign w:val="center"/>
          </w:tcPr>
          <w:p w14:paraId="5CB3129C"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vAlign w:val="center"/>
          </w:tcPr>
          <w:p w14:paraId="5CDDE182" w14:textId="080E81B2" w:rsidR="00C37E4E" w:rsidRPr="00203600" w:rsidRDefault="00C37E4E" w:rsidP="00335804">
            <w:pPr>
              <w:jc w:val="center"/>
              <w:rPr>
                <w:sz w:val="14"/>
                <w:szCs w:val="16"/>
              </w:rPr>
            </w:pPr>
            <w:r w:rsidRPr="00203600">
              <w:rPr>
                <w:sz w:val="14"/>
                <w:szCs w:val="16"/>
              </w:rPr>
              <w:t>No Federal</w:t>
            </w:r>
            <w:r w:rsidR="00335804" w:rsidRPr="00203600">
              <w:rPr>
                <w:sz w:val="14"/>
                <w:szCs w:val="16"/>
              </w:rPr>
              <w:t xml:space="preserve"> Standard</w:t>
            </w:r>
          </w:p>
        </w:tc>
        <w:tc>
          <w:tcPr>
            <w:tcW w:w="688" w:type="dxa"/>
            <w:tcBorders>
              <w:bottom w:val="single" w:sz="4" w:space="0" w:color="auto"/>
            </w:tcBorders>
            <w:shd w:val="clear" w:color="auto" w:fill="FFFFFF" w:themeFill="background1"/>
            <w:vAlign w:val="center"/>
          </w:tcPr>
          <w:p w14:paraId="47211536"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vAlign w:val="center"/>
          </w:tcPr>
          <w:p w14:paraId="5B37A26A" w14:textId="77777777" w:rsidR="00C37E4E" w:rsidRPr="00203600" w:rsidRDefault="00C37E4E" w:rsidP="00C37E4E">
            <w:pPr>
              <w:jc w:val="center"/>
              <w:rPr>
                <w:sz w:val="14"/>
                <w:szCs w:val="16"/>
              </w:rPr>
            </w:pPr>
            <w:r w:rsidRPr="00203600">
              <w:rPr>
                <w:sz w:val="14"/>
                <w:szCs w:val="16"/>
              </w:rPr>
              <w:t>No Federal Standard</w:t>
            </w:r>
          </w:p>
        </w:tc>
        <w:tc>
          <w:tcPr>
            <w:tcW w:w="663" w:type="dxa"/>
            <w:tcBorders>
              <w:bottom w:val="single" w:sz="4" w:space="0" w:color="auto"/>
            </w:tcBorders>
            <w:shd w:val="clear" w:color="auto" w:fill="FFFFFF" w:themeFill="background1"/>
            <w:vAlign w:val="center"/>
          </w:tcPr>
          <w:p w14:paraId="005EA8A2"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vAlign w:val="center"/>
          </w:tcPr>
          <w:p w14:paraId="4A780673" w14:textId="77777777" w:rsidR="00C37E4E" w:rsidRPr="005F3E04" w:rsidRDefault="00C37E4E" w:rsidP="00C37E4E">
            <w:pPr>
              <w:jc w:val="center"/>
              <w:rPr>
                <w:rFonts w:ascii="Franklin Gothic Book" w:hAnsi="Franklin Gothic Book"/>
                <w:sz w:val="16"/>
                <w:szCs w:val="16"/>
              </w:rPr>
            </w:pPr>
            <w:r w:rsidRPr="00C12FF2">
              <w:rPr>
                <w:sz w:val="14"/>
                <w:szCs w:val="14"/>
              </w:rPr>
              <w:t>No Federal Standard</w:t>
            </w:r>
          </w:p>
        </w:tc>
      </w:tr>
      <w:tr w:rsidR="00C37E4E" w14:paraId="2C9477BD" w14:textId="77777777" w:rsidTr="00236A57">
        <w:trPr>
          <w:trHeight w:val="20"/>
          <w:jc w:val="center"/>
        </w:trPr>
        <w:tc>
          <w:tcPr>
            <w:tcW w:w="1016" w:type="dxa"/>
            <w:tcBorders>
              <w:left w:val="nil"/>
            </w:tcBorders>
            <w:shd w:val="clear" w:color="auto" w:fill="FFFFFF" w:themeFill="background1"/>
            <w:vAlign w:val="center"/>
          </w:tcPr>
          <w:p w14:paraId="79933332" w14:textId="77777777" w:rsidR="00C37E4E" w:rsidRPr="007C581B" w:rsidRDefault="00C37E4E" w:rsidP="00C37E4E">
            <w:pPr>
              <w:pStyle w:val="TableText"/>
              <w:rPr>
                <w:vertAlign w:val="superscript"/>
              </w:rPr>
            </w:pPr>
            <w:r>
              <w:t>Inyo</w:t>
            </w:r>
            <w:r>
              <w:rPr>
                <w:vertAlign w:val="superscript"/>
              </w:rPr>
              <w:t>2</w:t>
            </w:r>
          </w:p>
        </w:tc>
        <w:tc>
          <w:tcPr>
            <w:tcW w:w="620" w:type="dxa"/>
            <w:shd w:val="clear" w:color="auto" w:fill="FFFFFF" w:themeFill="background1"/>
            <w:vAlign w:val="center"/>
          </w:tcPr>
          <w:p w14:paraId="1F200991" w14:textId="77777777" w:rsidR="00C37E4E" w:rsidRPr="005F3E04" w:rsidRDefault="00C37E4E" w:rsidP="00C37E4E">
            <w:pPr>
              <w:pStyle w:val="TableText"/>
            </w:pPr>
            <w:r>
              <w:t>N</w:t>
            </w:r>
          </w:p>
        </w:tc>
        <w:tc>
          <w:tcPr>
            <w:tcW w:w="665" w:type="dxa"/>
            <w:shd w:val="clear" w:color="auto" w:fill="FFFFFF" w:themeFill="background1"/>
            <w:vAlign w:val="center"/>
          </w:tcPr>
          <w:p w14:paraId="2B1BB1A8" w14:textId="77777777" w:rsidR="00C37E4E" w:rsidRPr="005F3E04" w:rsidRDefault="00C37E4E" w:rsidP="00C37E4E">
            <w:pPr>
              <w:pStyle w:val="TableText"/>
            </w:pPr>
            <w:r>
              <w:t>AU</w:t>
            </w:r>
          </w:p>
        </w:tc>
        <w:tc>
          <w:tcPr>
            <w:tcW w:w="600" w:type="dxa"/>
            <w:shd w:val="clear" w:color="auto" w:fill="FFFFFF" w:themeFill="background1"/>
            <w:vAlign w:val="center"/>
          </w:tcPr>
          <w:p w14:paraId="607B336D" w14:textId="77777777" w:rsidR="00C37E4E" w:rsidRPr="005F3E04" w:rsidRDefault="00C37E4E" w:rsidP="00C37E4E">
            <w:pPr>
              <w:pStyle w:val="TableText"/>
            </w:pPr>
            <w:r>
              <w:t>A</w:t>
            </w:r>
          </w:p>
        </w:tc>
        <w:tc>
          <w:tcPr>
            <w:tcW w:w="600" w:type="dxa"/>
            <w:shd w:val="clear" w:color="auto" w:fill="FFFFFF" w:themeFill="background1"/>
            <w:vAlign w:val="center"/>
          </w:tcPr>
          <w:p w14:paraId="7170BBAE" w14:textId="77777777" w:rsidR="00C37E4E" w:rsidRPr="005F3E04" w:rsidRDefault="00C37E4E" w:rsidP="00C37E4E">
            <w:pPr>
              <w:pStyle w:val="TableText"/>
            </w:pPr>
            <w:r>
              <w:t>UA</w:t>
            </w:r>
          </w:p>
        </w:tc>
        <w:tc>
          <w:tcPr>
            <w:tcW w:w="600" w:type="dxa"/>
            <w:shd w:val="clear" w:color="auto" w:fill="FFFFFF" w:themeFill="background1"/>
            <w:vAlign w:val="center"/>
          </w:tcPr>
          <w:p w14:paraId="0CDCEF4F" w14:textId="77777777" w:rsidR="00C37E4E" w:rsidRPr="005F3E04" w:rsidRDefault="00C37E4E" w:rsidP="00C37E4E">
            <w:pPr>
              <w:pStyle w:val="TableText"/>
            </w:pPr>
            <w:r>
              <w:t>A</w:t>
            </w:r>
          </w:p>
        </w:tc>
        <w:tc>
          <w:tcPr>
            <w:tcW w:w="600" w:type="dxa"/>
            <w:shd w:val="clear" w:color="auto" w:fill="FFFFFF" w:themeFill="background1"/>
            <w:vAlign w:val="center"/>
          </w:tcPr>
          <w:p w14:paraId="12D56F29" w14:textId="77777777" w:rsidR="00C37E4E" w:rsidRPr="005F3E04" w:rsidRDefault="00C37E4E" w:rsidP="00C37E4E">
            <w:pPr>
              <w:pStyle w:val="TableText"/>
            </w:pPr>
            <w:r>
              <w:t>UA</w:t>
            </w:r>
          </w:p>
        </w:tc>
        <w:tc>
          <w:tcPr>
            <w:tcW w:w="599" w:type="dxa"/>
            <w:shd w:val="clear" w:color="auto" w:fill="FFFFFF" w:themeFill="background1"/>
            <w:vAlign w:val="center"/>
          </w:tcPr>
          <w:p w14:paraId="211639FC" w14:textId="77777777" w:rsidR="00C37E4E" w:rsidRPr="005F3E04" w:rsidRDefault="00C37E4E" w:rsidP="00C37E4E">
            <w:pPr>
              <w:pStyle w:val="TableText"/>
            </w:pPr>
            <w:r>
              <w:t>A</w:t>
            </w:r>
          </w:p>
        </w:tc>
        <w:tc>
          <w:tcPr>
            <w:tcW w:w="599" w:type="dxa"/>
            <w:shd w:val="clear" w:color="auto" w:fill="FFFFFF" w:themeFill="background1"/>
            <w:vAlign w:val="center"/>
          </w:tcPr>
          <w:p w14:paraId="6CBB33F6" w14:textId="77777777" w:rsidR="00C37E4E" w:rsidRPr="005F3E04" w:rsidRDefault="00C37E4E" w:rsidP="00C37E4E">
            <w:pPr>
              <w:pStyle w:val="TableText"/>
            </w:pPr>
            <w:r>
              <w:t>UA</w:t>
            </w:r>
          </w:p>
        </w:tc>
        <w:tc>
          <w:tcPr>
            <w:tcW w:w="599" w:type="dxa"/>
            <w:shd w:val="clear" w:color="auto" w:fill="FFFFFF" w:themeFill="background1"/>
            <w:vAlign w:val="center"/>
          </w:tcPr>
          <w:p w14:paraId="64C56624" w14:textId="77777777" w:rsidR="00C37E4E" w:rsidRPr="005F3E04" w:rsidRDefault="00C37E4E" w:rsidP="00C37E4E">
            <w:pPr>
              <w:pStyle w:val="TableText"/>
            </w:pPr>
            <w:r>
              <w:t>N</w:t>
            </w:r>
          </w:p>
        </w:tc>
        <w:tc>
          <w:tcPr>
            <w:tcW w:w="599" w:type="dxa"/>
            <w:shd w:val="clear" w:color="auto" w:fill="FFFFFF" w:themeFill="background1"/>
            <w:vAlign w:val="center"/>
          </w:tcPr>
          <w:p w14:paraId="03EC6400" w14:textId="77777777" w:rsidR="00C37E4E" w:rsidRPr="005F3E04" w:rsidRDefault="00C37E4E" w:rsidP="00C37E4E">
            <w:pPr>
              <w:pStyle w:val="TableText"/>
            </w:pPr>
            <w:r>
              <w:t>A/N/U</w:t>
            </w:r>
          </w:p>
        </w:tc>
        <w:tc>
          <w:tcPr>
            <w:tcW w:w="599" w:type="dxa"/>
            <w:shd w:val="clear" w:color="auto" w:fill="FFFFFF" w:themeFill="background1"/>
            <w:vAlign w:val="center"/>
          </w:tcPr>
          <w:p w14:paraId="1EC4FD37" w14:textId="77777777" w:rsidR="00C37E4E" w:rsidRPr="005F3E04" w:rsidRDefault="00C37E4E" w:rsidP="00C37E4E">
            <w:pPr>
              <w:pStyle w:val="TableText"/>
            </w:pPr>
            <w:r>
              <w:t>A</w:t>
            </w:r>
          </w:p>
        </w:tc>
        <w:tc>
          <w:tcPr>
            <w:tcW w:w="599" w:type="dxa"/>
            <w:shd w:val="clear" w:color="auto" w:fill="FFFFFF" w:themeFill="background1"/>
            <w:vAlign w:val="center"/>
          </w:tcPr>
          <w:p w14:paraId="0632D6B7" w14:textId="77777777" w:rsidR="00C37E4E" w:rsidRPr="005F3E04" w:rsidRDefault="00C37E4E" w:rsidP="00C37E4E">
            <w:pPr>
              <w:pStyle w:val="TableText"/>
            </w:pPr>
            <w:r>
              <w:t>UA</w:t>
            </w:r>
          </w:p>
        </w:tc>
        <w:tc>
          <w:tcPr>
            <w:tcW w:w="614" w:type="dxa"/>
            <w:shd w:val="clear" w:color="auto" w:fill="FFFFFF" w:themeFill="background1"/>
            <w:vAlign w:val="center"/>
          </w:tcPr>
          <w:p w14:paraId="6763D2A4" w14:textId="77777777" w:rsidR="00C37E4E" w:rsidRPr="005F3E04" w:rsidRDefault="00C37E4E" w:rsidP="00C37E4E">
            <w:pPr>
              <w:pStyle w:val="TableText"/>
            </w:pPr>
            <w:r>
              <w:t>A</w:t>
            </w:r>
          </w:p>
        </w:tc>
        <w:tc>
          <w:tcPr>
            <w:tcW w:w="646" w:type="dxa"/>
            <w:shd w:val="clear" w:color="auto" w:fill="FFFFFF" w:themeFill="background1"/>
            <w:vAlign w:val="center"/>
          </w:tcPr>
          <w:p w14:paraId="7B94C533" w14:textId="77777777" w:rsidR="00C37E4E" w:rsidRPr="005F3E04" w:rsidRDefault="00C37E4E" w:rsidP="00C37E4E">
            <w:pPr>
              <w:pStyle w:val="TableText"/>
            </w:pPr>
            <w:r>
              <w:t>UA</w:t>
            </w:r>
          </w:p>
        </w:tc>
        <w:tc>
          <w:tcPr>
            <w:tcW w:w="695" w:type="dxa"/>
            <w:shd w:val="clear" w:color="auto" w:fill="FFFFFF" w:themeFill="background1"/>
            <w:vAlign w:val="center"/>
          </w:tcPr>
          <w:p w14:paraId="155E3DC0"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5B73AAEB" w14:textId="48A4A5DE" w:rsidR="00C37E4E" w:rsidRPr="005F3E04" w:rsidRDefault="00C37E4E" w:rsidP="00C37E4E">
            <w:pPr>
              <w:pStyle w:val="TableText"/>
            </w:pPr>
          </w:p>
        </w:tc>
        <w:tc>
          <w:tcPr>
            <w:tcW w:w="688" w:type="dxa"/>
            <w:shd w:val="clear" w:color="auto" w:fill="FFFFFF" w:themeFill="background1"/>
            <w:vAlign w:val="center"/>
          </w:tcPr>
          <w:p w14:paraId="7F70CDBD" w14:textId="77777777" w:rsidR="00C37E4E" w:rsidRPr="005F3E04" w:rsidRDefault="00C37E4E" w:rsidP="00C37E4E">
            <w:pPr>
              <w:pStyle w:val="TableText"/>
            </w:pPr>
            <w:r>
              <w:t>A</w:t>
            </w:r>
          </w:p>
        </w:tc>
        <w:tc>
          <w:tcPr>
            <w:tcW w:w="688" w:type="dxa"/>
            <w:tcBorders>
              <w:top w:val="nil"/>
              <w:bottom w:val="nil"/>
            </w:tcBorders>
            <w:shd w:val="clear" w:color="auto" w:fill="FFFFFF" w:themeFill="background1"/>
          </w:tcPr>
          <w:p w14:paraId="2591B9BB" w14:textId="77777777" w:rsidR="00C37E4E" w:rsidRPr="005F3E04" w:rsidRDefault="00C37E4E" w:rsidP="00C37E4E">
            <w:pPr>
              <w:pStyle w:val="TableText"/>
            </w:pPr>
          </w:p>
        </w:tc>
        <w:tc>
          <w:tcPr>
            <w:tcW w:w="663" w:type="dxa"/>
            <w:shd w:val="clear" w:color="auto" w:fill="FFFFFF" w:themeFill="background1"/>
            <w:vAlign w:val="center"/>
          </w:tcPr>
          <w:p w14:paraId="628F0E54"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25258CBA" w14:textId="77777777" w:rsidR="00C37E4E" w:rsidRPr="005F3E04" w:rsidRDefault="00C37E4E" w:rsidP="00C37E4E">
            <w:pPr>
              <w:jc w:val="center"/>
              <w:rPr>
                <w:rFonts w:ascii="Franklin Gothic Book" w:hAnsi="Franklin Gothic Book"/>
                <w:sz w:val="16"/>
                <w:szCs w:val="16"/>
              </w:rPr>
            </w:pPr>
          </w:p>
        </w:tc>
      </w:tr>
      <w:tr w:rsidR="00C37E4E" w14:paraId="7E2AE40A" w14:textId="77777777" w:rsidTr="00236A57">
        <w:trPr>
          <w:trHeight w:val="20"/>
          <w:jc w:val="center"/>
        </w:trPr>
        <w:tc>
          <w:tcPr>
            <w:tcW w:w="1016" w:type="dxa"/>
            <w:tcBorders>
              <w:left w:val="nil"/>
              <w:bottom w:val="single" w:sz="4" w:space="0" w:color="auto"/>
            </w:tcBorders>
            <w:shd w:val="clear" w:color="auto" w:fill="FFFFFF" w:themeFill="background1"/>
            <w:vAlign w:val="center"/>
          </w:tcPr>
          <w:p w14:paraId="56C26207" w14:textId="77777777" w:rsidR="00C37E4E" w:rsidRPr="003F43D2" w:rsidRDefault="00C37E4E" w:rsidP="00C37E4E">
            <w:pPr>
              <w:pStyle w:val="TableText"/>
              <w:rPr>
                <w:vertAlign w:val="superscript"/>
              </w:rPr>
            </w:pPr>
            <w:r>
              <w:t>Kern</w:t>
            </w:r>
            <w:r w:rsidRPr="007C581B">
              <w:rPr>
                <w:vertAlign w:val="superscript"/>
              </w:rPr>
              <w:t>3</w:t>
            </w:r>
          </w:p>
        </w:tc>
        <w:tc>
          <w:tcPr>
            <w:tcW w:w="620" w:type="dxa"/>
            <w:tcBorders>
              <w:bottom w:val="single" w:sz="4" w:space="0" w:color="auto"/>
            </w:tcBorders>
            <w:shd w:val="clear" w:color="auto" w:fill="FFFFFF" w:themeFill="background1"/>
            <w:vAlign w:val="center"/>
          </w:tcPr>
          <w:p w14:paraId="7A37949C" w14:textId="77777777" w:rsidR="00C37E4E" w:rsidRPr="005F3E04" w:rsidRDefault="00C37E4E" w:rsidP="00C37E4E">
            <w:pPr>
              <w:pStyle w:val="TableText"/>
            </w:pPr>
            <w:r>
              <w:t>N</w:t>
            </w:r>
          </w:p>
        </w:tc>
        <w:tc>
          <w:tcPr>
            <w:tcW w:w="665" w:type="dxa"/>
            <w:tcBorders>
              <w:bottom w:val="single" w:sz="4" w:space="0" w:color="auto"/>
            </w:tcBorders>
            <w:shd w:val="clear" w:color="auto" w:fill="FFFFFF" w:themeFill="background1"/>
            <w:vAlign w:val="center"/>
          </w:tcPr>
          <w:p w14:paraId="414D1E5B" w14:textId="77777777" w:rsidR="00C37E4E" w:rsidRPr="005F3E04" w:rsidRDefault="00C37E4E" w:rsidP="00C37E4E">
            <w:pPr>
              <w:pStyle w:val="TableText"/>
            </w:pPr>
            <w:r>
              <w:t>N</w:t>
            </w:r>
          </w:p>
        </w:tc>
        <w:tc>
          <w:tcPr>
            <w:tcW w:w="600" w:type="dxa"/>
            <w:tcBorders>
              <w:bottom w:val="single" w:sz="4" w:space="0" w:color="auto"/>
            </w:tcBorders>
            <w:shd w:val="clear" w:color="auto" w:fill="FFFFFF" w:themeFill="background1"/>
            <w:vAlign w:val="center"/>
          </w:tcPr>
          <w:p w14:paraId="4692624C"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78D1E442" w14:textId="77777777" w:rsidR="00C37E4E" w:rsidRPr="005F3E04" w:rsidRDefault="00C37E4E" w:rsidP="00C37E4E">
            <w:pPr>
              <w:pStyle w:val="TableText"/>
            </w:pPr>
            <w:r>
              <w:t>UA</w:t>
            </w:r>
          </w:p>
        </w:tc>
        <w:tc>
          <w:tcPr>
            <w:tcW w:w="600" w:type="dxa"/>
            <w:tcBorders>
              <w:bottom w:val="single" w:sz="4" w:space="0" w:color="auto"/>
            </w:tcBorders>
            <w:shd w:val="clear" w:color="auto" w:fill="FFFFFF" w:themeFill="background1"/>
            <w:vAlign w:val="center"/>
          </w:tcPr>
          <w:p w14:paraId="272EB256"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457C588C"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4E5DBB64"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7CEABE92"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549DDFAC" w14:textId="77777777" w:rsidR="00C37E4E" w:rsidRPr="005F3E04" w:rsidRDefault="00C37E4E" w:rsidP="00C37E4E">
            <w:pPr>
              <w:pStyle w:val="TableText"/>
            </w:pPr>
            <w:r>
              <w:t>N</w:t>
            </w:r>
          </w:p>
        </w:tc>
        <w:tc>
          <w:tcPr>
            <w:tcW w:w="599" w:type="dxa"/>
            <w:tcBorders>
              <w:bottom w:val="single" w:sz="4" w:space="0" w:color="auto"/>
            </w:tcBorders>
            <w:shd w:val="clear" w:color="auto" w:fill="FFFFFF" w:themeFill="background1"/>
            <w:vAlign w:val="center"/>
          </w:tcPr>
          <w:p w14:paraId="479AB468" w14:textId="77777777" w:rsidR="00C37E4E" w:rsidRPr="005F3E04" w:rsidRDefault="00C37E4E" w:rsidP="00C37E4E">
            <w:pPr>
              <w:pStyle w:val="TableText"/>
            </w:pPr>
            <w:r>
              <w:t>A/N/U</w:t>
            </w:r>
          </w:p>
        </w:tc>
        <w:tc>
          <w:tcPr>
            <w:tcW w:w="599" w:type="dxa"/>
            <w:tcBorders>
              <w:bottom w:val="single" w:sz="4" w:space="0" w:color="auto"/>
            </w:tcBorders>
            <w:shd w:val="clear" w:color="auto" w:fill="FFFFFF" w:themeFill="background1"/>
            <w:vAlign w:val="center"/>
          </w:tcPr>
          <w:p w14:paraId="1507DB57" w14:textId="77777777" w:rsidR="00C37E4E" w:rsidRPr="005F3E04" w:rsidRDefault="00C37E4E" w:rsidP="00C37E4E">
            <w:pPr>
              <w:pStyle w:val="TableText"/>
            </w:pPr>
            <w:r>
              <w:t>A/U</w:t>
            </w:r>
          </w:p>
        </w:tc>
        <w:tc>
          <w:tcPr>
            <w:tcW w:w="599" w:type="dxa"/>
            <w:tcBorders>
              <w:bottom w:val="single" w:sz="4" w:space="0" w:color="auto"/>
            </w:tcBorders>
            <w:shd w:val="clear" w:color="auto" w:fill="FFFFFF" w:themeFill="background1"/>
            <w:vAlign w:val="center"/>
          </w:tcPr>
          <w:p w14:paraId="69765F1C" w14:textId="77777777" w:rsidR="00C37E4E" w:rsidRPr="005F3E04" w:rsidRDefault="00C37E4E" w:rsidP="00C37E4E">
            <w:pPr>
              <w:pStyle w:val="TableText"/>
            </w:pPr>
            <w:r>
              <w:t>N/UA</w:t>
            </w:r>
          </w:p>
        </w:tc>
        <w:tc>
          <w:tcPr>
            <w:tcW w:w="614" w:type="dxa"/>
            <w:tcBorders>
              <w:bottom w:val="single" w:sz="4" w:space="0" w:color="auto"/>
            </w:tcBorders>
            <w:shd w:val="clear" w:color="auto" w:fill="FFFFFF" w:themeFill="background1"/>
            <w:vAlign w:val="center"/>
          </w:tcPr>
          <w:p w14:paraId="7D2BB273" w14:textId="77777777" w:rsidR="00C37E4E" w:rsidRPr="005F3E04" w:rsidRDefault="00C37E4E" w:rsidP="00C37E4E">
            <w:pPr>
              <w:pStyle w:val="TableText"/>
            </w:pPr>
            <w:r>
              <w:t>A</w:t>
            </w:r>
          </w:p>
        </w:tc>
        <w:tc>
          <w:tcPr>
            <w:tcW w:w="646" w:type="dxa"/>
            <w:tcBorders>
              <w:bottom w:val="single" w:sz="4" w:space="0" w:color="auto"/>
            </w:tcBorders>
            <w:shd w:val="clear" w:color="auto" w:fill="FFFFFF" w:themeFill="background1"/>
            <w:vAlign w:val="center"/>
          </w:tcPr>
          <w:p w14:paraId="1069DA98" w14:textId="77777777" w:rsidR="00C37E4E" w:rsidRPr="005F3E04" w:rsidRDefault="00C37E4E" w:rsidP="00C37E4E">
            <w:pPr>
              <w:pStyle w:val="TableText"/>
            </w:pPr>
            <w:r>
              <w:t>UA</w:t>
            </w:r>
          </w:p>
        </w:tc>
        <w:tc>
          <w:tcPr>
            <w:tcW w:w="695" w:type="dxa"/>
            <w:tcBorders>
              <w:bottom w:val="single" w:sz="4" w:space="0" w:color="auto"/>
            </w:tcBorders>
            <w:shd w:val="clear" w:color="auto" w:fill="FFFFFF" w:themeFill="background1"/>
            <w:vAlign w:val="center"/>
          </w:tcPr>
          <w:p w14:paraId="47F3B396"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6B3D6E70" w14:textId="77777777" w:rsidR="00C37E4E" w:rsidRPr="005F3E04" w:rsidRDefault="00C37E4E" w:rsidP="00C37E4E">
            <w:pPr>
              <w:pStyle w:val="TableText"/>
            </w:pPr>
          </w:p>
        </w:tc>
        <w:tc>
          <w:tcPr>
            <w:tcW w:w="688" w:type="dxa"/>
            <w:tcBorders>
              <w:bottom w:val="single" w:sz="4" w:space="0" w:color="auto"/>
            </w:tcBorders>
            <w:shd w:val="clear" w:color="auto" w:fill="FFFFFF" w:themeFill="background1"/>
            <w:vAlign w:val="center"/>
          </w:tcPr>
          <w:p w14:paraId="2EC29C93"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7AFD7DCE" w14:textId="77777777" w:rsidR="00C37E4E" w:rsidRPr="005F3E04" w:rsidRDefault="00C37E4E" w:rsidP="00C37E4E">
            <w:pPr>
              <w:pStyle w:val="TableText"/>
            </w:pPr>
          </w:p>
        </w:tc>
        <w:tc>
          <w:tcPr>
            <w:tcW w:w="663" w:type="dxa"/>
            <w:tcBorders>
              <w:bottom w:val="single" w:sz="4" w:space="0" w:color="auto"/>
            </w:tcBorders>
            <w:shd w:val="clear" w:color="auto" w:fill="FFFFFF" w:themeFill="background1"/>
            <w:vAlign w:val="center"/>
          </w:tcPr>
          <w:p w14:paraId="69D02FD6"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72C80313" w14:textId="77777777" w:rsidR="00C37E4E" w:rsidRPr="005F3E04" w:rsidRDefault="00C37E4E" w:rsidP="00C37E4E">
            <w:pPr>
              <w:jc w:val="center"/>
              <w:rPr>
                <w:rFonts w:ascii="Franklin Gothic Book" w:hAnsi="Franklin Gothic Book"/>
                <w:sz w:val="16"/>
                <w:szCs w:val="16"/>
              </w:rPr>
            </w:pPr>
          </w:p>
        </w:tc>
      </w:tr>
      <w:tr w:rsidR="00C37E4E" w14:paraId="384FD4AE" w14:textId="77777777" w:rsidTr="00236A57">
        <w:trPr>
          <w:trHeight w:val="20"/>
          <w:jc w:val="center"/>
        </w:trPr>
        <w:tc>
          <w:tcPr>
            <w:tcW w:w="1016" w:type="dxa"/>
            <w:tcBorders>
              <w:left w:val="nil"/>
            </w:tcBorders>
            <w:shd w:val="clear" w:color="auto" w:fill="FFFFFF" w:themeFill="background1"/>
            <w:vAlign w:val="center"/>
          </w:tcPr>
          <w:p w14:paraId="4E7B4274" w14:textId="77777777" w:rsidR="00C37E4E" w:rsidRPr="005F3E04" w:rsidRDefault="00C37E4E" w:rsidP="00C37E4E">
            <w:pPr>
              <w:pStyle w:val="TableText"/>
            </w:pPr>
            <w:r>
              <w:t>Kings</w:t>
            </w:r>
          </w:p>
        </w:tc>
        <w:tc>
          <w:tcPr>
            <w:tcW w:w="620" w:type="dxa"/>
            <w:shd w:val="clear" w:color="auto" w:fill="FFFFFF" w:themeFill="background1"/>
            <w:vAlign w:val="center"/>
          </w:tcPr>
          <w:p w14:paraId="69B1287E" w14:textId="77777777" w:rsidR="00C37E4E" w:rsidRPr="005F3E04" w:rsidRDefault="00C37E4E" w:rsidP="00C37E4E">
            <w:pPr>
              <w:pStyle w:val="TableText"/>
            </w:pPr>
            <w:r>
              <w:t>N</w:t>
            </w:r>
          </w:p>
        </w:tc>
        <w:tc>
          <w:tcPr>
            <w:tcW w:w="665" w:type="dxa"/>
            <w:shd w:val="clear" w:color="auto" w:fill="FFFFFF" w:themeFill="background1"/>
            <w:vAlign w:val="center"/>
          </w:tcPr>
          <w:p w14:paraId="4C6B4722" w14:textId="77777777" w:rsidR="00C37E4E" w:rsidRPr="005F3E04" w:rsidRDefault="00C37E4E" w:rsidP="00C37E4E">
            <w:pPr>
              <w:pStyle w:val="TableText"/>
            </w:pPr>
            <w:r>
              <w:t>N</w:t>
            </w:r>
          </w:p>
        </w:tc>
        <w:tc>
          <w:tcPr>
            <w:tcW w:w="600" w:type="dxa"/>
            <w:shd w:val="clear" w:color="auto" w:fill="FFFFFF" w:themeFill="background1"/>
            <w:vAlign w:val="center"/>
          </w:tcPr>
          <w:p w14:paraId="4A94C9A1" w14:textId="77777777" w:rsidR="00C37E4E" w:rsidRPr="005F3E04" w:rsidRDefault="00C37E4E" w:rsidP="00C37E4E">
            <w:pPr>
              <w:pStyle w:val="TableText"/>
            </w:pPr>
            <w:r>
              <w:t>U</w:t>
            </w:r>
          </w:p>
        </w:tc>
        <w:tc>
          <w:tcPr>
            <w:tcW w:w="600" w:type="dxa"/>
            <w:shd w:val="clear" w:color="auto" w:fill="FFFFFF" w:themeFill="background1"/>
            <w:vAlign w:val="center"/>
          </w:tcPr>
          <w:p w14:paraId="4907FD01" w14:textId="77777777" w:rsidR="00C37E4E" w:rsidRPr="005F3E04" w:rsidRDefault="00C37E4E" w:rsidP="00C37E4E">
            <w:pPr>
              <w:pStyle w:val="TableText"/>
            </w:pPr>
            <w:r>
              <w:t>UA</w:t>
            </w:r>
          </w:p>
        </w:tc>
        <w:tc>
          <w:tcPr>
            <w:tcW w:w="600" w:type="dxa"/>
            <w:shd w:val="clear" w:color="auto" w:fill="FFFFFF" w:themeFill="background1"/>
            <w:vAlign w:val="center"/>
          </w:tcPr>
          <w:p w14:paraId="5281EF32" w14:textId="77777777" w:rsidR="00C37E4E" w:rsidRPr="005F3E04" w:rsidRDefault="00C37E4E" w:rsidP="00C37E4E">
            <w:pPr>
              <w:pStyle w:val="TableText"/>
            </w:pPr>
            <w:r>
              <w:t>A</w:t>
            </w:r>
          </w:p>
        </w:tc>
        <w:tc>
          <w:tcPr>
            <w:tcW w:w="600" w:type="dxa"/>
            <w:shd w:val="clear" w:color="auto" w:fill="FFFFFF" w:themeFill="background1"/>
            <w:vAlign w:val="center"/>
          </w:tcPr>
          <w:p w14:paraId="5DC23737" w14:textId="77777777" w:rsidR="00C37E4E" w:rsidRPr="005F3E04" w:rsidRDefault="00C37E4E" w:rsidP="00C37E4E">
            <w:pPr>
              <w:pStyle w:val="TableText"/>
            </w:pPr>
            <w:r>
              <w:t>UA</w:t>
            </w:r>
          </w:p>
        </w:tc>
        <w:tc>
          <w:tcPr>
            <w:tcW w:w="599" w:type="dxa"/>
            <w:shd w:val="clear" w:color="auto" w:fill="FFFFFF" w:themeFill="background1"/>
            <w:vAlign w:val="center"/>
          </w:tcPr>
          <w:p w14:paraId="7ECD21F4" w14:textId="77777777" w:rsidR="00C37E4E" w:rsidRPr="005F3E04" w:rsidRDefault="00C37E4E" w:rsidP="00C37E4E">
            <w:pPr>
              <w:pStyle w:val="TableText"/>
            </w:pPr>
            <w:r>
              <w:t>A</w:t>
            </w:r>
          </w:p>
        </w:tc>
        <w:tc>
          <w:tcPr>
            <w:tcW w:w="599" w:type="dxa"/>
            <w:shd w:val="clear" w:color="auto" w:fill="FFFFFF" w:themeFill="background1"/>
            <w:vAlign w:val="center"/>
          </w:tcPr>
          <w:p w14:paraId="1E9C79D7" w14:textId="77777777" w:rsidR="00C37E4E" w:rsidRPr="005F3E04" w:rsidRDefault="00C37E4E" w:rsidP="00C37E4E">
            <w:pPr>
              <w:pStyle w:val="TableText"/>
            </w:pPr>
            <w:r>
              <w:t>UA</w:t>
            </w:r>
          </w:p>
        </w:tc>
        <w:tc>
          <w:tcPr>
            <w:tcW w:w="599" w:type="dxa"/>
            <w:shd w:val="clear" w:color="auto" w:fill="FFFFFF" w:themeFill="background1"/>
            <w:vAlign w:val="center"/>
          </w:tcPr>
          <w:p w14:paraId="73FAEBAB" w14:textId="77777777" w:rsidR="00C37E4E" w:rsidRPr="005F3E04" w:rsidRDefault="00C37E4E" w:rsidP="00C37E4E">
            <w:pPr>
              <w:pStyle w:val="TableText"/>
            </w:pPr>
            <w:r>
              <w:t>N</w:t>
            </w:r>
          </w:p>
        </w:tc>
        <w:tc>
          <w:tcPr>
            <w:tcW w:w="599" w:type="dxa"/>
            <w:shd w:val="clear" w:color="auto" w:fill="FFFFFF" w:themeFill="background1"/>
            <w:vAlign w:val="center"/>
          </w:tcPr>
          <w:p w14:paraId="7C2FF2A8" w14:textId="77777777" w:rsidR="00C37E4E" w:rsidRPr="005F3E04" w:rsidRDefault="00C37E4E" w:rsidP="00C37E4E">
            <w:pPr>
              <w:pStyle w:val="TableText"/>
            </w:pPr>
            <w:r>
              <w:t>A</w:t>
            </w:r>
          </w:p>
        </w:tc>
        <w:tc>
          <w:tcPr>
            <w:tcW w:w="599" w:type="dxa"/>
            <w:shd w:val="clear" w:color="auto" w:fill="FFFFFF" w:themeFill="background1"/>
            <w:vAlign w:val="center"/>
          </w:tcPr>
          <w:p w14:paraId="567D1AD4" w14:textId="77777777" w:rsidR="00C37E4E" w:rsidRPr="005F3E04" w:rsidRDefault="00C37E4E" w:rsidP="00C37E4E">
            <w:pPr>
              <w:pStyle w:val="TableText"/>
            </w:pPr>
            <w:r>
              <w:t>N</w:t>
            </w:r>
          </w:p>
        </w:tc>
        <w:tc>
          <w:tcPr>
            <w:tcW w:w="599" w:type="dxa"/>
            <w:shd w:val="clear" w:color="auto" w:fill="FFFFFF" w:themeFill="background1"/>
            <w:vAlign w:val="center"/>
          </w:tcPr>
          <w:p w14:paraId="187B2457" w14:textId="77777777" w:rsidR="00C37E4E" w:rsidRPr="005F3E04" w:rsidRDefault="00C37E4E" w:rsidP="00C37E4E">
            <w:pPr>
              <w:pStyle w:val="TableText"/>
            </w:pPr>
            <w:r>
              <w:t>N</w:t>
            </w:r>
          </w:p>
        </w:tc>
        <w:tc>
          <w:tcPr>
            <w:tcW w:w="614" w:type="dxa"/>
            <w:shd w:val="clear" w:color="auto" w:fill="FFFFFF" w:themeFill="background1"/>
            <w:vAlign w:val="center"/>
          </w:tcPr>
          <w:p w14:paraId="472DD19B" w14:textId="77777777" w:rsidR="00C37E4E" w:rsidRPr="005F3E04" w:rsidRDefault="00C37E4E" w:rsidP="00C37E4E">
            <w:pPr>
              <w:pStyle w:val="TableText"/>
            </w:pPr>
            <w:r>
              <w:t>A</w:t>
            </w:r>
          </w:p>
        </w:tc>
        <w:tc>
          <w:tcPr>
            <w:tcW w:w="646" w:type="dxa"/>
            <w:shd w:val="clear" w:color="auto" w:fill="FFFFFF" w:themeFill="background1"/>
            <w:vAlign w:val="center"/>
          </w:tcPr>
          <w:p w14:paraId="43CF0365" w14:textId="77777777" w:rsidR="00C37E4E" w:rsidRPr="005F3E04" w:rsidRDefault="00C37E4E" w:rsidP="00C37E4E">
            <w:pPr>
              <w:pStyle w:val="TableText"/>
            </w:pPr>
            <w:r>
              <w:t>UA</w:t>
            </w:r>
          </w:p>
        </w:tc>
        <w:tc>
          <w:tcPr>
            <w:tcW w:w="695" w:type="dxa"/>
            <w:shd w:val="clear" w:color="auto" w:fill="FFFFFF" w:themeFill="background1"/>
            <w:vAlign w:val="center"/>
          </w:tcPr>
          <w:p w14:paraId="77C21C98"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6CCFEA6D" w14:textId="77777777" w:rsidR="00C37E4E" w:rsidRPr="005F3E04" w:rsidRDefault="00C37E4E" w:rsidP="00C37E4E">
            <w:pPr>
              <w:pStyle w:val="TableText"/>
            </w:pPr>
          </w:p>
        </w:tc>
        <w:tc>
          <w:tcPr>
            <w:tcW w:w="688" w:type="dxa"/>
            <w:shd w:val="clear" w:color="auto" w:fill="FFFFFF" w:themeFill="background1"/>
            <w:vAlign w:val="center"/>
          </w:tcPr>
          <w:p w14:paraId="7F61577F"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5466A5BC" w14:textId="77777777" w:rsidR="00C37E4E" w:rsidRPr="005F3E04" w:rsidRDefault="00C37E4E" w:rsidP="00C37E4E">
            <w:pPr>
              <w:pStyle w:val="TableText"/>
            </w:pPr>
          </w:p>
        </w:tc>
        <w:tc>
          <w:tcPr>
            <w:tcW w:w="663" w:type="dxa"/>
            <w:shd w:val="clear" w:color="auto" w:fill="FFFFFF" w:themeFill="background1"/>
            <w:vAlign w:val="center"/>
          </w:tcPr>
          <w:p w14:paraId="00F10E38"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3ABB238E" w14:textId="77777777" w:rsidR="00C37E4E" w:rsidRPr="005F3E04" w:rsidRDefault="00C37E4E" w:rsidP="00C37E4E">
            <w:pPr>
              <w:jc w:val="center"/>
              <w:rPr>
                <w:rFonts w:ascii="Franklin Gothic Book" w:hAnsi="Franklin Gothic Book"/>
                <w:sz w:val="16"/>
                <w:szCs w:val="16"/>
              </w:rPr>
            </w:pPr>
          </w:p>
        </w:tc>
      </w:tr>
      <w:tr w:rsidR="00C37E4E" w14:paraId="2F785C9A" w14:textId="77777777" w:rsidTr="00236A57">
        <w:trPr>
          <w:trHeight w:val="20"/>
          <w:jc w:val="center"/>
        </w:trPr>
        <w:tc>
          <w:tcPr>
            <w:tcW w:w="1016" w:type="dxa"/>
            <w:tcBorders>
              <w:left w:val="nil"/>
              <w:bottom w:val="single" w:sz="4" w:space="0" w:color="auto"/>
            </w:tcBorders>
            <w:shd w:val="clear" w:color="auto" w:fill="FFFFFF" w:themeFill="background1"/>
            <w:vAlign w:val="center"/>
          </w:tcPr>
          <w:p w14:paraId="699EF133" w14:textId="77777777" w:rsidR="00C37E4E" w:rsidRPr="005F3E04" w:rsidRDefault="00C37E4E" w:rsidP="00C37E4E">
            <w:pPr>
              <w:pStyle w:val="TableText"/>
            </w:pPr>
            <w:r>
              <w:t>Lake</w:t>
            </w:r>
          </w:p>
        </w:tc>
        <w:tc>
          <w:tcPr>
            <w:tcW w:w="620" w:type="dxa"/>
            <w:tcBorders>
              <w:bottom w:val="single" w:sz="4" w:space="0" w:color="auto"/>
            </w:tcBorders>
            <w:shd w:val="clear" w:color="auto" w:fill="FFFFFF" w:themeFill="background1"/>
            <w:vAlign w:val="center"/>
          </w:tcPr>
          <w:p w14:paraId="11981124" w14:textId="77777777" w:rsidR="00C37E4E" w:rsidRPr="005F3E04" w:rsidRDefault="00C37E4E" w:rsidP="00C37E4E">
            <w:pPr>
              <w:pStyle w:val="TableText"/>
            </w:pPr>
            <w:r>
              <w:t>A</w:t>
            </w:r>
          </w:p>
        </w:tc>
        <w:tc>
          <w:tcPr>
            <w:tcW w:w="665" w:type="dxa"/>
            <w:tcBorders>
              <w:bottom w:val="single" w:sz="4" w:space="0" w:color="auto"/>
            </w:tcBorders>
            <w:shd w:val="clear" w:color="auto" w:fill="FFFFFF" w:themeFill="background1"/>
            <w:vAlign w:val="center"/>
          </w:tcPr>
          <w:p w14:paraId="11D63CDE" w14:textId="77777777" w:rsidR="00C37E4E" w:rsidRPr="005F3E04" w:rsidRDefault="00C37E4E" w:rsidP="00C37E4E">
            <w:pPr>
              <w:pStyle w:val="TableText"/>
            </w:pPr>
            <w:r>
              <w:t>AU</w:t>
            </w:r>
          </w:p>
        </w:tc>
        <w:tc>
          <w:tcPr>
            <w:tcW w:w="600" w:type="dxa"/>
            <w:tcBorders>
              <w:bottom w:val="single" w:sz="4" w:space="0" w:color="auto"/>
            </w:tcBorders>
            <w:shd w:val="clear" w:color="auto" w:fill="FFFFFF" w:themeFill="background1"/>
            <w:vAlign w:val="center"/>
          </w:tcPr>
          <w:p w14:paraId="62E9B942"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3B75040D" w14:textId="77777777" w:rsidR="00C37E4E" w:rsidRPr="005F3E04" w:rsidRDefault="00C37E4E" w:rsidP="00C37E4E">
            <w:pPr>
              <w:pStyle w:val="TableText"/>
            </w:pPr>
            <w:r>
              <w:t>UA</w:t>
            </w:r>
          </w:p>
        </w:tc>
        <w:tc>
          <w:tcPr>
            <w:tcW w:w="600" w:type="dxa"/>
            <w:tcBorders>
              <w:bottom w:val="single" w:sz="4" w:space="0" w:color="auto"/>
            </w:tcBorders>
            <w:shd w:val="clear" w:color="auto" w:fill="FFFFFF" w:themeFill="background1"/>
            <w:vAlign w:val="center"/>
          </w:tcPr>
          <w:p w14:paraId="13292FDB"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2E1DA2D3"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41FC5052"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07A22133"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71E058F9"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46C2322E" w14:textId="77777777" w:rsidR="00C37E4E" w:rsidRPr="005F3E04" w:rsidRDefault="00C37E4E" w:rsidP="00C37E4E">
            <w:pPr>
              <w:pStyle w:val="TableText"/>
            </w:pPr>
            <w:r>
              <w:t>U</w:t>
            </w:r>
          </w:p>
        </w:tc>
        <w:tc>
          <w:tcPr>
            <w:tcW w:w="599" w:type="dxa"/>
            <w:tcBorders>
              <w:bottom w:val="single" w:sz="4" w:space="0" w:color="auto"/>
            </w:tcBorders>
            <w:shd w:val="clear" w:color="auto" w:fill="FFFFFF" w:themeFill="background1"/>
            <w:vAlign w:val="center"/>
          </w:tcPr>
          <w:p w14:paraId="230BF3F1"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1C9A273D" w14:textId="77777777" w:rsidR="00C37E4E" w:rsidRPr="005F3E04" w:rsidRDefault="00C37E4E" w:rsidP="00C37E4E">
            <w:pPr>
              <w:pStyle w:val="TableText"/>
            </w:pPr>
            <w:r>
              <w:t>UA</w:t>
            </w:r>
          </w:p>
        </w:tc>
        <w:tc>
          <w:tcPr>
            <w:tcW w:w="614" w:type="dxa"/>
            <w:tcBorders>
              <w:bottom w:val="single" w:sz="4" w:space="0" w:color="auto"/>
            </w:tcBorders>
            <w:shd w:val="clear" w:color="auto" w:fill="FFFFFF" w:themeFill="background1"/>
            <w:vAlign w:val="center"/>
          </w:tcPr>
          <w:p w14:paraId="60E01BF6" w14:textId="77777777" w:rsidR="00C37E4E" w:rsidRPr="005F3E04" w:rsidRDefault="00C37E4E" w:rsidP="00C37E4E">
            <w:pPr>
              <w:pStyle w:val="TableText"/>
            </w:pPr>
            <w:r>
              <w:t>A</w:t>
            </w:r>
          </w:p>
        </w:tc>
        <w:tc>
          <w:tcPr>
            <w:tcW w:w="646" w:type="dxa"/>
            <w:tcBorders>
              <w:bottom w:val="single" w:sz="4" w:space="0" w:color="auto"/>
            </w:tcBorders>
            <w:shd w:val="clear" w:color="auto" w:fill="FFFFFF" w:themeFill="background1"/>
            <w:vAlign w:val="center"/>
          </w:tcPr>
          <w:p w14:paraId="109D8D2E" w14:textId="77777777" w:rsidR="00C37E4E" w:rsidRPr="005F3E04" w:rsidRDefault="00C37E4E" w:rsidP="00C37E4E">
            <w:pPr>
              <w:pStyle w:val="TableText"/>
            </w:pPr>
            <w:r>
              <w:t>UA</w:t>
            </w:r>
          </w:p>
        </w:tc>
        <w:tc>
          <w:tcPr>
            <w:tcW w:w="695" w:type="dxa"/>
            <w:tcBorders>
              <w:bottom w:val="single" w:sz="4" w:space="0" w:color="auto"/>
            </w:tcBorders>
            <w:shd w:val="clear" w:color="auto" w:fill="FFFFFF" w:themeFill="background1"/>
            <w:vAlign w:val="center"/>
          </w:tcPr>
          <w:p w14:paraId="073DC4E7"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67B78551" w14:textId="77777777" w:rsidR="00C37E4E" w:rsidRPr="005F3E04" w:rsidRDefault="00C37E4E" w:rsidP="00C37E4E">
            <w:pPr>
              <w:pStyle w:val="TableText"/>
            </w:pPr>
          </w:p>
        </w:tc>
        <w:tc>
          <w:tcPr>
            <w:tcW w:w="688" w:type="dxa"/>
            <w:tcBorders>
              <w:bottom w:val="single" w:sz="4" w:space="0" w:color="auto"/>
            </w:tcBorders>
            <w:shd w:val="clear" w:color="auto" w:fill="FFFFFF" w:themeFill="background1"/>
            <w:vAlign w:val="center"/>
          </w:tcPr>
          <w:p w14:paraId="0682657F" w14:textId="77777777" w:rsidR="00C37E4E" w:rsidRPr="005F3E04" w:rsidRDefault="00C37E4E" w:rsidP="00C37E4E">
            <w:pPr>
              <w:pStyle w:val="TableText"/>
            </w:pPr>
            <w:r>
              <w:t>A</w:t>
            </w:r>
          </w:p>
        </w:tc>
        <w:tc>
          <w:tcPr>
            <w:tcW w:w="688" w:type="dxa"/>
            <w:tcBorders>
              <w:top w:val="nil"/>
              <w:bottom w:val="nil"/>
            </w:tcBorders>
            <w:shd w:val="clear" w:color="auto" w:fill="FFFFFF" w:themeFill="background1"/>
          </w:tcPr>
          <w:p w14:paraId="537C7048" w14:textId="77777777" w:rsidR="00C37E4E" w:rsidRPr="005F3E04" w:rsidRDefault="00C37E4E" w:rsidP="00C37E4E">
            <w:pPr>
              <w:pStyle w:val="TableText"/>
            </w:pPr>
          </w:p>
        </w:tc>
        <w:tc>
          <w:tcPr>
            <w:tcW w:w="663" w:type="dxa"/>
            <w:tcBorders>
              <w:bottom w:val="single" w:sz="4" w:space="0" w:color="auto"/>
            </w:tcBorders>
            <w:shd w:val="clear" w:color="auto" w:fill="FFFFFF" w:themeFill="background1"/>
            <w:vAlign w:val="center"/>
          </w:tcPr>
          <w:p w14:paraId="67EC6E5E" w14:textId="77777777" w:rsidR="00C37E4E" w:rsidRPr="005F3E04" w:rsidRDefault="00C37E4E" w:rsidP="00C37E4E">
            <w:pPr>
              <w:pStyle w:val="TableText"/>
            </w:pPr>
            <w:r>
              <w:t>A</w:t>
            </w:r>
          </w:p>
        </w:tc>
        <w:tc>
          <w:tcPr>
            <w:tcW w:w="712" w:type="dxa"/>
            <w:tcBorders>
              <w:top w:val="nil"/>
              <w:bottom w:val="nil"/>
              <w:right w:val="nil"/>
            </w:tcBorders>
            <w:shd w:val="clear" w:color="auto" w:fill="FFFFFF" w:themeFill="background1"/>
          </w:tcPr>
          <w:p w14:paraId="745301C8" w14:textId="77777777" w:rsidR="00C37E4E" w:rsidRPr="005F3E04" w:rsidRDefault="00C37E4E" w:rsidP="00C37E4E">
            <w:pPr>
              <w:jc w:val="center"/>
              <w:rPr>
                <w:rFonts w:ascii="Franklin Gothic Book" w:hAnsi="Franklin Gothic Book"/>
                <w:sz w:val="16"/>
                <w:szCs w:val="16"/>
              </w:rPr>
            </w:pPr>
          </w:p>
        </w:tc>
      </w:tr>
      <w:tr w:rsidR="00C37E4E" w14:paraId="32046833" w14:textId="77777777" w:rsidTr="00236A57">
        <w:trPr>
          <w:trHeight w:val="20"/>
          <w:jc w:val="center"/>
        </w:trPr>
        <w:tc>
          <w:tcPr>
            <w:tcW w:w="1016" w:type="dxa"/>
            <w:tcBorders>
              <w:left w:val="nil"/>
            </w:tcBorders>
            <w:shd w:val="clear" w:color="auto" w:fill="FFFFFF" w:themeFill="background1"/>
            <w:vAlign w:val="center"/>
          </w:tcPr>
          <w:p w14:paraId="37855F08" w14:textId="77777777" w:rsidR="00C37E4E" w:rsidRPr="005F3E04" w:rsidRDefault="00C37E4E" w:rsidP="00C37E4E">
            <w:pPr>
              <w:pStyle w:val="TableText"/>
            </w:pPr>
            <w:r>
              <w:t>Lassen</w:t>
            </w:r>
          </w:p>
        </w:tc>
        <w:tc>
          <w:tcPr>
            <w:tcW w:w="620" w:type="dxa"/>
            <w:shd w:val="clear" w:color="auto" w:fill="FFFFFF" w:themeFill="background1"/>
            <w:vAlign w:val="center"/>
          </w:tcPr>
          <w:p w14:paraId="129B7CA4" w14:textId="77777777" w:rsidR="00C37E4E" w:rsidRPr="005F3E04" w:rsidRDefault="00C37E4E" w:rsidP="00C37E4E">
            <w:pPr>
              <w:pStyle w:val="TableText"/>
            </w:pPr>
            <w:r>
              <w:t>A</w:t>
            </w:r>
          </w:p>
        </w:tc>
        <w:tc>
          <w:tcPr>
            <w:tcW w:w="665" w:type="dxa"/>
            <w:shd w:val="clear" w:color="auto" w:fill="FFFFFF" w:themeFill="background1"/>
            <w:vAlign w:val="center"/>
          </w:tcPr>
          <w:p w14:paraId="72096509" w14:textId="77777777" w:rsidR="00C37E4E" w:rsidRPr="005F3E04" w:rsidRDefault="00C37E4E" w:rsidP="00C37E4E">
            <w:pPr>
              <w:pStyle w:val="TableText"/>
            </w:pPr>
            <w:r>
              <w:t>AU</w:t>
            </w:r>
          </w:p>
        </w:tc>
        <w:tc>
          <w:tcPr>
            <w:tcW w:w="600" w:type="dxa"/>
            <w:shd w:val="clear" w:color="auto" w:fill="FFFFFF" w:themeFill="background1"/>
            <w:vAlign w:val="center"/>
          </w:tcPr>
          <w:p w14:paraId="6D75F2B8" w14:textId="77777777" w:rsidR="00C37E4E" w:rsidRPr="005F3E04" w:rsidRDefault="00C37E4E" w:rsidP="00C37E4E">
            <w:pPr>
              <w:pStyle w:val="TableText"/>
            </w:pPr>
            <w:r>
              <w:t>U</w:t>
            </w:r>
          </w:p>
        </w:tc>
        <w:tc>
          <w:tcPr>
            <w:tcW w:w="600" w:type="dxa"/>
            <w:shd w:val="clear" w:color="auto" w:fill="FFFFFF" w:themeFill="background1"/>
            <w:vAlign w:val="center"/>
          </w:tcPr>
          <w:p w14:paraId="60ED5EC6" w14:textId="77777777" w:rsidR="00C37E4E" w:rsidRPr="005F3E04" w:rsidRDefault="00C37E4E" w:rsidP="00C37E4E">
            <w:pPr>
              <w:pStyle w:val="TableText"/>
            </w:pPr>
            <w:r>
              <w:t>UA</w:t>
            </w:r>
          </w:p>
        </w:tc>
        <w:tc>
          <w:tcPr>
            <w:tcW w:w="600" w:type="dxa"/>
            <w:shd w:val="clear" w:color="auto" w:fill="FFFFFF" w:themeFill="background1"/>
            <w:vAlign w:val="center"/>
          </w:tcPr>
          <w:p w14:paraId="0D59BB5B" w14:textId="77777777" w:rsidR="00C37E4E" w:rsidRPr="005F3E04" w:rsidRDefault="00C37E4E" w:rsidP="00C37E4E">
            <w:pPr>
              <w:pStyle w:val="TableText"/>
            </w:pPr>
            <w:r>
              <w:t>A</w:t>
            </w:r>
          </w:p>
        </w:tc>
        <w:tc>
          <w:tcPr>
            <w:tcW w:w="600" w:type="dxa"/>
            <w:shd w:val="clear" w:color="auto" w:fill="FFFFFF" w:themeFill="background1"/>
            <w:vAlign w:val="center"/>
          </w:tcPr>
          <w:p w14:paraId="46755B57" w14:textId="77777777" w:rsidR="00C37E4E" w:rsidRPr="005F3E04" w:rsidRDefault="00C37E4E" w:rsidP="00C37E4E">
            <w:pPr>
              <w:pStyle w:val="TableText"/>
            </w:pPr>
            <w:r>
              <w:t>UA</w:t>
            </w:r>
          </w:p>
        </w:tc>
        <w:tc>
          <w:tcPr>
            <w:tcW w:w="599" w:type="dxa"/>
            <w:shd w:val="clear" w:color="auto" w:fill="FFFFFF" w:themeFill="background1"/>
            <w:vAlign w:val="center"/>
          </w:tcPr>
          <w:p w14:paraId="1F3DE4CF" w14:textId="77777777" w:rsidR="00C37E4E" w:rsidRPr="005F3E04" w:rsidRDefault="00C37E4E" w:rsidP="00C37E4E">
            <w:pPr>
              <w:pStyle w:val="TableText"/>
            </w:pPr>
            <w:r>
              <w:t>A</w:t>
            </w:r>
          </w:p>
        </w:tc>
        <w:tc>
          <w:tcPr>
            <w:tcW w:w="599" w:type="dxa"/>
            <w:shd w:val="clear" w:color="auto" w:fill="FFFFFF" w:themeFill="background1"/>
            <w:vAlign w:val="center"/>
          </w:tcPr>
          <w:p w14:paraId="247FA8A0" w14:textId="77777777" w:rsidR="00C37E4E" w:rsidRPr="005F3E04" w:rsidRDefault="00C37E4E" w:rsidP="00C37E4E">
            <w:pPr>
              <w:pStyle w:val="TableText"/>
            </w:pPr>
            <w:r>
              <w:t>UA</w:t>
            </w:r>
          </w:p>
        </w:tc>
        <w:tc>
          <w:tcPr>
            <w:tcW w:w="599" w:type="dxa"/>
            <w:shd w:val="clear" w:color="auto" w:fill="FFFFFF" w:themeFill="background1"/>
            <w:vAlign w:val="center"/>
          </w:tcPr>
          <w:p w14:paraId="5074CA48" w14:textId="77777777" w:rsidR="00C37E4E" w:rsidRPr="005F3E04" w:rsidRDefault="00C37E4E" w:rsidP="00C37E4E">
            <w:pPr>
              <w:pStyle w:val="TableText"/>
            </w:pPr>
            <w:r>
              <w:t>U</w:t>
            </w:r>
          </w:p>
        </w:tc>
        <w:tc>
          <w:tcPr>
            <w:tcW w:w="599" w:type="dxa"/>
            <w:shd w:val="clear" w:color="auto" w:fill="FFFFFF" w:themeFill="background1"/>
            <w:vAlign w:val="center"/>
          </w:tcPr>
          <w:p w14:paraId="2B8102ED" w14:textId="77777777" w:rsidR="00C37E4E" w:rsidRPr="005F3E04" w:rsidRDefault="00C37E4E" w:rsidP="00C37E4E">
            <w:pPr>
              <w:pStyle w:val="TableText"/>
            </w:pPr>
            <w:r>
              <w:t>U</w:t>
            </w:r>
          </w:p>
        </w:tc>
        <w:tc>
          <w:tcPr>
            <w:tcW w:w="599" w:type="dxa"/>
            <w:shd w:val="clear" w:color="auto" w:fill="FFFFFF" w:themeFill="background1"/>
            <w:vAlign w:val="center"/>
          </w:tcPr>
          <w:p w14:paraId="0F59FE9D" w14:textId="77777777" w:rsidR="00C37E4E" w:rsidRPr="005F3E04" w:rsidRDefault="00C37E4E" w:rsidP="00C37E4E">
            <w:pPr>
              <w:pStyle w:val="TableText"/>
            </w:pPr>
            <w:r>
              <w:t>A</w:t>
            </w:r>
          </w:p>
        </w:tc>
        <w:tc>
          <w:tcPr>
            <w:tcW w:w="599" w:type="dxa"/>
            <w:shd w:val="clear" w:color="auto" w:fill="FFFFFF" w:themeFill="background1"/>
            <w:vAlign w:val="center"/>
          </w:tcPr>
          <w:p w14:paraId="0A898F93" w14:textId="77777777" w:rsidR="00C37E4E" w:rsidRPr="005F3E04" w:rsidRDefault="00C37E4E" w:rsidP="00C37E4E">
            <w:pPr>
              <w:pStyle w:val="TableText"/>
            </w:pPr>
            <w:r>
              <w:t>UA</w:t>
            </w:r>
          </w:p>
        </w:tc>
        <w:tc>
          <w:tcPr>
            <w:tcW w:w="614" w:type="dxa"/>
            <w:shd w:val="clear" w:color="auto" w:fill="FFFFFF" w:themeFill="background1"/>
            <w:vAlign w:val="center"/>
          </w:tcPr>
          <w:p w14:paraId="5A55B944" w14:textId="77777777" w:rsidR="00C37E4E" w:rsidRPr="005F3E04" w:rsidRDefault="00C37E4E" w:rsidP="00C37E4E">
            <w:pPr>
              <w:pStyle w:val="TableText"/>
            </w:pPr>
            <w:r>
              <w:t>A</w:t>
            </w:r>
          </w:p>
        </w:tc>
        <w:tc>
          <w:tcPr>
            <w:tcW w:w="646" w:type="dxa"/>
            <w:shd w:val="clear" w:color="auto" w:fill="FFFFFF" w:themeFill="background1"/>
            <w:vAlign w:val="center"/>
          </w:tcPr>
          <w:p w14:paraId="25B14EC1" w14:textId="77777777" w:rsidR="00C37E4E" w:rsidRPr="005F3E04" w:rsidRDefault="00C37E4E" w:rsidP="00C37E4E">
            <w:pPr>
              <w:pStyle w:val="TableText"/>
            </w:pPr>
            <w:r>
              <w:t>UA</w:t>
            </w:r>
          </w:p>
        </w:tc>
        <w:tc>
          <w:tcPr>
            <w:tcW w:w="695" w:type="dxa"/>
            <w:shd w:val="clear" w:color="auto" w:fill="FFFFFF" w:themeFill="background1"/>
            <w:vAlign w:val="center"/>
          </w:tcPr>
          <w:p w14:paraId="1E270EEB"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5B7407D0" w14:textId="77777777" w:rsidR="00C37E4E" w:rsidRPr="005F3E04" w:rsidRDefault="00C37E4E" w:rsidP="00C37E4E">
            <w:pPr>
              <w:pStyle w:val="TableText"/>
            </w:pPr>
          </w:p>
        </w:tc>
        <w:tc>
          <w:tcPr>
            <w:tcW w:w="688" w:type="dxa"/>
            <w:shd w:val="clear" w:color="auto" w:fill="FFFFFF" w:themeFill="background1"/>
            <w:vAlign w:val="center"/>
          </w:tcPr>
          <w:p w14:paraId="0D5CAA7B"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3704E416" w14:textId="77777777" w:rsidR="00C37E4E" w:rsidRPr="005F3E04" w:rsidRDefault="00C37E4E" w:rsidP="00C37E4E">
            <w:pPr>
              <w:pStyle w:val="TableText"/>
            </w:pPr>
          </w:p>
        </w:tc>
        <w:tc>
          <w:tcPr>
            <w:tcW w:w="663" w:type="dxa"/>
            <w:shd w:val="clear" w:color="auto" w:fill="FFFFFF" w:themeFill="background1"/>
            <w:vAlign w:val="center"/>
          </w:tcPr>
          <w:p w14:paraId="51AEEAB2"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3E6E8C2D" w14:textId="77777777" w:rsidR="00C37E4E" w:rsidRPr="005F3E04" w:rsidRDefault="00C37E4E" w:rsidP="00C37E4E">
            <w:pPr>
              <w:jc w:val="center"/>
              <w:rPr>
                <w:rFonts w:ascii="Franklin Gothic Book" w:hAnsi="Franklin Gothic Book"/>
                <w:sz w:val="16"/>
                <w:szCs w:val="16"/>
              </w:rPr>
            </w:pPr>
          </w:p>
        </w:tc>
      </w:tr>
      <w:tr w:rsidR="00C37E4E" w14:paraId="76D28D0B" w14:textId="77777777" w:rsidTr="00236A57">
        <w:trPr>
          <w:trHeight w:val="20"/>
          <w:jc w:val="center"/>
        </w:trPr>
        <w:tc>
          <w:tcPr>
            <w:tcW w:w="1016" w:type="dxa"/>
            <w:tcBorders>
              <w:left w:val="nil"/>
              <w:bottom w:val="single" w:sz="4" w:space="0" w:color="auto"/>
            </w:tcBorders>
            <w:shd w:val="clear" w:color="auto" w:fill="FFFFFF" w:themeFill="background1"/>
            <w:vAlign w:val="center"/>
          </w:tcPr>
          <w:p w14:paraId="6E1E3BCD" w14:textId="77777777" w:rsidR="00C37E4E" w:rsidRPr="003F43D2" w:rsidRDefault="00C37E4E" w:rsidP="00C37E4E">
            <w:pPr>
              <w:pStyle w:val="TableText"/>
              <w:rPr>
                <w:vertAlign w:val="superscript"/>
              </w:rPr>
            </w:pPr>
            <w:r>
              <w:t>Los Angeles</w:t>
            </w:r>
            <w:r>
              <w:rPr>
                <w:vertAlign w:val="superscript"/>
              </w:rPr>
              <w:t>4</w:t>
            </w:r>
          </w:p>
        </w:tc>
        <w:tc>
          <w:tcPr>
            <w:tcW w:w="620" w:type="dxa"/>
            <w:tcBorders>
              <w:bottom w:val="single" w:sz="4" w:space="0" w:color="auto"/>
            </w:tcBorders>
            <w:shd w:val="clear" w:color="auto" w:fill="FFFFFF" w:themeFill="background1"/>
            <w:vAlign w:val="center"/>
          </w:tcPr>
          <w:p w14:paraId="18E9080F" w14:textId="77777777" w:rsidR="00C37E4E" w:rsidRPr="005F3E04" w:rsidRDefault="00C37E4E" w:rsidP="00C37E4E">
            <w:pPr>
              <w:pStyle w:val="TableText"/>
            </w:pPr>
            <w:r>
              <w:t>N</w:t>
            </w:r>
          </w:p>
        </w:tc>
        <w:tc>
          <w:tcPr>
            <w:tcW w:w="665" w:type="dxa"/>
            <w:tcBorders>
              <w:bottom w:val="single" w:sz="4" w:space="0" w:color="auto"/>
            </w:tcBorders>
            <w:shd w:val="clear" w:color="auto" w:fill="FFFFFF" w:themeFill="background1"/>
            <w:vAlign w:val="center"/>
          </w:tcPr>
          <w:p w14:paraId="3EE6E02C" w14:textId="77777777" w:rsidR="00C37E4E" w:rsidRPr="005F3E04" w:rsidRDefault="00C37E4E" w:rsidP="00C37E4E">
            <w:pPr>
              <w:pStyle w:val="TableText"/>
            </w:pPr>
            <w:r>
              <w:t>N</w:t>
            </w:r>
          </w:p>
        </w:tc>
        <w:tc>
          <w:tcPr>
            <w:tcW w:w="600" w:type="dxa"/>
            <w:tcBorders>
              <w:bottom w:val="single" w:sz="4" w:space="0" w:color="auto"/>
            </w:tcBorders>
            <w:shd w:val="clear" w:color="auto" w:fill="FFFFFF" w:themeFill="background1"/>
            <w:vAlign w:val="center"/>
          </w:tcPr>
          <w:p w14:paraId="3A32BEB8"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47CB5E4D" w14:textId="77777777" w:rsidR="00C37E4E" w:rsidRPr="005F3E04" w:rsidRDefault="00C37E4E" w:rsidP="00C37E4E">
            <w:pPr>
              <w:pStyle w:val="TableText"/>
            </w:pPr>
            <w:r>
              <w:t>UA</w:t>
            </w:r>
          </w:p>
        </w:tc>
        <w:tc>
          <w:tcPr>
            <w:tcW w:w="600" w:type="dxa"/>
            <w:tcBorders>
              <w:bottom w:val="single" w:sz="4" w:space="0" w:color="auto"/>
            </w:tcBorders>
            <w:shd w:val="clear" w:color="auto" w:fill="FFFFFF" w:themeFill="background1"/>
            <w:vAlign w:val="center"/>
          </w:tcPr>
          <w:p w14:paraId="5FED986C"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38FD4904"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67E6F9DD"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230C8434"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32388E77" w14:textId="77777777" w:rsidR="00C37E4E" w:rsidRPr="005F3E04" w:rsidRDefault="00C37E4E" w:rsidP="00C37E4E">
            <w:pPr>
              <w:pStyle w:val="TableText"/>
            </w:pPr>
            <w:r>
              <w:t>N</w:t>
            </w:r>
          </w:p>
        </w:tc>
        <w:tc>
          <w:tcPr>
            <w:tcW w:w="599" w:type="dxa"/>
            <w:tcBorders>
              <w:bottom w:val="single" w:sz="4" w:space="0" w:color="auto"/>
            </w:tcBorders>
            <w:shd w:val="clear" w:color="auto" w:fill="FFFFFF" w:themeFill="background1"/>
            <w:vAlign w:val="center"/>
          </w:tcPr>
          <w:p w14:paraId="3EBE4153" w14:textId="77777777" w:rsidR="00C37E4E" w:rsidRPr="005F3E04" w:rsidRDefault="00C37E4E" w:rsidP="00C37E4E">
            <w:pPr>
              <w:pStyle w:val="TableText"/>
            </w:pPr>
            <w:r>
              <w:t>A/U</w:t>
            </w:r>
          </w:p>
        </w:tc>
        <w:tc>
          <w:tcPr>
            <w:tcW w:w="599" w:type="dxa"/>
            <w:tcBorders>
              <w:bottom w:val="single" w:sz="4" w:space="0" w:color="auto"/>
            </w:tcBorders>
            <w:shd w:val="clear" w:color="auto" w:fill="FFFFFF" w:themeFill="background1"/>
            <w:vAlign w:val="center"/>
          </w:tcPr>
          <w:p w14:paraId="23DCDBAE" w14:textId="77777777" w:rsidR="00C37E4E" w:rsidRPr="005F3E04" w:rsidRDefault="00C37E4E" w:rsidP="00C37E4E">
            <w:pPr>
              <w:pStyle w:val="TableText"/>
            </w:pPr>
            <w:r>
              <w:t>N</w:t>
            </w:r>
          </w:p>
        </w:tc>
        <w:tc>
          <w:tcPr>
            <w:tcW w:w="599" w:type="dxa"/>
            <w:tcBorders>
              <w:bottom w:val="single" w:sz="4" w:space="0" w:color="auto"/>
            </w:tcBorders>
            <w:shd w:val="clear" w:color="auto" w:fill="FFFFFF" w:themeFill="background1"/>
            <w:vAlign w:val="center"/>
          </w:tcPr>
          <w:p w14:paraId="6AE46379" w14:textId="77777777" w:rsidR="00C37E4E" w:rsidRPr="005F3E04" w:rsidRDefault="00C37E4E" w:rsidP="00C37E4E">
            <w:pPr>
              <w:pStyle w:val="TableText"/>
            </w:pPr>
            <w:r>
              <w:t>N/UA</w:t>
            </w:r>
          </w:p>
        </w:tc>
        <w:tc>
          <w:tcPr>
            <w:tcW w:w="614" w:type="dxa"/>
            <w:tcBorders>
              <w:bottom w:val="single" w:sz="4" w:space="0" w:color="auto"/>
            </w:tcBorders>
            <w:shd w:val="clear" w:color="auto" w:fill="FFFFFF" w:themeFill="background1"/>
            <w:vAlign w:val="center"/>
          </w:tcPr>
          <w:p w14:paraId="56C8FAD0" w14:textId="77777777" w:rsidR="00C37E4E" w:rsidRPr="005F3E04" w:rsidRDefault="00C37E4E" w:rsidP="00C37E4E">
            <w:pPr>
              <w:pStyle w:val="TableText"/>
            </w:pPr>
            <w:r>
              <w:t>A</w:t>
            </w:r>
          </w:p>
        </w:tc>
        <w:tc>
          <w:tcPr>
            <w:tcW w:w="646" w:type="dxa"/>
            <w:tcBorders>
              <w:bottom w:val="single" w:sz="4" w:space="0" w:color="auto"/>
            </w:tcBorders>
            <w:shd w:val="clear" w:color="auto" w:fill="FFFFFF" w:themeFill="background1"/>
            <w:vAlign w:val="center"/>
          </w:tcPr>
          <w:p w14:paraId="774AE017" w14:textId="77777777" w:rsidR="00C37E4E" w:rsidRPr="005F3E04" w:rsidRDefault="00C37E4E" w:rsidP="00C37E4E">
            <w:pPr>
              <w:pStyle w:val="TableText"/>
            </w:pPr>
            <w:r>
              <w:t>N</w:t>
            </w:r>
          </w:p>
        </w:tc>
        <w:tc>
          <w:tcPr>
            <w:tcW w:w="695" w:type="dxa"/>
            <w:tcBorders>
              <w:bottom w:val="single" w:sz="4" w:space="0" w:color="auto"/>
            </w:tcBorders>
            <w:shd w:val="clear" w:color="auto" w:fill="FFFFFF" w:themeFill="background1"/>
            <w:vAlign w:val="center"/>
          </w:tcPr>
          <w:p w14:paraId="0E83CD17"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715FB336" w14:textId="77777777" w:rsidR="00C37E4E" w:rsidRPr="005F3E04" w:rsidRDefault="00C37E4E" w:rsidP="00C37E4E">
            <w:pPr>
              <w:pStyle w:val="TableText"/>
            </w:pPr>
          </w:p>
        </w:tc>
        <w:tc>
          <w:tcPr>
            <w:tcW w:w="688" w:type="dxa"/>
            <w:tcBorders>
              <w:bottom w:val="single" w:sz="4" w:space="0" w:color="auto"/>
            </w:tcBorders>
            <w:shd w:val="clear" w:color="auto" w:fill="FFFFFF" w:themeFill="background1"/>
            <w:vAlign w:val="center"/>
          </w:tcPr>
          <w:p w14:paraId="7F6AFFDF"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46E70586" w14:textId="77777777" w:rsidR="00C37E4E" w:rsidRPr="005F3E04" w:rsidRDefault="00C37E4E" w:rsidP="00C37E4E">
            <w:pPr>
              <w:pStyle w:val="TableText"/>
            </w:pPr>
          </w:p>
        </w:tc>
        <w:tc>
          <w:tcPr>
            <w:tcW w:w="663" w:type="dxa"/>
            <w:tcBorders>
              <w:bottom w:val="single" w:sz="4" w:space="0" w:color="auto"/>
            </w:tcBorders>
            <w:shd w:val="clear" w:color="auto" w:fill="FFFFFF" w:themeFill="background1"/>
            <w:vAlign w:val="center"/>
          </w:tcPr>
          <w:p w14:paraId="27CBB4BB"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4CE1359C" w14:textId="77777777" w:rsidR="00C37E4E" w:rsidRPr="005F3E04" w:rsidRDefault="00C37E4E" w:rsidP="00C37E4E">
            <w:pPr>
              <w:jc w:val="center"/>
              <w:rPr>
                <w:rFonts w:ascii="Franklin Gothic Book" w:hAnsi="Franklin Gothic Book"/>
                <w:sz w:val="16"/>
                <w:szCs w:val="16"/>
              </w:rPr>
            </w:pPr>
          </w:p>
        </w:tc>
      </w:tr>
      <w:tr w:rsidR="00C37E4E" w14:paraId="281F37B4" w14:textId="77777777" w:rsidTr="00236A57">
        <w:trPr>
          <w:trHeight w:val="20"/>
          <w:jc w:val="center"/>
        </w:trPr>
        <w:tc>
          <w:tcPr>
            <w:tcW w:w="1016" w:type="dxa"/>
            <w:tcBorders>
              <w:left w:val="nil"/>
            </w:tcBorders>
            <w:shd w:val="clear" w:color="auto" w:fill="FFFFFF" w:themeFill="background1"/>
            <w:vAlign w:val="center"/>
          </w:tcPr>
          <w:p w14:paraId="0679C401" w14:textId="77777777" w:rsidR="00C37E4E" w:rsidRPr="005F3E04" w:rsidRDefault="00C37E4E" w:rsidP="00C37E4E">
            <w:pPr>
              <w:pStyle w:val="TableText"/>
            </w:pPr>
            <w:r>
              <w:t>Madera</w:t>
            </w:r>
          </w:p>
        </w:tc>
        <w:tc>
          <w:tcPr>
            <w:tcW w:w="620" w:type="dxa"/>
            <w:shd w:val="clear" w:color="auto" w:fill="FFFFFF" w:themeFill="background1"/>
            <w:vAlign w:val="center"/>
          </w:tcPr>
          <w:p w14:paraId="08610826" w14:textId="77777777" w:rsidR="00C37E4E" w:rsidRPr="005F3E04" w:rsidRDefault="00C37E4E" w:rsidP="00C37E4E">
            <w:pPr>
              <w:pStyle w:val="TableText"/>
            </w:pPr>
            <w:r>
              <w:t>N</w:t>
            </w:r>
          </w:p>
        </w:tc>
        <w:tc>
          <w:tcPr>
            <w:tcW w:w="665" w:type="dxa"/>
            <w:shd w:val="clear" w:color="auto" w:fill="FFFFFF" w:themeFill="background1"/>
            <w:vAlign w:val="center"/>
          </w:tcPr>
          <w:p w14:paraId="0D824C9C" w14:textId="77777777" w:rsidR="00C37E4E" w:rsidRPr="005F3E04" w:rsidRDefault="00C37E4E" w:rsidP="00C37E4E">
            <w:pPr>
              <w:pStyle w:val="TableText"/>
            </w:pPr>
            <w:r>
              <w:t>N</w:t>
            </w:r>
          </w:p>
        </w:tc>
        <w:tc>
          <w:tcPr>
            <w:tcW w:w="600" w:type="dxa"/>
            <w:shd w:val="clear" w:color="auto" w:fill="FFFFFF" w:themeFill="background1"/>
            <w:vAlign w:val="center"/>
          </w:tcPr>
          <w:p w14:paraId="5AC1B5FE" w14:textId="77777777" w:rsidR="00C37E4E" w:rsidRPr="005F3E04" w:rsidRDefault="00C37E4E" w:rsidP="00C37E4E">
            <w:pPr>
              <w:pStyle w:val="TableText"/>
            </w:pPr>
            <w:r>
              <w:t>U</w:t>
            </w:r>
          </w:p>
        </w:tc>
        <w:tc>
          <w:tcPr>
            <w:tcW w:w="600" w:type="dxa"/>
            <w:shd w:val="clear" w:color="auto" w:fill="FFFFFF" w:themeFill="background1"/>
            <w:vAlign w:val="center"/>
          </w:tcPr>
          <w:p w14:paraId="546FA963" w14:textId="77777777" w:rsidR="00C37E4E" w:rsidRPr="005F3E04" w:rsidRDefault="00C37E4E" w:rsidP="00C37E4E">
            <w:pPr>
              <w:pStyle w:val="TableText"/>
            </w:pPr>
            <w:r>
              <w:t>UA</w:t>
            </w:r>
          </w:p>
        </w:tc>
        <w:tc>
          <w:tcPr>
            <w:tcW w:w="600" w:type="dxa"/>
            <w:shd w:val="clear" w:color="auto" w:fill="FFFFFF" w:themeFill="background1"/>
            <w:vAlign w:val="center"/>
          </w:tcPr>
          <w:p w14:paraId="5AC22C2E" w14:textId="77777777" w:rsidR="00C37E4E" w:rsidRPr="005F3E04" w:rsidRDefault="00C37E4E" w:rsidP="00C37E4E">
            <w:pPr>
              <w:pStyle w:val="TableText"/>
            </w:pPr>
            <w:r>
              <w:t>A</w:t>
            </w:r>
          </w:p>
        </w:tc>
        <w:tc>
          <w:tcPr>
            <w:tcW w:w="600" w:type="dxa"/>
            <w:shd w:val="clear" w:color="auto" w:fill="FFFFFF" w:themeFill="background1"/>
            <w:vAlign w:val="center"/>
          </w:tcPr>
          <w:p w14:paraId="6625CC28" w14:textId="77777777" w:rsidR="00C37E4E" w:rsidRPr="005F3E04" w:rsidRDefault="00C37E4E" w:rsidP="00C37E4E">
            <w:pPr>
              <w:pStyle w:val="TableText"/>
            </w:pPr>
            <w:r>
              <w:t>UA</w:t>
            </w:r>
          </w:p>
        </w:tc>
        <w:tc>
          <w:tcPr>
            <w:tcW w:w="599" w:type="dxa"/>
            <w:shd w:val="clear" w:color="auto" w:fill="FFFFFF" w:themeFill="background1"/>
            <w:vAlign w:val="center"/>
          </w:tcPr>
          <w:p w14:paraId="53160681" w14:textId="77777777" w:rsidR="00C37E4E" w:rsidRPr="005F3E04" w:rsidRDefault="00C37E4E" w:rsidP="00C37E4E">
            <w:pPr>
              <w:pStyle w:val="TableText"/>
            </w:pPr>
            <w:r>
              <w:t>A</w:t>
            </w:r>
          </w:p>
        </w:tc>
        <w:tc>
          <w:tcPr>
            <w:tcW w:w="599" w:type="dxa"/>
            <w:shd w:val="clear" w:color="auto" w:fill="FFFFFF" w:themeFill="background1"/>
            <w:vAlign w:val="center"/>
          </w:tcPr>
          <w:p w14:paraId="0F0452E4" w14:textId="77777777" w:rsidR="00C37E4E" w:rsidRPr="005F3E04" w:rsidRDefault="00C37E4E" w:rsidP="00C37E4E">
            <w:pPr>
              <w:pStyle w:val="TableText"/>
            </w:pPr>
            <w:r>
              <w:t>UA</w:t>
            </w:r>
          </w:p>
        </w:tc>
        <w:tc>
          <w:tcPr>
            <w:tcW w:w="599" w:type="dxa"/>
            <w:shd w:val="clear" w:color="auto" w:fill="FFFFFF" w:themeFill="background1"/>
            <w:vAlign w:val="center"/>
          </w:tcPr>
          <w:p w14:paraId="33ECA801" w14:textId="77777777" w:rsidR="00C37E4E" w:rsidRPr="005F3E04" w:rsidRDefault="00C37E4E" w:rsidP="00C37E4E">
            <w:pPr>
              <w:pStyle w:val="TableText"/>
            </w:pPr>
            <w:r>
              <w:t>N</w:t>
            </w:r>
          </w:p>
        </w:tc>
        <w:tc>
          <w:tcPr>
            <w:tcW w:w="599" w:type="dxa"/>
            <w:shd w:val="clear" w:color="auto" w:fill="FFFFFF" w:themeFill="background1"/>
            <w:vAlign w:val="center"/>
          </w:tcPr>
          <w:p w14:paraId="18F60A87" w14:textId="77777777" w:rsidR="00C37E4E" w:rsidRPr="005F3E04" w:rsidRDefault="00C37E4E" w:rsidP="00C37E4E">
            <w:pPr>
              <w:pStyle w:val="TableText"/>
            </w:pPr>
            <w:r>
              <w:t>A</w:t>
            </w:r>
          </w:p>
        </w:tc>
        <w:tc>
          <w:tcPr>
            <w:tcW w:w="599" w:type="dxa"/>
            <w:shd w:val="clear" w:color="auto" w:fill="FFFFFF" w:themeFill="background1"/>
            <w:vAlign w:val="center"/>
          </w:tcPr>
          <w:p w14:paraId="31FEA08E" w14:textId="77777777" w:rsidR="00C37E4E" w:rsidRPr="005F3E04" w:rsidRDefault="00C37E4E" w:rsidP="00C37E4E">
            <w:pPr>
              <w:pStyle w:val="TableText"/>
            </w:pPr>
            <w:r>
              <w:t>N</w:t>
            </w:r>
          </w:p>
        </w:tc>
        <w:tc>
          <w:tcPr>
            <w:tcW w:w="599" w:type="dxa"/>
            <w:shd w:val="clear" w:color="auto" w:fill="FFFFFF" w:themeFill="background1"/>
            <w:vAlign w:val="center"/>
          </w:tcPr>
          <w:p w14:paraId="10623451" w14:textId="77777777" w:rsidR="00C37E4E" w:rsidRPr="005F3E04" w:rsidRDefault="00C37E4E" w:rsidP="00C37E4E">
            <w:pPr>
              <w:pStyle w:val="TableText"/>
            </w:pPr>
            <w:r>
              <w:t>N</w:t>
            </w:r>
          </w:p>
        </w:tc>
        <w:tc>
          <w:tcPr>
            <w:tcW w:w="614" w:type="dxa"/>
            <w:shd w:val="clear" w:color="auto" w:fill="FFFFFF" w:themeFill="background1"/>
            <w:vAlign w:val="center"/>
          </w:tcPr>
          <w:p w14:paraId="227DBAE7" w14:textId="77777777" w:rsidR="00C37E4E" w:rsidRPr="005F3E04" w:rsidRDefault="00C37E4E" w:rsidP="00C37E4E">
            <w:pPr>
              <w:pStyle w:val="TableText"/>
            </w:pPr>
            <w:r>
              <w:t>A</w:t>
            </w:r>
          </w:p>
        </w:tc>
        <w:tc>
          <w:tcPr>
            <w:tcW w:w="646" w:type="dxa"/>
            <w:shd w:val="clear" w:color="auto" w:fill="FFFFFF" w:themeFill="background1"/>
            <w:vAlign w:val="center"/>
          </w:tcPr>
          <w:p w14:paraId="4C780197" w14:textId="77777777" w:rsidR="00C37E4E" w:rsidRPr="005F3E04" w:rsidRDefault="00C37E4E" w:rsidP="00C37E4E">
            <w:pPr>
              <w:pStyle w:val="TableText"/>
            </w:pPr>
            <w:r>
              <w:t>UA</w:t>
            </w:r>
          </w:p>
        </w:tc>
        <w:tc>
          <w:tcPr>
            <w:tcW w:w="695" w:type="dxa"/>
            <w:shd w:val="clear" w:color="auto" w:fill="FFFFFF" w:themeFill="background1"/>
            <w:vAlign w:val="center"/>
          </w:tcPr>
          <w:p w14:paraId="32E1D73F"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1D0B5A1D" w14:textId="77777777" w:rsidR="00C37E4E" w:rsidRPr="005F3E04" w:rsidRDefault="00C37E4E" w:rsidP="00C37E4E">
            <w:pPr>
              <w:pStyle w:val="TableText"/>
            </w:pPr>
          </w:p>
        </w:tc>
        <w:tc>
          <w:tcPr>
            <w:tcW w:w="688" w:type="dxa"/>
            <w:shd w:val="clear" w:color="auto" w:fill="FFFFFF" w:themeFill="background1"/>
            <w:vAlign w:val="center"/>
          </w:tcPr>
          <w:p w14:paraId="578CD649"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5105A0DC" w14:textId="77777777" w:rsidR="00C37E4E" w:rsidRPr="005F3E04" w:rsidRDefault="00C37E4E" w:rsidP="00C37E4E">
            <w:pPr>
              <w:pStyle w:val="TableText"/>
            </w:pPr>
          </w:p>
        </w:tc>
        <w:tc>
          <w:tcPr>
            <w:tcW w:w="663" w:type="dxa"/>
            <w:shd w:val="clear" w:color="auto" w:fill="FFFFFF" w:themeFill="background1"/>
            <w:vAlign w:val="center"/>
          </w:tcPr>
          <w:p w14:paraId="5FF8F8CD"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6D6DCB5A" w14:textId="77777777" w:rsidR="00C37E4E" w:rsidRPr="005F3E04" w:rsidRDefault="00C37E4E" w:rsidP="00C37E4E">
            <w:pPr>
              <w:jc w:val="center"/>
              <w:rPr>
                <w:rFonts w:ascii="Franklin Gothic Book" w:hAnsi="Franklin Gothic Book"/>
                <w:sz w:val="16"/>
                <w:szCs w:val="16"/>
              </w:rPr>
            </w:pPr>
          </w:p>
        </w:tc>
      </w:tr>
      <w:tr w:rsidR="00C37E4E" w14:paraId="6AB9489C" w14:textId="77777777" w:rsidTr="00236A57">
        <w:trPr>
          <w:trHeight w:val="20"/>
          <w:jc w:val="center"/>
        </w:trPr>
        <w:tc>
          <w:tcPr>
            <w:tcW w:w="1016" w:type="dxa"/>
            <w:tcBorders>
              <w:left w:val="nil"/>
              <w:bottom w:val="single" w:sz="4" w:space="0" w:color="auto"/>
            </w:tcBorders>
            <w:shd w:val="clear" w:color="auto" w:fill="FFFFFF" w:themeFill="background1"/>
            <w:vAlign w:val="center"/>
          </w:tcPr>
          <w:p w14:paraId="50A8BF8B" w14:textId="77777777" w:rsidR="00C37E4E" w:rsidRPr="005F3E04" w:rsidRDefault="00C37E4E" w:rsidP="00C37E4E">
            <w:pPr>
              <w:pStyle w:val="TableText"/>
            </w:pPr>
            <w:r>
              <w:t>Marin</w:t>
            </w:r>
          </w:p>
        </w:tc>
        <w:tc>
          <w:tcPr>
            <w:tcW w:w="620" w:type="dxa"/>
            <w:tcBorders>
              <w:bottom w:val="single" w:sz="4" w:space="0" w:color="auto"/>
            </w:tcBorders>
            <w:shd w:val="clear" w:color="auto" w:fill="FFFFFF" w:themeFill="background1"/>
            <w:vAlign w:val="center"/>
          </w:tcPr>
          <w:p w14:paraId="74C91873" w14:textId="77777777" w:rsidR="00C37E4E" w:rsidRPr="005F3E04" w:rsidRDefault="00C37E4E" w:rsidP="00C37E4E">
            <w:pPr>
              <w:pStyle w:val="TableText"/>
            </w:pPr>
            <w:r>
              <w:t>N</w:t>
            </w:r>
          </w:p>
        </w:tc>
        <w:tc>
          <w:tcPr>
            <w:tcW w:w="665" w:type="dxa"/>
            <w:tcBorders>
              <w:bottom w:val="single" w:sz="4" w:space="0" w:color="auto"/>
            </w:tcBorders>
            <w:shd w:val="clear" w:color="auto" w:fill="FFFFFF" w:themeFill="background1"/>
            <w:vAlign w:val="center"/>
          </w:tcPr>
          <w:p w14:paraId="61BBF5A0" w14:textId="77777777" w:rsidR="00C37E4E" w:rsidRPr="005F3E04" w:rsidRDefault="00C37E4E" w:rsidP="00C37E4E">
            <w:pPr>
              <w:pStyle w:val="TableText"/>
            </w:pPr>
            <w:r>
              <w:t>N</w:t>
            </w:r>
          </w:p>
        </w:tc>
        <w:tc>
          <w:tcPr>
            <w:tcW w:w="600" w:type="dxa"/>
            <w:tcBorders>
              <w:bottom w:val="single" w:sz="4" w:space="0" w:color="auto"/>
            </w:tcBorders>
            <w:shd w:val="clear" w:color="auto" w:fill="FFFFFF" w:themeFill="background1"/>
            <w:vAlign w:val="center"/>
          </w:tcPr>
          <w:p w14:paraId="02CAF317"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3EDC656A" w14:textId="77777777" w:rsidR="00C37E4E" w:rsidRPr="005F3E04" w:rsidRDefault="00C37E4E" w:rsidP="00C37E4E">
            <w:pPr>
              <w:pStyle w:val="TableText"/>
            </w:pPr>
            <w:r>
              <w:t>UA</w:t>
            </w:r>
          </w:p>
        </w:tc>
        <w:tc>
          <w:tcPr>
            <w:tcW w:w="600" w:type="dxa"/>
            <w:tcBorders>
              <w:bottom w:val="single" w:sz="4" w:space="0" w:color="auto"/>
            </w:tcBorders>
            <w:shd w:val="clear" w:color="auto" w:fill="FFFFFF" w:themeFill="background1"/>
            <w:vAlign w:val="center"/>
          </w:tcPr>
          <w:p w14:paraId="282B65DC"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23EF64F1"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320037FC"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4D708E7F"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721770B4" w14:textId="77777777" w:rsidR="00C37E4E" w:rsidRPr="005F3E04" w:rsidRDefault="00C37E4E" w:rsidP="00C37E4E">
            <w:pPr>
              <w:pStyle w:val="TableText"/>
            </w:pPr>
            <w:r>
              <w:t>N</w:t>
            </w:r>
          </w:p>
        </w:tc>
        <w:tc>
          <w:tcPr>
            <w:tcW w:w="599" w:type="dxa"/>
            <w:tcBorders>
              <w:bottom w:val="single" w:sz="4" w:space="0" w:color="auto"/>
            </w:tcBorders>
            <w:shd w:val="clear" w:color="auto" w:fill="FFFFFF" w:themeFill="background1"/>
            <w:vAlign w:val="center"/>
          </w:tcPr>
          <w:p w14:paraId="084BB00A" w14:textId="77777777" w:rsidR="00C37E4E" w:rsidRPr="005F3E04" w:rsidRDefault="00C37E4E" w:rsidP="00C37E4E">
            <w:pPr>
              <w:pStyle w:val="TableText"/>
            </w:pPr>
            <w:r>
              <w:t>U</w:t>
            </w:r>
          </w:p>
        </w:tc>
        <w:tc>
          <w:tcPr>
            <w:tcW w:w="599" w:type="dxa"/>
            <w:tcBorders>
              <w:bottom w:val="single" w:sz="4" w:space="0" w:color="auto"/>
            </w:tcBorders>
            <w:shd w:val="clear" w:color="auto" w:fill="FFFFFF" w:themeFill="background1"/>
            <w:vAlign w:val="center"/>
          </w:tcPr>
          <w:p w14:paraId="5AAD32D8" w14:textId="77777777" w:rsidR="00C37E4E" w:rsidRPr="005F3E04" w:rsidRDefault="00C37E4E" w:rsidP="00C37E4E">
            <w:pPr>
              <w:pStyle w:val="TableText"/>
            </w:pPr>
            <w:r>
              <w:t>N</w:t>
            </w:r>
          </w:p>
        </w:tc>
        <w:tc>
          <w:tcPr>
            <w:tcW w:w="599" w:type="dxa"/>
            <w:tcBorders>
              <w:bottom w:val="single" w:sz="4" w:space="0" w:color="auto"/>
            </w:tcBorders>
            <w:shd w:val="clear" w:color="auto" w:fill="FFFFFF" w:themeFill="background1"/>
            <w:vAlign w:val="center"/>
          </w:tcPr>
          <w:p w14:paraId="41845FAF" w14:textId="77777777" w:rsidR="00C37E4E" w:rsidRPr="005F3E04" w:rsidRDefault="00C37E4E" w:rsidP="00C37E4E">
            <w:pPr>
              <w:pStyle w:val="TableText"/>
            </w:pPr>
            <w:r>
              <w:t>N</w:t>
            </w:r>
          </w:p>
        </w:tc>
        <w:tc>
          <w:tcPr>
            <w:tcW w:w="614" w:type="dxa"/>
            <w:tcBorders>
              <w:bottom w:val="single" w:sz="4" w:space="0" w:color="auto"/>
            </w:tcBorders>
            <w:shd w:val="clear" w:color="auto" w:fill="FFFFFF" w:themeFill="background1"/>
            <w:vAlign w:val="center"/>
          </w:tcPr>
          <w:p w14:paraId="0E57A6E7" w14:textId="77777777" w:rsidR="00C37E4E" w:rsidRPr="005F3E04" w:rsidRDefault="00C37E4E" w:rsidP="00C37E4E">
            <w:pPr>
              <w:pStyle w:val="TableText"/>
            </w:pPr>
            <w:r>
              <w:t>A</w:t>
            </w:r>
          </w:p>
        </w:tc>
        <w:tc>
          <w:tcPr>
            <w:tcW w:w="646" w:type="dxa"/>
            <w:tcBorders>
              <w:bottom w:val="single" w:sz="4" w:space="0" w:color="auto"/>
            </w:tcBorders>
            <w:shd w:val="clear" w:color="auto" w:fill="FFFFFF" w:themeFill="background1"/>
            <w:vAlign w:val="center"/>
          </w:tcPr>
          <w:p w14:paraId="53AA95BA" w14:textId="77777777" w:rsidR="00C37E4E" w:rsidRPr="005F3E04" w:rsidRDefault="00C37E4E" w:rsidP="00C37E4E">
            <w:pPr>
              <w:pStyle w:val="TableText"/>
            </w:pPr>
            <w:r>
              <w:t>UA</w:t>
            </w:r>
          </w:p>
        </w:tc>
        <w:tc>
          <w:tcPr>
            <w:tcW w:w="695" w:type="dxa"/>
            <w:tcBorders>
              <w:bottom w:val="single" w:sz="4" w:space="0" w:color="auto"/>
            </w:tcBorders>
            <w:shd w:val="clear" w:color="auto" w:fill="FFFFFF" w:themeFill="background1"/>
            <w:vAlign w:val="center"/>
          </w:tcPr>
          <w:p w14:paraId="523EE80C"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5258E847" w14:textId="77777777" w:rsidR="00C37E4E" w:rsidRPr="005F3E04" w:rsidRDefault="00C37E4E" w:rsidP="00C37E4E">
            <w:pPr>
              <w:pStyle w:val="TableText"/>
            </w:pPr>
          </w:p>
        </w:tc>
        <w:tc>
          <w:tcPr>
            <w:tcW w:w="688" w:type="dxa"/>
            <w:tcBorders>
              <w:bottom w:val="single" w:sz="4" w:space="0" w:color="auto"/>
            </w:tcBorders>
            <w:shd w:val="clear" w:color="auto" w:fill="FFFFFF" w:themeFill="background1"/>
            <w:vAlign w:val="center"/>
          </w:tcPr>
          <w:p w14:paraId="37D3D66B"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54D58C8E" w14:textId="77777777" w:rsidR="00C37E4E" w:rsidRPr="005F3E04" w:rsidRDefault="00C37E4E" w:rsidP="00C37E4E">
            <w:pPr>
              <w:pStyle w:val="TableText"/>
            </w:pPr>
          </w:p>
        </w:tc>
        <w:tc>
          <w:tcPr>
            <w:tcW w:w="663" w:type="dxa"/>
            <w:tcBorders>
              <w:bottom w:val="single" w:sz="4" w:space="0" w:color="auto"/>
            </w:tcBorders>
            <w:shd w:val="clear" w:color="auto" w:fill="FFFFFF" w:themeFill="background1"/>
            <w:vAlign w:val="center"/>
          </w:tcPr>
          <w:p w14:paraId="1F7DFA94"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3F02D52F" w14:textId="77777777" w:rsidR="00C37E4E" w:rsidRPr="005F3E04" w:rsidRDefault="00C37E4E" w:rsidP="00C37E4E">
            <w:pPr>
              <w:jc w:val="center"/>
              <w:rPr>
                <w:rFonts w:ascii="Franklin Gothic Book" w:hAnsi="Franklin Gothic Book"/>
                <w:sz w:val="16"/>
                <w:szCs w:val="16"/>
              </w:rPr>
            </w:pPr>
          </w:p>
        </w:tc>
      </w:tr>
      <w:tr w:rsidR="00C37E4E" w14:paraId="152DAB1C" w14:textId="77777777" w:rsidTr="00236A57">
        <w:trPr>
          <w:trHeight w:val="20"/>
          <w:jc w:val="center"/>
        </w:trPr>
        <w:tc>
          <w:tcPr>
            <w:tcW w:w="1016" w:type="dxa"/>
            <w:tcBorders>
              <w:left w:val="nil"/>
            </w:tcBorders>
            <w:shd w:val="clear" w:color="auto" w:fill="FFFFFF" w:themeFill="background1"/>
            <w:vAlign w:val="center"/>
          </w:tcPr>
          <w:p w14:paraId="61236F06" w14:textId="77777777" w:rsidR="00C37E4E" w:rsidRPr="005F3E04" w:rsidRDefault="00C37E4E" w:rsidP="00C37E4E">
            <w:pPr>
              <w:pStyle w:val="TableText"/>
            </w:pPr>
            <w:r>
              <w:t>Mariposa</w:t>
            </w:r>
          </w:p>
        </w:tc>
        <w:tc>
          <w:tcPr>
            <w:tcW w:w="620" w:type="dxa"/>
            <w:shd w:val="clear" w:color="auto" w:fill="FFFFFF" w:themeFill="background1"/>
            <w:vAlign w:val="center"/>
          </w:tcPr>
          <w:p w14:paraId="276717AB" w14:textId="77777777" w:rsidR="00C37E4E" w:rsidRPr="005F3E04" w:rsidRDefault="00C37E4E" w:rsidP="00C37E4E">
            <w:pPr>
              <w:pStyle w:val="TableText"/>
            </w:pPr>
            <w:r>
              <w:t>N</w:t>
            </w:r>
          </w:p>
        </w:tc>
        <w:tc>
          <w:tcPr>
            <w:tcW w:w="665" w:type="dxa"/>
            <w:shd w:val="clear" w:color="auto" w:fill="FFFFFF" w:themeFill="background1"/>
            <w:vAlign w:val="center"/>
          </w:tcPr>
          <w:p w14:paraId="3903B079" w14:textId="77777777" w:rsidR="00C37E4E" w:rsidRPr="005F3E04" w:rsidRDefault="00C37E4E" w:rsidP="00C37E4E">
            <w:pPr>
              <w:pStyle w:val="TableText"/>
            </w:pPr>
            <w:r>
              <w:t>N</w:t>
            </w:r>
          </w:p>
        </w:tc>
        <w:tc>
          <w:tcPr>
            <w:tcW w:w="600" w:type="dxa"/>
            <w:shd w:val="clear" w:color="auto" w:fill="FFFFFF" w:themeFill="background1"/>
            <w:vAlign w:val="center"/>
          </w:tcPr>
          <w:p w14:paraId="5D95D205" w14:textId="77777777" w:rsidR="00C37E4E" w:rsidRPr="005F3E04" w:rsidRDefault="00C37E4E" w:rsidP="00C37E4E">
            <w:pPr>
              <w:pStyle w:val="TableText"/>
            </w:pPr>
            <w:r>
              <w:t>U</w:t>
            </w:r>
          </w:p>
        </w:tc>
        <w:tc>
          <w:tcPr>
            <w:tcW w:w="600" w:type="dxa"/>
            <w:shd w:val="clear" w:color="auto" w:fill="FFFFFF" w:themeFill="background1"/>
            <w:vAlign w:val="center"/>
          </w:tcPr>
          <w:p w14:paraId="57A6EF45" w14:textId="77777777" w:rsidR="00C37E4E" w:rsidRPr="005F3E04" w:rsidRDefault="00C37E4E" w:rsidP="00C37E4E">
            <w:pPr>
              <w:pStyle w:val="TableText"/>
            </w:pPr>
            <w:r>
              <w:t>UA</w:t>
            </w:r>
          </w:p>
        </w:tc>
        <w:tc>
          <w:tcPr>
            <w:tcW w:w="600" w:type="dxa"/>
            <w:shd w:val="clear" w:color="auto" w:fill="FFFFFF" w:themeFill="background1"/>
            <w:vAlign w:val="center"/>
          </w:tcPr>
          <w:p w14:paraId="3A3601A9" w14:textId="77777777" w:rsidR="00C37E4E" w:rsidRPr="005F3E04" w:rsidRDefault="00C37E4E" w:rsidP="00C37E4E">
            <w:pPr>
              <w:pStyle w:val="TableText"/>
            </w:pPr>
            <w:r>
              <w:t>A</w:t>
            </w:r>
          </w:p>
        </w:tc>
        <w:tc>
          <w:tcPr>
            <w:tcW w:w="600" w:type="dxa"/>
            <w:shd w:val="clear" w:color="auto" w:fill="FFFFFF" w:themeFill="background1"/>
            <w:vAlign w:val="center"/>
          </w:tcPr>
          <w:p w14:paraId="44EA70D5" w14:textId="77777777" w:rsidR="00C37E4E" w:rsidRPr="005F3E04" w:rsidRDefault="00C37E4E" w:rsidP="00C37E4E">
            <w:pPr>
              <w:pStyle w:val="TableText"/>
            </w:pPr>
            <w:r>
              <w:t>UA</w:t>
            </w:r>
          </w:p>
        </w:tc>
        <w:tc>
          <w:tcPr>
            <w:tcW w:w="599" w:type="dxa"/>
            <w:shd w:val="clear" w:color="auto" w:fill="FFFFFF" w:themeFill="background1"/>
            <w:vAlign w:val="center"/>
          </w:tcPr>
          <w:p w14:paraId="70F77D4F" w14:textId="77777777" w:rsidR="00C37E4E" w:rsidRPr="005F3E04" w:rsidRDefault="00C37E4E" w:rsidP="00C37E4E">
            <w:pPr>
              <w:pStyle w:val="TableText"/>
            </w:pPr>
            <w:r>
              <w:t>A</w:t>
            </w:r>
          </w:p>
        </w:tc>
        <w:tc>
          <w:tcPr>
            <w:tcW w:w="599" w:type="dxa"/>
            <w:shd w:val="clear" w:color="auto" w:fill="FFFFFF" w:themeFill="background1"/>
            <w:vAlign w:val="center"/>
          </w:tcPr>
          <w:p w14:paraId="618F290C" w14:textId="77777777" w:rsidR="00C37E4E" w:rsidRPr="005F3E04" w:rsidRDefault="00C37E4E" w:rsidP="00C37E4E">
            <w:pPr>
              <w:pStyle w:val="TableText"/>
            </w:pPr>
            <w:r>
              <w:t>UA</w:t>
            </w:r>
          </w:p>
        </w:tc>
        <w:tc>
          <w:tcPr>
            <w:tcW w:w="599" w:type="dxa"/>
            <w:shd w:val="clear" w:color="auto" w:fill="FFFFFF" w:themeFill="background1"/>
            <w:vAlign w:val="center"/>
          </w:tcPr>
          <w:p w14:paraId="4C269A2F" w14:textId="77777777" w:rsidR="00C37E4E" w:rsidRPr="005F3E04" w:rsidRDefault="00C37E4E" w:rsidP="00C37E4E">
            <w:pPr>
              <w:pStyle w:val="TableText"/>
            </w:pPr>
            <w:r>
              <w:t>U</w:t>
            </w:r>
          </w:p>
        </w:tc>
        <w:tc>
          <w:tcPr>
            <w:tcW w:w="599" w:type="dxa"/>
            <w:shd w:val="clear" w:color="auto" w:fill="FFFFFF" w:themeFill="background1"/>
            <w:vAlign w:val="center"/>
          </w:tcPr>
          <w:p w14:paraId="7FF5DB55" w14:textId="77777777" w:rsidR="00C37E4E" w:rsidRPr="005F3E04" w:rsidRDefault="00C37E4E" w:rsidP="00C37E4E">
            <w:pPr>
              <w:pStyle w:val="TableText"/>
            </w:pPr>
            <w:r>
              <w:t>U</w:t>
            </w:r>
          </w:p>
        </w:tc>
        <w:tc>
          <w:tcPr>
            <w:tcW w:w="599" w:type="dxa"/>
            <w:shd w:val="clear" w:color="auto" w:fill="FFFFFF" w:themeFill="background1"/>
            <w:vAlign w:val="center"/>
          </w:tcPr>
          <w:p w14:paraId="15EC390D" w14:textId="77777777" w:rsidR="00C37E4E" w:rsidRPr="005F3E04" w:rsidRDefault="00C37E4E" w:rsidP="00C37E4E">
            <w:pPr>
              <w:pStyle w:val="TableText"/>
            </w:pPr>
            <w:r>
              <w:t>U</w:t>
            </w:r>
          </w:p>
        </w:tc>
        <w:tc>
          <w:tcPr>
            <w:tcW w:w="599" w:type="dxa"/>
            <w:shd w:val="clear" w:color="auto" w:fill="FFFFFF" w:themeFill="background1"/>
            <w:vAlign w:val="center"/>
          </w:tcPr>
          <w:p w14:paraId="2255743A" w14:textId="77777777" w:rsidR="00C37E4E" w:rsidRPr="005F3E04" w:rsidRDefault="00C37E4E" w:rsidP="00C37E4E">
            <w:pPr>
              <w:pStyle w:val="TableText"/>
            </w:pPr>
            <w:r>
              <w:t>UA</w:t>
            </w:r>
          </w:p>
        </w:tc>
        <w:tc>
          <w:tcPr>
            <w:tcW w:w="614" w:type="dxa"/>
            <w:shd w:val="clear" w:color="auto" w:fill="FFFFFF" w:themeFill="background1"/>
            <w:vAlign w:val="center"/>
          </w:tcPr>
          <w:p w14:paraId="43589A01" w14:textId="77777777" w:rsidR="00C37E4E" w:rsidRPr="005F3E04" w:rsidRDefault="00C37E4E" w:rsidP="00C37E4E">
            <w:pPr>
              <w:pStyle w:val="TableText"/>
            </w:pPr>
            <w:r>
              <w:t>A</w:t>
            </w:r>
          </w:p>
        </w:tc>
        <w:tc>
          <w:tcPr>
            <w:tcW w:w="646" w:type="dxa"/>
            <w:shd w:val="clear" w:color="auto" w:fill="FFFFFF" w:themeFill="background1"/>
            <w:vAlign w:val="center"/>
          </w:tcPr>
          <w:p w14:paraId="3918F666" w14:textId="77777777" w:rsidR="00C37E4E" w:rsidRPr="005F3E04" w:rsidRDefault="00C37E4E" w:rsidP="00C37E4E">
            <w:pPr>
              <w:pStyle w:val="TableText"/>
            </w:pPr>
            <w:r>
              <w:t>UA</w:t>
            </w:r>
          </w:p>
        </w:tc>
        <w:tc>
          <w:tcPr>
            <w:tcW w:w="695" w:type="dxa"/>
            <w:shd w:val="clear" w:color="auto" w:fill="FFFFFF" w:themeFill="background1"/>
            <w:vAlign w:val="center"/>
          </w:tcPr>
          <w:p w14:paraId="0DB17F53"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6D6E4594" w14:textId="77777777" w:rsidR="00C37E4E" w:rsidRPr="005F3E04" w:rsidRDefault="00C37E4E" w:rsidP="00C37E4E">
            <w:pPr>
              <w:pStyle w:val="TableText"/>
            </w:pPr>
          </w:p>
        </w:tc>
        <w:tc>
          <w:tcPr>
            <w:tcW w:w="688" w:type="dxa"/>
            <w:shd w:val="clear" w:color="auto" w:fill="FFFFFF" w:themeFill="background1"/>
            <w:vAlign w:val="center"/>
          </w:tcPr>
          <w:p w14:paraId="3A7021F9"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7AD413D0" w14:textId="77777777" w:rsidR="00C37E4E" w:rsidRPr="005F3E04" w:rsidRDefault="00C37E4E" w:rsidP="00C37E4E">
            <w:pPr>
              <w:pStyle w:val="TableText"/>
            </w:pPr>
          </w:p>
        </w:tc>
        <w:tc>
          <w:tcPr>
            <w:tcW w:w="663" w:type="dxa"/>
            <w:shd w:val="clear" w:color="auto" w:fill="FFFFFF" w:themeFill="background1"/>
            <w:vAlign w:val="center"/>
          </w:tcPr>
          <w:p w14:paraId="350901E8"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359AF820" w14:textId="77777777" w:rsidR="00C37E4E" w:rsidRPr="005F3E04" w:rsidRDefault="00C37E4E" w:rsidP="00C37E4E">
            <w:pPr>
              <w:jc w:val="center"/>
              <w:rPr>
                <w:rFonts w:ascii="Franklin Gothic Book" w:hAnsi="Franklin Gothic Book"/>
                <w:sz w:val="16"/>
                <w:szCs w:val="16"/>
              </w:rPr>
            </w:pPr>
          </w:p>
        </w:tc>
      </w:tr>
      <w:tr w:rsidR="00C37E4E" w14:paraId="6A21814E" w14:textId="77777777" w:rsidTr="00236A57">
        <w:trPr>
          <w:trHeight w:val="20"/>
          <w:jc w:val="center"/>
        </w:trPr>
        <w:tc>
          <w:tcPr>
            <w:tcW w:w="1016" w:type="dxa"/>
            <w:tcBorders>
              <w:left w:val="nil"/>
              <w:bottom w:val="single" w:sz="4" w:space="0" w:color="auto"/>
            </w:tcBorders>
            <w:shd w:val="clear" w:color="auto" w:fill="FFFFFF" w:themeFill="background1"/>
            <w:vAlign w:val="center"/>
          </w:tcPr>
          <w:p w14:paraId="140A0F97" w14:textId="77777777" w:rsidR="00C37E4E" w:rsidRPr="005F3E04" w:rsidRDefault="00C37E4E" w:rsidP="00C37E4E">
            <w:pPr>
              <w:pStyle w:val="TableText"/>
            </w:pPr>
            <w:r>
              <w:t>Mendocino</w:t>
            </w:r>
          </w:p>
        </w:tc>
        <w:tc>
          <w:tcPr>
            <w:tcW w:w="620" w:type="dxa"/>
            <w:tcBorders>
              <w:bottom w:val="single" w:sz="4" w:space="0" w:color="auto"/>
            </w:tcBorders>
            <w:shd w:val="clear" w:color="auto" w:fill="FFFFFF" w:themeFill="background1"/>
            <w:vAlign w:val="center"/>
          </w:tcPr>
          <w:p w14:paraId="6104D318" w14:textId="77777777" w:rsidR="00C37E4E" w:rsidRPr="005F3E04" w:rsidRDefault="00C37E4E" w:rsidP="00C37E4E">
            <w:pPr>
              <w:pStyle w:val="TableText"/>
            </w:pPr>
            <w:r>
              <w:t>A</w:t>
            </w:r>
          </w:p>
        </w:tc>
        <w:tc>
          <w:tcPr>
            <w:tcW w:w="665" w:type="dxa"/>
            <w:tcBorders>
              <w:bottom w:val="single" w:sz="4" w:space="0" w:color="auto"/>
            </w:tcBorders>
            <w:shd w:val="clear" w:color="auto" w:fill="FFFFFF" w:themeFill="background1"/>
            <w:vAlign w:val="center"/>
          </w:tcPr>
          <w:p w14:paraId="11232540" w14:textId="77777777" w:rsidR="00C37E4E" w:rsidRPr="005F3E04" w:rsidRDefault="00C37E4E" w:rsidP="00C37E4E">
            <w:pPr>
              <w:pStyle w:val="TableText"/>
            </w:pPr>
            <w:r>
              <w:t>AU</w:t>
            </w:r>
          </w:p>
        </w:tc>
        <w:tc>
          <w:tcPr>
            <w:tcW w:w="600" w:type="dxa"/>
            <w:tcBorders>
              <w:bottom w:val="single" w:sz="4" w:space="0" w:color="auto"/>
            </w:tcBorders>
            <w:shd w:val="clear" w:color="auto" w:fill="FFFFFF" w:themeFill="background1"/>
            <w:vAlign w:val="center"/>
          </w:tcPr>
          <w:p w14:paraId="0C58C073" w14:textId="77777777" w:rsidR="00C37E4E" w:rsidRPr="005F3E04" w:rsidRDefault="00C37E4E" w:rsidP="00C37E4E">
            <w:pPr>
              <w:pStyle w:val="TableText"/>
            </w:pPr>
            <w:r>
              <w:t>U</w:t>
            </w:r>
          </w:p>
        </w:tc>
        <w:tc>
          <w:tcPr>
            <w:tcW w:w="600" w:type="dxa"/>
            <w:tcBorders>
              <w:bottom w:val="single" w:sz="4" w:space="0" w:color="auto"/>
            </w:tcBorders>
            <w:shd w:val="clear" w:color="auto" w:fill="FFFFFF" w:themeFill="background1"/>
            <w:vAlign w:val="center"/>
          </w:tcPr>
          <w:p w14:paraId="43DBB818" w14:textId="77777777" w:rsidR="00C37E4E" w:rsidRPr="005F3E04" w:rsidRDefault="00C37E4E" w:rsidP="00C37E4E">
            <w:pPr>
              <w:pStyle w:val="TableText"/>
            </w:pPr>
            <w:r>
              <w:t>UA</w:t>
            </w:r>
          </w:p>
        </w:tc>
        <w:tc>
          <w:tcPr>
            <w:tcW w:w="600" w:type="dxa"/>
            <w:tcBorders>
              <w:bottom w:val="single" w:sz="4" w:space="0" w:color="auto"/>
            </w:tcBorders>
            <w:shd w:val="clear" w:color="auto" w:fill="FFFFFF" w:themeFill="background1"/>
            <w:vAlign w:val="center"/>
          </w:tcPr>
          <w:p w14:paraId="5F325306"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28A7F302"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4E2267CC"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18F4CF4F"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02C1C725" w14:textId="77777777" w:rsidR="00C37E4E" w:rsidRPr="005F3E04" w:rsidRDefault="00C37E4E" w:rsidP="00C37E4E">
            <w:pPr>
              <w:pStyle w:val="TableText"/>
            </w:pPr>
            <w:r>
              <w:t>N</w:t>
            </w:r>
          </w:p>
        </w:tc>
        <w:tc>
          <w:tcPr>
            <w:tcW w:w="599" w:type="dxa"/>
            <w:tcBorders>
              <w:bottom w:val="single" w:sz="4" w:space="0" w:color="auto"/>
            </w:tcBorders>
            <w:shd w:val="clear" w:color="auto" w:fill="FFFFFF" w:themeFill="background1"/>
            <w:vAlign w:val="center"/>
          </w:tcPr>
          <w:p w14:paraId="5F0187D1" w14:textId="77777777" w:rsidR="00C37E4E" w:rsidRPr="005F3E04" w:rsidRDefault="00C37E4E" w:rsidP="00C37E4E">
            <w:pPr>
              <w:pStyle w:val="TableText"/>
            </w:pPr>
            <w:r>
              <w:t>U</w:t>
            </w:r>
          </w:p>
        </w:tc>
        <w:tc>
          <w:tcPr>
            <w:tcW w:w="599" w:type="dxa"/>
            <w:tcBorders>
              <w:bottom w:val="single" w:sz="4" w:space="0" w:color="auto"/>
            </w:tcBorders>
            <w:shd w:val="clear" w:color="auto" w:fill="FFFFFF" w:themeFill="background1"/>
            <w:vAlign w:val="center"/>
          </w:tcPr>
          <w:p w14:paraId="58C451AA"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7E7DD772" w14:textId="77777777" w:rsidR="00C37E4E" w:rsidRPr="005F3E04" w:rsidRDefault="00C37E4E" w:rsidP="00C37E4E">
            <w:pPr>
              <w:pStyle w:val="TableText"/>
            </w:pPr>
            <w:r>
              <w:t>UA</w:t>
            </w:r>
          </w:p>
        </w:tc>
        <w:tc>
          <w:tcPr>
            <w:tcW w:w="614" w:type="dxa"/>
            <w:tcBorders>
              <w:bottom w:val="single" w:sz="4" w:space="0" w:color="auto"/>
            </w:tcBorders>
            <w:shd w:val="clear" w:color="auto" w:fill="FFFFFF" w:themeFill="background1"/>
            <w:vAlign w:val="center"/>
          </w:tcPr>
          <w:p w14:paraId="3CBF37CF" w14:textId="77777777" w:rsidR="00C37E4E" w:rsidRPr="005F3E04" w:rsidRDefault="00C37E4E" w:rsidP="00C37E4E">
            <w:pPr>
              <w:pStyle w:val="TableText"/>
            </w:pPr>
            <w:r>
              <w:t>A</w:t>
            </w:r>
          </w:p>
        </w:tc>
        <w:tc>
          <w:tcPr>
            <w:tcW w:w="646" w:type="dxa"/>
            <w:tcBorders>
              <w:bottom w:val="single" w:sz="4" w:space="0" w:color="auto"/>
            </w:tcBorders>
            <w:shd w:val="clear" w:color="auto" w:fill="FFFFFF" w:themeFill="background1"/>
            <w:vAlign w:val="center"/>
          </w:tcPr>
          <w:p w14:paraId="0ECCE2BC" w14:textId="77777777" w:rsidR="00C37E4E" w:rsidRPr="005F3E04" w:rsidRDefault="00C37E4E" w:rsidP="00C37E4E">
            <w:pPr>
              <w:pStyle w:val="TableText"/>
            </w:pPr>
            <w:r>
              <w:t>UA</w:t>
            </w:r>
          </w:p>
        </w:tc>
        <w:tc>
          <w:tcPr>
            <w:tcW w:w="695" w:type="dxa"/>
            <w:tcBorders>
              <w:bottom w:val="single" w:sz="4" w:space="0" w:color="auto"/>
            </w:tcBorders>
            <w:shd w:val="clear" w:color="auto" w:fill="FFFFFF" w:themeFill="background1"/>
            <w:vAlign w:val="center"/>
          </w:tcPr>
          <w:p w14:paraId="6522F44D"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09031C0C" w14:textId="77777777" w:rsidR="00C37E4E" w:rsidRPr="005F3E04" w:rsidRDefault="00C37E4E" w:rsidP="00C37E4E">
            <w:pPr>
              <w:pStyle w:val="TableText"/>
            </w:pPr>
          </w:p>
        </w:tc>
        <w:tc>
          <w:tcPr>
            <w:tcW w:w="688" w:type="dxa"/>
            <w:tcBorders>
              <w:bottom w:val="single" w:sz="4" w:space="0" w:color="auto"/>
            </w:tcBorders>
            <w:shd w:val="clear" w:color="auto" w:fill="FFFFFF" w:themeFill="background1"/>
            <w:vAlign w:val="center"/>
          </w:tcPr>
          <w:p w14:paraId="5757A551"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586DEDAA" w14:textId="77777777" w:rsidR="00C37E4E" w:rsidRPr="005F3E04" w:rsidRDefault="00C37E4E" w:rsidP="00C37E4E">
            <w:pPr>
              <w:pStyle w:val="TableText"/>
            </w:pPr>
          </w:p>
        </w:tc>
        <w:tc>
          <w:tcPr>
            <w:tcW w:w="663" w:type="dxa"/>
            <w:tcBorders>
              <w:bottom w:val="single" w:sz="4" w:space="0" w:color="auto"/>
            </w:tcBorders>
            <w:shd w:val="clear" w:color="auto" w:fill="FFFFFF" w:themeFill="background1"/>
            <w:vAlign w:val="center"/>
          </w:tcPr>
          <w:p w14:paraId="0C43796A"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13958524" w14:textId="77777777" w:rsidR="00C37E4E" w:rsidRPr="005F3E04" w:rsidRDefault="00C37E4E" w:rsidP="00C37E4E">
            <w:pPr>
              <w:jc w:val="center"/>
              <w:rPr>
                <w:rFonts w:ascii="Franklin Gothic Book" w:hAnsi="Franklin Gothic Book"/>
                <w:sz w:val="16"/>
                <w:szCs w:val="16"/>
              </w:rPr>
            </w:pPr>
          </w:p>
        </w:tc>
      </w:tr>
      <w:tr w:rsidR="00C37E4E" w14:paraId="77D528A6" w14:textId="77777777" w:rsidTr="00236A57">
        <w:trPr>
          <w:trHeight w:val="20"/>
          <w:jc w:val="center"/>
        </w:trPr>
        <w:tc>
          <w:tcPr>
            <w:tcW w:w="1016" w:type="dxa"/>
            <w:tcBorders>
              <w:left w:val="nil"/>
            </w:tcBorders>
            <w:shd w:val="clear" w:color="auto" w:fill="FFFFFF" w:themeFill="background1"/>
            <w:vAlign w:val="center"/>
          </w:tcPr>
          <w:p w14:paraId="226A7543" w14:textId="77777777" w:rsidR="00C37E4E" w:rsidRPr="005F3E04" w:rsidRDefault="00C37E4E" w:rsidP="00C37E4E">
            <w:pPr>
              <w:pStyle w:val="TableText"/>
            </w:pPr>
            <w:r>
              <w:t>Merced</w:t>
            </w:r>
          </w:p>
        </w:tc>
        <w:tc>
          <w:tcPr>
            <w:tcW w:w="620" w:type="dxa"/>
            <w:shd w:val="clear" w:color="auto" w:fill="FFFFFF" w:themeFill="background1"/>
            <w:vAlign w:val="center"/>
          </w:tcPr>
          <w:p w14:paraId="692162B4" w14:textId="77777777" w:rsidR="00C37E4E" w:rsidRPr="005F3E04" w:rsidRDefault="00C37E4E" w:rsidP="00C37E4E">
            <w:pPr>
              <w:pStyle w:val="TableText"/>
            </w:pPr>
            <w:r>
              <w:t>N</w:t>
            </w:r>
          </w:p>
        </w:tc>
        <w:tc>
          <w:tcPr>
            <w:tcW w:w="665" w:type="dxa"/>
            <w:shd w:val="clear" w:color="auto" w:fill="FFFFFF" w:themeFill="background1"/>
            <w:vAlign w:val="center"/>
          </w:tcPr>
          <w:p w14:paraId="40D48BA7" w14:textId="77777777" w:rsidR="00C37E4E" w:rsidRPr="005F3E04" w:rsidRDefault="00C37E4E" w:rsidP="00C37E4E">
            <w:pPr>
              <w:pStyle w:val="TableText"/>
            </w:pPr>
            <w:r>
              <w:t>N</w:t>
            </w:r>
          </w:p>
        </w:tc>
        <w:tc>
          <w:tcPr>
            <w:tcW w:w="600" w:type="dxa"/>
            <w:shd w:val="clear" w:color="auto" w:fill="FFFFFF" w:themeFill="background1"/>
            <w:vAlign w:val="center"/>
          </w:tcPr>
          <w:p w14:paraId="34FE4D9A" w14:textId="77777777" w:rsidR="00C37E4E" w:rsidRPr="005F3E04" w:rsidRDefault="00C37E4E" w:rsidP="00C37E4E">
            <w:pPr>
              <w:pStyle w:val="TableText"/>
            </w:pPr>
            <w:r>
              <w:t>A</w:t>
            </w:r>
          </w:p>
        </w:tc>
        <w:tc>
          <w:tcPr>
            <w:tcW w:w="600" w:type="dxa"/>
            <w:shd w:val="clear" w:color="auto" w:fill="FFFFFF" w:themeFill="background1"/>
            <w:vAlign w:val="center"/>
          </w:tcPr>
          <w:p w14:paraId="1AF3CECF" w14:textId="77777777" w:rsidR="00C37E4E" w:rsidRPr="005F3E04" w:rsidRDefault="00C37E4E" w:rsidP="00C37E4E">
            <w:pPr>
              <w:pStyle w:val="TableText"/>
            </w:pPr>
            <w:r>
              <w:t>UA</w:t>
            </w:r>
          </w:p>
        </w:tc>
        <w:tc>
          <w:tcPr>
            <w:tcW w:w="600" w:type="dxa"/>
            <w:shd w:val="clear" w:color="auto" w:fill="FFFFFF" w:themeFill="background1"/>
            <w:vAlign w:val="center"/>
          </w:tcPr>
          <w:p w14:paraId="1651A814" w14:textId="77777777" w:rsidR="00C37E4E" w:rsidRPr="005F3E04" w:rsidRDefault="00C37E4E" w:rsidP="00C37E4E">
            <w:pPr>
              <w:pStyle w:val="TableText"/>
            </w:pPr>
            <w:r>
              <w:t>A</w:t>
            </w:r>
          </w:p>
        </w:tc>
        <w:tc>
          <w:tcPr>
            <w:tcW w:w="600" w:type="dxa"/>
            <w:shd w:val="clear" w:color="auto" w:fill="FFFFFF" w:themeFill="background1"/>
            <w:vAlign w:val="center"/>
          </w:tcPr>
          <w:p w14:paraId="55A9C8AD" w14:textId="77777777" w:rsidR="00C37E4E" w:rsidRPr="005F3E04" w:rsidRDefault="00C37E4E" w:rsidP="00C37E4E">
            <w:pPr>
              <w:pStyle w:val="TableText"/>
            </w:pPr>
            <w:r>
              <w:t>UA</w:t>
            </w:r>
          </w:p>
        </w:tc>
        <w:tc>
          <w:tcPr>
            <w:tcW w:w="599" w:type="dxa"/>
            <w:shd w:val="clear" w:color="auto" w:fill="FFFFFF" w:themeFill="background1"/>
            <w:vAlign w:val="center"/>
          </w:tcPr>
          <w:p w14:paraId="6D8484A3" w14:textId="77777777" w:rsidR="00C37E4E" w:rsidRPr="005F3E04" w:rsidRDefault="00C37E4E" w:rsidP="00C37E4E">
            <w:pPr>
              <w:pStyle w:val="TableText"/>
            </w:pPr>
            <w:r>
              <w:t>A</w:t>
            </w:r>
          </w:p>
        </w:tc>
        <w:tc>
          <w:tcPr>
            <w:tcW w:w="599" w:type="dxa"/>
            <w:shd w:val="clear" w:color="auto" w:fill="FFFFFF" w:themeFill="background1"/>
            <w:vAlign w:val="center"/>
          </w:tcPr>
          <w:p w14:paraId="0FE161B8" w14:textId="77777777" w:rsidR="00C37E4E" w:rsidRPr="005F3E04" w:rsidRDefault="00C37E4E" w:rsidP="00C37E4E">
            <w:pPr>
              <w:pStyle w:val="TableText"/>
            </w:pPr>
            <w:r>
              <w:t>UA</w:t>
            </w:r>
          </w:p>
        </w:tc>
        <w:tc>
          <w:tcPr>
            <w:tcW w:w="599" w:type="dxa"/>
            <w:shd w:val="clear" w:color="auto" w:fill="FFFFFF" w:themeFill="background1"/>
            <w:vAlign w:val="center"/>
          </w:tcPr>
          <w:p w14:paraId="546E971A" w14:textId="77777777" w:rsidR="00C37E4E" w:rsidRPr="005F3E04" w:rsidRDefault="00C37E4E" w:rsidP="00C37E4E">
            <w:pPr>
              <w:pStyle w:val="TableText"/>
            </w:pPr>
            <w:r>
              <w:t>N</w:t>
            </w:r>
          </w:p>
        </w:tc>
        <w:tc>
          <w:tcPr>
            <w:tcW w:w="599" w:type="dxa"/>
            <w:shd w:val="clear" w:color="auto" w:fill="FFFFFF" w:themeFill="background1"/>
            <w:vAlign w:val="center"/>
          </w:tcPr>
          <w:p w14:paraId="31A79052" w14:textId="77777777" w:rsidR="00C37E4E" w:rsidRPr="005F3E04" w:rsidRDefault="00C37E4E" w:rsidP="00C37E4E">
            <w:pPr>
              <w:pStyle w:val="TableText"/>
            </w:pPr>
            <w:r>
              <w:t>A</w:t>
            </w:r>
          </w:p>
        </w:tc>
        <w:tc>
          <w:tcPr>
            <w:tcW w:w="599" w:type="dxa"/>
            <w:shd w:val="clear" w:color="auto" w:fill="FFFFFF" w:themeFill="background1"/>
            <w:vAlign w:val="center"/>
          </w:tcPr>
          <w:p w14:paraId="04586565" w14:textId="77777777" w:rsidR="00C37E4E" w:rsidRPr="005F3E04" w:rsidRDefault="00C37E4E" w:rsidP="00C37E4E">
            <w:pPr>
              <w:pStyle w:val="TableText"/>
            </w:pPr>
            <w:r>
              <w:t>N</w:t>
            </w:r>
          </w:p>
        </w:tc>
        <w:tc>
          <w:tcPr>
            <w:tcW w:w="599" w:type="dxa"/>
            <w:shd w:val="clear" w:color="auto" w:fill="FFFFFF" w:themeFill="background1"/>
            <w:vAlign w:val="center"/>
          </w:tcPr>
          <w:p w14:paraId="4E3691BB" w14:textId="77777777" w:rsidR="00C37E4E" w:rsidRPr="005F3E04" w:rsidRDefault="00C37E4E" w:rsidP="00C37E4E">
            <w:pPr>
              <w:pStyle w:val="TableText"/>
            </w:pPr>
            <w:r>
              <w:t>N</w:t>
            </w:r>
          </w:p>
        </w:tc>
        <w:tc>
          <w:tcPr>
            <w:tcW w:w="614" w:type="dxa"/>
            <w:shd w:val="clear" w:color="auto" w:fill="FFFFFF" w:themeFill="background1"/>
            <w:vAlign w:val="center"/>
          </w:tcPr>
          <w:p w14:paraId="1E819C0F" w14:textId="77777777" w:rsidR="00C37E4E" w:rsidRPr="005F3E04" w:rsidRDefault="00C37E4E" w:rsidP="00C37E4E">
            <w:pPr>
              <w:pStyle w:val="TableText"/>
            </w:pPr>
            <w:r>
              <w:t>A</w:t>
            </w:r>
          </w:p>
        </w:tc>
        <w:tc>
          <w:tcPr>
            <w:tcW w:w="646" w:type="dxa"/>
            <w:shd w:val="clear" w:color="auto" w:fill="FFFFFF" w:themeFill="background1"/>
            <w:vAlign w:val="center"/>
          </w:tcPr>
          <w:p w14:paraId="6D4CBF37" w14:textId="77777777" w:rsidR="00C37E4E" w:rsidRPr="005F3E04" w:rsidRDefault="00C37E4E" w:rsidP="00C37E4E">
            <w:pPr>
              <w:pStyle w:val="TableText"/>
            </w:pPr>
            <w:r>
              <w:t>UA</w:t>
            </w:r>
          </w:p>
        </w:tc>
        <w:tc>
          <w:tcPr>
            <w:tcW w:w="695" w:type="dxa"/>
            <w:shd w:val="clear" w:color="auto" w:fill="FFFFFF" w:themeFill="background1"/>
            <w:vAlign w:val="center"/>
          </w:tcPr>
          <w:p w14:paraId="3450A408"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14B194E9" w14:textId="77777777" w:rsidR="00C37E4E" w:rsidRPr="005F3E04" w:rsidRDefault="00C37E4E" w:rsidP="00C37E4E">
            <w:pPr>
              <w:pStyle w:val="TableText"/>
            </w:pPr>
          </w:p>
        </w:tc>
        <w:tc>
          <w:tcPr>
            <w:tcW w:w="688" w:type="dxa"/>
            <w:shd w:val="clear" w:color="auto" w:fill="FFFFFF" w:themeFill="background1"/>
            <w:vAlign w:val="center"/>
          </w:tcPr>
          <w:p w14:paraId="7BAA657D"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53046B1D" w14:textId="77777777" w:rsidR="00C37E4E" w:rsidRPr="005F3E04" w:rsidRDefault="00C37E4E" w:rsidP="00C37E4E">
            <w:pPr>
              <w:pStyle w:val="TableText"/>
            </w:pPr>
          </w:p>
        </w:tc>
        <w:tc>
          <w:tcPr>
            <w:tcW w:w="663" w:type="dxa"/>
            <w:shd w:val="clear" w:color="auto" w:fill="FFFFFF" w:themeFill="background1"/>
            <w:vAlign w:val="center"/>
          </w:tcPr>
          <w:p w14:paraId="6B8E175E"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45235733" w14:textId="77777777" w:rsidR="00C37E4E" w:rsidRPr="005F3E04" w:rsidRDefault="00C37E4E" w:rsidP="00C37E4E">
            <w:pPr>
              <w:jc w:val="center"/>
              <w:rPr>
                <w:rFonts w:ascii="Franklin Gothic Book" w:hAnsi="Franklin Gothic Book"/>
                <w:sz w:val="16"/>
                <w:szCs w:val="16"/>
              </w:rPr>
            </w:pPr>
          </w:p>
        </w:tc>
      </w:tr>
      <w:tr w:rsidR="00C37E4E" w14:paraId="69D367D6" w14:textId="77777777" w:rsidTr="00236A57">
        <w:trPr>
          <w:trHeight w:val="20"/>
          <w:jc w:val="center"/>
        </w:trPr>
        <w:tc>
          <w:tcPr>
            <w:tcW w:w="1016" w:type="dxa"/>
            <w:tcBorders>
              <w:left w:val="nil"/>
              <w:bottom w:val="single" w:sz="4" w:space="0" w:color="auto"/>
            </w:tcBorders>
            <w:shd w:val="clear" w:color="auto" w:fill="FFFFFF" w:themeFill="background1"/>
            <w:vAlign w:val="center"/>
          </w:tcPr>
          <w:p w14:paraId="47856270" w14:textId="77777777" w:rsidR="00C37E4E" w:rsidRPr="005F3E04" w:rsidRDefault="00C37E4E" w:rsidP="00C37E4E">
            <w:pPr>
              <w:pStyle w:val="TableText"/>
            </w:pPr>
            <w:r>
              <w:t>Modoc</w:t>
            </w:r>
          </w:p>
        </w:tc>
        <w:tc>
          <w:tcPr>
            <w:tcW w:w="620" w:type="dxa"/>
            <w:tcBorders>
              <w:bottom w:val="single" w:sz="4" w:space="0" w:color="auto"/>
            </w:tcBorders>
            <w:shd w:val="clear" w:color="auto" w:fill="FFFFFF" w:themeFill="background1"/>
            <w:vAlign w:val="center"/>
          </w:tcPr>
          <w:p w14:paraId="631E3F86" w14:textId="77777777" w:rsidR="00C37E4E" w:rsidRPr="005F3E04" w:rsidRDefault="00C37E4E" w:rsidP="00C37E4E">
            <w:pPr>
              <w:pStyle w:val="TableText"/>
            </w:pPr>
            <w:r>
              <w:t>A</w:t>
            </w:r>
          </w:p>
        </w:tc>
        <w:tc>
          <w:tcPr>
            <w:tcW w:w="665" w:type="dxa"/>
            <w:tcBorders>
              <w:bottom w:val="single" w:sz="4" w:space="0" w:color="auto"/>
            </w:tcBorders>
            <w:shd w:val="clear" w:color="auto" w:fill="FFFFFF" w:themeFill="background1"/>
            <w:vAlign w:val="center"/>
          </w:tcPr>
          <w:p w14:paraId="1A77D38B" w14:textId="77777777" w:rsidR="00C37E4E" w:rsidRPr="005F3E04" w:rsidRDefault="00C37E4E" w:rsidP="00C37E4E">
            <w:pPr>
              <w:pStyle w:val="TableText"/>
            </w:pPr>
            <w:r>
              <w:t>AU</w:t>
            </w:r>
          </w:p>
        </w:tc>
        <w:tc>
          <w:tcPr>
            <w:tcW w:w="600" w:type="dxa"/>
            <w:tcBorders>
              <w:bottom w:val="single" w:sz="4" w:space="0" w:color="auto"/>
            </w:tcBorders>
            <w:shd w:val="clear" w:color="auto" w:fill="FFFFFF" w:themeFill="background1"/>
            <w:vAlign w:val="center"/>
          </w:tcPr>
          <w:p w14:paraId="01FB4980" w14:textId="77777777" w:rsidR="00C37E4E" w:rsidRPr="005F3E04" w:rsidRDefault="00C37E4E" w:rsidP="00C37E4E">
            <w:pPr>
              <w:pStyle w:val="TableText"/>
            </w:pPr>
            <w:r>
              <w:t>U</w:t>
            </w:r>
          </w:p>
        </w:tc>
        <w:tc>
          <w:tcPr>
            <w:tcW w:w="600" w:type="dxa"/>
            <w:tcBorders>
              <w:bottom w:val="single" w:sz="4" w:space="0" w:color="auto"/>
            </w:tcBorders>
            <w:shd w:val="clear" w:color="auto" w:fill="FFFFFF" w:themeFill="background1"/>
            <w:vAlign w:val="center"/>
          </w:tcPr>
          <w:p w14:paraId="203F6A5A" w14:textId="77777777" w:rsidR="00C37E4E" w:rsidRPr="005F3E04" w:rsidRDefault="00C37E4E" w:rsidP="00C37E4E">
            <w:pPr>
              <w:pStyle w:val="TableText"/>
            </w:pPr>
            <w:r>
              <w:t>UA</w:t>
            </w:r>
          </w:p>
        </w:tc>
        <w:tc>
          <w:tcPr>
            <w:tcW w:w="600" w:type="dxa"/>
            <w:tcBorders>
              <w:bottom w:val="single" w:sz="4" w:space="0" w:color="auto"/>
            </w:tcBorders>
            <w:shd w:val="clear" w:color="auto" w:fill="FFFFFF" w:themeFill="background1"/>
            <w:vAlign w:val="center"/>
          </w:tcPr>
          <w:p w14:paraId="3BDFB0AD"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0F89AD40"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2FC81FE8"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2B7CCED7"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6E17D37D" w14:textId="77777777" w:rsidR="00C37E4E" w:rsidRPr="005F3E04" w:rsidRDefault="00C37E4E" w:rsidP="00C37E4E">
            <w:pPr>
              <w:pStyle w:val="TableText"/>
            </w:pPr>
            <w:r>
              <w:t>U</w:t>
            </w:r>
          </w:p>
        </w:tc>
        <w:tc>
          <w:tcPr>
            <w:tcW w:w="599" w:type="dxa"/>
            <w:tcBorders>
              <w:bottom w:val="single" w:sz="4" w:space="0" w:color="auto"/>
            </w:tcBorders>
            <w:shd w:val="clear" w:color="auto" w:fill="FFFFFF" w:themeFill="background1"/>
            <w:vAlign w:val="center"/>
          </w:tcPr>
          <w:p w14:paraId="231943E5" w14:textId="77777777" w:rsidR="00C37E4E" w:rsidRPr="005F3E04" w:rsidRDefault="00C37E4E" w:rsidP="00C37E4E">
            <w:pPr>
              <w:pStyle w:val="TableText"/>
            </w:pPr>
            <w:r>
              <w:t>U</w:t>
            </w:r>
          </w:p>
        </w:tc>
        <w:tc>
          <w:tcPr>
            <w:tcW w:w="599" w:type="dxa"/>
            <w:tcBorders>
              <w:bottom w:val="single" w:sz="4" w:space="0" w:color="auto"/>
            </w:tcBorders>
            <w:shd w:val="clear" w:color="auto" w:fill="FFFFFF" w:themeFill="background1"/>
            <w:vAlign w:val="center"/>
          </w:tcPr>
          <w:p w14:paraId="1B4E67CF"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29F12BD8" w14:textId="77777777" w:rsidR="00C37E4E" w:rsidRPr="005F3E04" w:rsidRDefault="00C37E4E" w:rsidP="00C37E4E">
            <w:pPr>
              <w:pStyle w:val="TableText"/>
            </w:pPr>
            <w:r>
              <w:t>UA</w:t>
            </w:r>
          </w:p>
        </w:tc>
        <w:tc>
          <w:tcPr>
            <w:tcW w:w="614" w:type="dxa"/>
            <w:tcBorders>
              <w:bottom w:val="single" w:sz="4" w:space="0" w:color="auto"/>
            </w:tcBorders>
            <w:shd w:val="clear" w:color="auto" w:fill="FFFFFF" w:themeFill="background1"/>
            <w:vAlign w:val="center"/>
          </w:tcPr>
          <w:p w14:paraId="242BC76D" w14:textId="77777777" w:rsidR="00C37E4E" w:rsidRPr="005F3E04" w:rsidRDefault="00C37E4E" w:rsidP="00C37E4E">
            <w:pPr>
              <w:pStyle w:val="TableText"/>
            </w:pPr>
            <w:r>
              <w:t>A</w:t>
            </w:r>
          </w:p>
        </w:tc>
        <w:tc>
          <w:tcPr>
            <w:tcW w:w="646" w:type="dxa"/>
            <w:tcBorders>
              <w:bottom w:val="single" w:sz="4" w:space="0" w:color="auto"/>
            </w:tcBorders>
            <w:shd w:val="clear" w:color="auto" w:fill="FFFFFF" w:themeFill="background1"/>
            <w:vAlign w:val="center"/>
          </w:tcPr>
          <w:p w14:paraId="3E8E5ECA" w14:textId="77777777" w:rsidR="00C37E4E" w:rsidRPr="005F3E04" w:rsidRDefault="00C37E4E" w:rsidP="00C37E4E">
            <w:pPr>
              <w:pStyle w:val="TableText"/>
            </w:pPr>
            <w:r>
              <w:t>UA</w:t>
            </w:r>
          </w:p>
        </w:tc>
        <w:tc>
          <w:tcPr>
            <w:tcW w:w="695" w:type="dxa"/>
            <w:tcBorders>
              <w:bottom w:val="single" w:sz="4" w:space="0" w:color="auto"/>
            </w:tcBorders>
            <w:shd w:val="clear" w:color="auto" w:fill="FFFFFF" w:themeFill="background1"/>
            <w:vAlign w:val="center"/>
          </w:tcPr>
          <w:p w14:paraId="76D73C14"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3A28BD28" w14:textId="77777777" w:rsidR="00C37E4E" w:rsidRPr="005F3E04" w:rsidRDefault="00C37E4E" w:rsidP="00C37E4E">
            <w:pPr>
              <w:pStyle w:val="TableText"/>
            </w:pPr>
          </w:p>
        </w:tc>
        <w:tc>
          <w:tcPr>
            <w:tcW w:w="688" w:type="dxa"/>
            <w:tcBorders>
              <w:bottom w:val="single" w:sz="4" w:space="0" w:color="auto"/>
            </w:tcBorders>
            <w:shd w:val="clear" w:color="auto" w:fill="FFFFFF" w:themeFill="background1"/>
            <w:vAlign w:val="center"/>
          </w:tcPr>
          <w:p w14:paraId="47ED84F7"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7E12E4F9" w14:textId="77777777" w:rsidR="00C37E4E" w:rsidRPr="005F3E04" w:rsidRDefault="00C37E4E" w:rsidP="00C37E4E">
            <w:pPr>
              <w:pStyle w:val="TableText"/>
            </w:pPr>
          </w:p>
        </w:tc>
        <w:tc>
          <w:tcPr>
            <w:tcW w:w="663" w:type="dxa"/>
            <w:tcBorders>
              <w:bottom w:val="single" w:sz="4" w:space="0" w:color="auto"/>
            </w:tcBorders>
            <w:shd w:val="clear" w:color="auto" w:fill="FFFFFF" w:themeFill="background1"/>
            <w:vAlign w:val="center"/>
          </w:tcPr>
          <w:p w14:paraId="35E71E37"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7E7F0443" w14:textId="77777777" w:rsidR="00C37E4E" w:rsidRPr="005F3E04" w:rsidRDefault="00C37E4E" w:rsidP="00C37E4E">
            <w:pPr>
              <w:jc w:val="center"/>
              <w:rPr>
                <w:rFonts w:ascii="Franklin Gothic Book" w:hAnsi="Franklin Gothic Book"/>
                <w:sz w:val="16"/>
                <w:szCs w:val="16"/>
              </w:rPr>
            </w:pPr>
          </w:p>
        </w:tc>
      </w:tr>
      <w:tr w:rsidR="00C37E4E" w14:paraId="4BEF6A64" w14:textId="77777777" w:rsidTr="00236A57">
        <w:trPr>
          <w:trHeight w:val="20"/>
          <w:jc w:val="center"/>
        </w:trPr>
        <w:tc>
          <w:tcPr>
            <w:tcW w:w="1016" w:type="dxa"/>
            <w:tcBorders>
              <w:left w:val="nil"/>
            </w:tcBorders>
            <w:shd w:val="clear" w:color="auto" w:fill="FFFFFF" w:themeFill="background1"/>
            <w:vAlign w:val="center"/>
          </w:tcPr>
          <w:p w14:paraId="6E43735A" w14:textId="77777777" w:rsidR="00C37E4E" w:rsidRPr="005F3E04" w:rsidRDefault="00C37E4E" w:rsidP="00C37E4E">
            <w:pPr>
              <w:pStyle w:val="TableText"/>
            </w:pPr>
            <w:r>
              <w:t>Mono</w:t>
            </w:r>
          </w:p>
        </w:tc>
        <w:tc>
          <w:tcPr>
            <w:tcW w:w="620" w:type="dxa"/>
            <w:shd w:val="clear" w:color="auto" w:fill="FFFFFF" w:themeFill="background1"/>
            <w:vAlign w:val="center"/>
          </w:tcPr>
          <w:p w14:paraId="2CAD3224" w14:textId="77777777" w:rsidR="00C37E4E" w:rsidRPr="005F3E04" w:rsidRDefault="00C37E4E" w:rsidP="00C37E4E">
            <w:pPr>
              <w:pStyle w:val="TableText"/>
            </w:pPr>
            <w:r>
              <w:t>N</w:t>
            </w:r>
          </w:p>
        </w:tc>
        <w:tc>
          <w:tcPr>
            <w:tcW w:w="665" w:type="dxa"/>
            <w:shd w:val="clear" w:color="auto" w:fill="FFFFFF" w:themeFill="background1"/>
            <w:vAlign w:val="center"/>
          </w:tcPr>
          <w:p w14:paraId="0B695F08" w14:textId="77777777" w:rsidR="00C37E4E" w:rsidRPr="005F3E04" w:rsidRDefault="00C37E4E" w:rsidP="00C37E4E">
            <w:pPr>
              <w:pStyle w:val="TableText"/>
            </w:pPr>
            <w:r>
              <w:t>AU</w:t>
            </w:r>
          </w:p>
        </w:tc>
        <w:tc>
          <w:tcPr>
            <w:tcW w:w="600" w:type="dxa"/>
            <w:shd w:val="clear" w:color="auto" w:fill="FFFFFF" w:themeFill="background1"/>
            <w:vAlign w:val="center"/>
          </w:tcPr>
          <w:p w14:paraId="646F621D" w14:textId="77777777" w:rsidR="00C37E4E" w:rsidRPr="005F3E04" w:rsidRDefault="00C37E4E" w:rsidP="00C37E4E">
            <w:pPr>
              <w:pStyle w:val="TableText"/>
            </w:pPr>
            <w:r>
              <w:t>A</w:t>
            </w:r>
          </w:p>
        </w:tc>
        <w:tc>
          <w:tcPr>
            <w:tcW w:w="600" w:type="dxa"/>
            <w:shd w:val="clear" w:color="auto" w:fill="FFFFFF" w:themeFill="background1"/>
            <w:vAlign w:val="center"/>
          </w:tcPr>
          <w:p w14:paraId="2013D2D2" w14:textId="77777777" w:rsidR="00C37E4E" w:rsidRPr="005F3E04" w:rsidRDefault="00C37E4E" w:rsidP="00C37E4E">
            <w:pPr>
              <w:pStyle w:val="TableText"/>
            </w:pPr>
            <w:r>
              <w:t>UA</w:t>
            </w:r>
          </w:p>
        </w:tc>
        <w:tc>
          <w:tcPr>
            <w:tcW w:w="600" w:type="dxa"/>
            <w:shd w:val="clear" w:color="auto" w:fill="FFFFFF" w:themeFill="background1"/>
            <w:vAlign w:val="center"/>
          </w:tcPr>
          <w:p w14:paraId="338B856D" w14:textId="77777777" w:rsidR="00C37E4E" w:rsidRPr="005F3E04" w:rsidRDefault="00C37E4E" w:rsidP="00C37E4E">
            <w:pPr>
              <w:pStyle w:val="TableText"/>
            </w:pPr>
            <w:r>
              <w:t>A</w:t>
            </w:r>
          </w:p>
        </w:tc>
        <w:tc>
          <w:tcPr>
            <w:tcW w:w="600" w:type="dxa"/>
            <w:shd w:val="clear" w:color="auto" w:fill="FFFFFF" w:themeFill="background1"/>
            <w:vAlign w:val="center"/>
          </w:tcPr>
          <w:p w14:paraId="0A8A76D9" w14:textId="77777777" w:rsidR="00C37E4E" w:rsidRPr="005F3E04" w:rsidRDefault="00C37E4E" w:rsidP="00C37E4E">
            <w:pPr>
              <w:pStyle w:val="TableText"/>
            </w:pPr>
            <w:r>
              <w:t>UA</w:t>
            </w:r>
          </w:p>
        </w:tc>
        <w:tc>
          <w:tcPr>
            <w:tcW w:w="599" w:type="dxa"/>
            <w:shd w:val="clear" w:color="auto" w:fill="FFFFFF" w:themeFill="background1"/>
            <w:vAlign w:val="center"/>
          </w:tcPr>
          <w:p w14:paraId="7CFE2AE9" w14:textId="77777777" w:rsidR="00C37E4E" w:rsidRPr="005F3E04" w:rsidRDefault="00C37E4E" w:rsidP="00C37E4E">
            <w:pPr>
              <w:pStyle w:val="TableText"/>
            </w:pPr>
            <w:r>
              <w:t>A</w:t>
            </w:r>
          </w:p>
        </w:tc>
        <w:tc>
          <w:tcPr>
            <w:tcW w:w="599" w:type="dxa"/>
            <w:shd w:val="clear" w:color="auto" w:fill="FFFFFF" w:themeFill="background1"/>
            <w:vAlign w:val="center"/>
          </w:tcPr>
          <w:p w14:paraId="3DC122CF" w14:textId="77777777" w:rsidR="00C37E4E" w:rsidRPr="005F3E04" w:rsidRDefault="00C37E4E" w:rsidP="00C37E4E">
            <w:pPr>
              <w:pStyle w:val="TableText"/>
            </w:pPr>
            <w:r>
              <w:t>UA</w:t>
            </w:r>
          </w:p>
        </w:tc>
        <w:tc>
          <w:tcPr>
            <w:tcW w:w="599" w:type="dxa"/>
            <w:shd w:val="clear" w:color="auto" w:fill="FFFFFF" w:themeFill="background1"/>
            <w:vAlign w:val="center"/>
          </w:tcPr>
          <w:p w14:paraId="356123E9" w14:textId="77777777" w:rsidR="00C37E4E" w:rsidRPr="005F3E04" w:rsidRDefault="00C37E4E" w:rsidP="00C37E4E">
            <w:pPr>
              <w:pStyle w:val="TableText"/>
            </w:pPr>
            <w:r>
              <w:t>N</w:t>
            </w:r>
          </w:p>
        </w:tc>
        <w:tc>
          <w:tcPr>
            <w:tcW w:w="599" w:type="dxa"/>
            <w:shd w:val="clear" w:color="auto" w:fill="FFFFFF" w:themeFill="background1"/>
            <w:vAlign w:val="center"/>
          </w:tcPr>
          <w:p w14:paraId="6AAB6AC6" w14:textId="77777777" w:rsidR="00C37E4E" w:rsidRPr="005F3E04" w:rsidRDefault="00C37E4E" w:rsidP="00C37E4E">
            <w:pPr>
              <w:pStyle w:val="TableText"/>
            </w:pPr>
            <w:r>
              <w:t>N</w:t>
            </w:r>
          </w:p>
        </w:tc>
        <w:tc>
          <w:tcPr>
            <w:tcW w:w="599" w:type="dxa"/>
            <w:shd w:val="clear" w:color="auto" w:fill="FFFFFF" w:themeFill="background1"/>
            <w:vAlign w:val="center"/>
          </w:tcPr>
          <w:p w14:paraId="4D2C128F" w14:textId="77777777" w:rsidR="00C37E4E" w:rsidRPr="005F3E04" w:rsidRDefault="00C37E4E" w:rsidP="00C37E4E">
            <w:pPr>
              <w:pStyle w:val="TableText"/>
            </w:pPr>
            <w:r>
              <w:t>A</w:t>
            </w:r>
          </w:p>
        </w:tc>
        <w:tc>
          <w:tcPr>
            <w:tcW w:w="599" w:type="dxa"/>
            <w:shd w:val="clear" w:color="auto" w:fill="FFFFFF" w:themeFill="background1"/>
            <w:vAlign w:val="center"/>
          </w:tcPr>
          <w:p w14:paraId="2ED0CF9E" w14:textId="77777777" w:rsidR="00C37E4E" w:rsidRPr="005F3E04" w:rsidRDefault="00C37E4E" w:rsidP="00C37E4E">
            <w:pPr>
              <w:pStyle w:val="TableText"/>
            </w:pPr>
            <w:r>
              <w:t>UA</w:t>
            </w:r>
          </w:p>
        </w:tc>
        <w:tc>
          <w:tcPr>
            <w:tcW w:w="614" w:type="dxa"/>
            <w:shd w:val="clear" w:color="auto" w:fill="FFFFFF" w:themeFill="background1"/>
            <w:vAlign w:val="center"/>
          </w:tcPr>
          <w:p w14:paraId="1BB9A7CF" w14:textId="77777777" w:rsidR="00C37E4E" w:rsidRPr="005F3E04" w:rsidRDefault="00C37E4E" w:rsidP="00C37E4E">
            <w:pPr>
              <w:pStyle w:val="TableText"/>
            </w:pPr>
            <w:r>
              <w:t>A</w:t>
            </w:r>
          </w:p>
        </w:tc>
        <w:tc>
          <w:tcPr>
            <w:tcW w:w="646" w:type="dxa"/>
            <w:shd w:val="clear" w:color="auto" w:fill="FFFFFF" w:themeFill="background1"/>
            <w:vAlign w:val="center"/>
          </w:tcPr>
          <w:p w14:paraId="3C6767A6" w14:textId="77777777" w:rsidR="00C37E4E" w:rsidRPr="005F3E04" w:rsidRDefault="00C37E4E" w:rsidP="00C37E4E">
            <w:pPr>
              <w:pStyle w:val="TableText"/>
            </w:pPr>
            <w:r>
              <w:t>UA</w:t>
            </w:r>
          </w:p>
        </w:tc>
        <w:tc>
          <w:tcPr>
            <w:tcW w:w="695" w:type="dxa"/>
            <w:shd w:val="clear" w:color="auto" w:fill="FFFFFF" w:themeFill="background1"/>
            <w:vAlign w:val="center"/>
          </w:tcPr>
          <w:p w14:paraId="66000EAA"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2B3F74EA" w14:textId="77777777" w:rsidR="00C37E4E" w:rsidRPr="005F3E04" w:rsidRDefault="00C37E4E" w:rsidP="00C37E4E">
            <w:pPr>
              <w:pStyle w:val="TableText"/>
            </w:pPr>
          </w:p>
        </w:tc>
        <w:tc>
          <w:tcPr>
            <w:tcW w:w="688" w:type="dxa"/>
            <w:shd w:val="clear" w:color="auto" w:fill="FFFFFF" w:themeFill="background1"/>
            <w:vAlign w:val="center"/>
          </w:tcPr>
          <w:p w14:paraId="3C74F0BA" w14:textId="77777777" w:rsidR="00C37E4E" w:rsidRPr="005F3E04" w:rsidRDefault="00C37E4E" w:rsidP="00C37E4E">
            <w:pPr>
              <w:pStyle w:val="TableText"/>
            </w:pPr>
            <w:r>
              <w:t>A</w:t>
            </w:r>
          </w:p>
        </w:tc>
        <w:tc>
          <w:tcPr>
            <w:tcW w:w="688" w:type="dxa"/>
            <w:tcBorders>
              <w:top w:val="nil"/>
              <w:bottom w:val="nil"/>
            </w:tcBorders>
            <w:shd w:val="clear" w:color="auto" w:fill="FFFFFF" w:themeFill="background1"/>
          </w:tcPr>
          <w:p w14:paraId="6D43E07E" w14:textId="77777777" w:rsidR="00C37E4E" w:rsidRPr="005F3E04" w:rsidRDefault="00C37E4E" w:rsidP="00C37E4E">
            <w:pPr>
              <w:pStyle w:val="TableText"/>
            </w:pPr>
          </w:p>
        </w:tc>
        <w:tc>
          <w:tcPr>
            <w:tcW w:w="663" w:type="dxa"/>
            <w:shd w:val="clear" w:color="auto" w:fill="FFFFFF" w:themeFill="background1"/>
            <w:vAlign w:val="center"/>
          </w:tcPr>
          <w:p w14:paraId="60082234"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33151C67" w14:textId="77777777" w:rsidR="00C37E4E" w:rsidRPr="005F3E04" w:rsidRDefault="00C37E4E" w:rsidP="00C37E4E">
            <w:pPr>
              <w:jc w:val="center"/>
              <w:rPr>
                <w:rFonts w:ascii="Franklin Gothic Book" w:hAnsi="Franklin Gothic Book"/>
                <w:sz w:val="16"/>
                <w:szCs w:val="16"/>
              </w:rPr>
            </w:pPr>
          </w:p>
        </w:tc>
      </w:tr>
      <w:tr w:rsidR="00C37E4E" w14:paraId="661550DA" w14:textId="77777777" w:rsidTr="00EA652D">
        <w:trPr>
          <w:trHeight w:val="20"/>
          <w:jc w:val="center"/>
        </w:trPr>
        <w:tc>
          <w:tcPr>
            <w:tcW w:w="1016" w:type="dxa"/>
            <w:tcBorders>
              <w:left w:val="nil"/>
              <w:bottom w:val="single" w:sz="4" w:space="0" w:color="auto"/>
            </w:tcBorders>
            <w:shd w:val="clear" w:color="auto" w:fill="FFFFFF" w:themeFill="background1"/>
            <w:vAlign w:val="center"/>
          </w:tcPr>
          <w:p w14:paraId="3AD16967" w14:textId="77777777" w:rsidR="00C37E4E" w:rsidRPr="005F3E04" w:rsidRDefault="00C37E4E" w:rsidP="00C37E4E">
            <w:pPr>
              <w:pStyle w:val="TableText"/>
            </w:pPr>
            <w:r>
              <w:t>Monterey</w:t>
            </w:r>
          </w:p>
        </w:tc>
        <w:tc>
          <w:tcPr>
            <w:tcW w:w="620" w:type="dxa"/>
            <w:tcBorders>
              <w:bottom w:val="single" w:sz="4" w:space="0" w:color="auto"/>
            </w:tcBorders>
            <w:shd w:val="clear" w:color="auto" w:fill="FFFFFF" w:themeFill="background1"/>
            <w:vAlign w:val="center"/>
          </w:tcPr>
          <w:p w14:paraId="0EC55D8D" w14:textId="77777777" w:rsidR="00C37E4E" w:rsidRPr="005F3E04" w:rsidRDefault="00C37E4E" w:rsidP="00C37E4E">
            <w:pPr>
              <w:pStyle w:val="TableText"/>
            </w:pPr>
            <w:r>
              <w:t>N</w:t>
            </w:r>
          </w:p>
        </w:tc>
        <w:tc>
          <w:tcPr>
            <w:tcW w:w="665" w:type="dxa"/>
            <w:tcBorders>
              <w:bottom w:val="single" w:sz="4" w:space="0" w:color="auto"/>
            </w:tcBorders>
            <w:shd w:val="clear" w:color="auto" w:fill="FFFFFF" w:themeFill="background1"/>
            <w:vAlign w:val="center"/>
          </w:tcPr>
          <w:p w14:paraId="44A2A87D" w14:textId="77777777" w:rsidR="00C37E4E" w:rsidRPr="005F3E04" w:rsidRDefault="00C37E4E" w:rsidP="00C37E4E">
            <w:pPr>
              <w:pStyle w:val="TableText"/>
            </w:pPr>
            <w:r>
              <w:t>AU</w:t>
            </w:r>
          </w:p>
        </w:tc>
        <w:tc>
          <w:tcPr>
            <w:tcW w:w="600" w:type="dxa"/>
            <w:tcBorders>
              <w:bottom w:val="single" w:sz="4" w:space="0" w:color="auto"/>
            </w:tcBorders>
            <w:shd w:val="clear" w:color="auto" w:fill="FFFFFF" w:themeFill="background1"/>
            <w:vAlign w:val="center"/>
          </w:tcPr>
          <w:p w14:paraId="2F269B14"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771815AB" w14:textId="77777777" w:rsidR="00C37E4E" w:rsidRPr="005F3E04" w:rsidRDefault="00C37E4E" w:rsidP="00C37E4E">
            <w:pPr>
              <w:pStyle w:val="TableText"/>
            </w:pPr>
            <w:r>
              <w:t>UA</w:t>
            </w:r>
          </w:p>
        </w:tc>
        <w:tc>
          <w:tcPr>
            <w:tcW w:w="600" w:type="dxa"/>
            <w:tcBorders>
              <w:bottom w:val="single" w:sz="4" w:space="0" w:color="auto"/>
            </w:tcBorders>
            <w:shd w:val="clear" w:color="auto" w:fill="FFFFFF" w:themeFill="background1"/>
            <w:vAlign w:val="center"/>
          </w:tcPr>
          <w:p w14:paraId="7204454B"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28E337F9"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2FE70A53"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4D83D4D7"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558908E8" w14:textId="77777777" w:rsidR="00C37E4E" w:rsidRPr="005F3E04" w:rsidRDefault="00C37E4E" w:rsidP="00C37E4E">
            <w:pPr>
              <w:pStyle w:val="TableText"/>
            </w:pPr>
            <w:r>
              <w:t>N</w:t>
            </w:r>
          </w:p>
        </w:tc>
        <w:tc>
          <w:tcPr>
            <w:tcW w:w="599" w:type="dxa"/>
            <w:tcBorders>
              <w:bottom w:val="single" w:sz="4" w:space="0" w:color="auto"/>
            </w:tcBorders>
            <w:shd w:val="clear" w:color="auto" w:fill="FFFFFF" w:themeFill="background1"/>
            <w:vAlign w:val="center"/>
          </w:tcPr>
          <w:p w14:paraId="05278D18" w14:textId="77777777" w:rsidR="00C37E4E" w:rsidRPr="005F3E04" w:rsidRDefault="00C37E4E" w:rsidP="00C37E4E">
            <w:pPr>
              <w:pStyle w:val="TableText"/>
            </w:pPr>
            <w:r>
              <w:t>U</w:t>
            </w:r>
          </w:p>
        </w:tc>
        <w:tc>
          <w:tcPr>
            <w:tcW w:w="599" w:type="dxa"/>
            <w:tcBorders>
              <w:bottom w:val="single" w:sz="4" w:space="0" w:color="auto"/>
            </w:tcBorders>
            <w:shd w:val="clear" w:color="auto" w:fill="FFFFFF" w:themeFill="background1"/>
            <w:vAlign w:val="center"/>
          </w:tcPr>
          <w:p w14:paraId="595C78E8"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4B97360C" w14:textId="77777777" w:rsidR="00C37E4E" w:rsidRPr="005F3E04" w:rsidRDefault="00C37E4E" w:rsidP="00C37E4E">
            <w:pPr>
              <w:pStyle w:val="TableText"/>
            </w:pPr>
            <w:r>
              <w:t>UA</w:t>
            </w:r>
          </w:p>
        </w:tc>
        <w:tc>
          <w:tcPr>
            <w:tcW w:w="614" w:type="dxa"/>
            <w:tcBorders>
              <w:bottom w:val="single" w:sz="4" w:space="0" w:color="auto"/>
            </w:tcBorders>
            <w:shd w:val="clear" w:color="auto" w:fill="FFFFFF" w:themeFill="background1"/>
            <w:vAlign w:val="center"/>
          </w:tcPr>
          <w:p w14:paraId="03013511" w14:textId="77777777" w:rsidR="00C37E4E" w:rsidRPr="005F3E04" w:rsidRDefault="00C37E4E" w:rsidP="00C37E4E">
            <w:pPr>
              <w:pStyle w:val="TableText"/>
            </w:pPr>
            <w:r>
              <w:t>A</w:t>
            </w:r>
          </w:p>
        </w:tc>
        <w:tc>
          <w:tcPr>
            <w:tcW w:w="646" w:type="dxa"/>
            <w:tcBorders>
              <w:bottom w:val="single" w:sz="4" w:space="0" w:color="auto"/>
            </w:tcBorders>
            <w:shd w:val="clear" w:color="auto" w:fill="FFFFFF" w:themeFill="background1"/>
            <w:vAlign w:val="center"/>
          </w:tcPr>
          <w:p w14:paraId="605D8452" w14:textId="77777777" w:rsidR="00C37E4E" w:rsidRPr="005F3E04" w:rsidRDefault="00C37E4E" w:rsidP="00C37E4E">
            <w:pPr>
              <w:pStyle w:val="TableText"/>
            </w:pPr>
            <w:r>
              <w:t>UA</w:t>
            </w:r>
          </w:p>
        </w:tc>
        <w:tc>
          <w:tcPr>
            <w:tcW w:w="695" w:type="dxa"/>
            <w:tcBorders>
              <w:bottom w:val="single" w:sz="4" w:space="0" w:color="auto"/>
            </w:tcBorders>
            <w:shd w:val="clear" w:color="auto" w:fill="FFFFFF" w:themeFill="background1"/>
            <w:vAlign w:val="center"/>
          </w:tcPr>
          <w:p w14:paraId="7EAA3200" w14:textId="77777777" w:rsidR="00C37E4E" w:rsidRPr="005F3E04" w:rsidRDefault="00C37E4E" w:rsidP="00C37E4E">
            <w:pPr>
              <w:pStyle w:val="TableText"/>
            </w:pPr>
            <w:r>
              <w:t>A</w:t>
            </w:r>
          </w:p>
        </w:tc>
        <w:tc>
          <w:tcPr>
            <w:tcW w:w="680" w:type="dxa"/>
            <w:tcBorders>
              <w:top w:val="nil"/>
              <w:bottom w:val="single" w:sz="4" w:space="0" w:color="auto"/>
            </w:tcBorders>
            <w:shd w:val="clear" w:color="auto" w:fill="FFFFFF" w:themeFill="background1"/>
          </w:tcPr>
          <w:p w14:paraId="624D36A3" w14:textId="77777777" w:rsidR="00C37E4E" w:rsidRPr="005F3E04" w:rsidRDefault="00C37E4E" w:rsidP="00C37E4E">
            <w:pPr>
              <w:pStyle w:val="TableText"/>
            </w:pPr>
          </w:p>
        </w:tc>
        <w:tc>
          <w:tcPr>
            <w:tcW w:w="688" w:type="dxa"/>
            <w:tcBorders>
              <w:bottom w:val="single" w:sz="4" w:space="0" w:color="auto"/>
            </w:tcBorders>
            <w:shd w:val="clear" w:color="auto" w:fill="FFFFFF" w:themeFill="background1"/>
            <w:vAlign w:val="center"/>
          </w:tcPr>
          <w:p w14:paraId="4736092B" w14:textId="77777777" w:rsidR="00C37E4E" w:rsidRPr="005F3E04" w:rsidRDefault="00C37E4E" w:rsidP="00C37E4E">
            <w:pPr>
              <w:pStyle w:val="TableText"/>
            </w:pPr>
            <w:r>
              <w:t>U</w:t>
            </w:r>
          </w:p>
        </w:tc>
        <w:tc>
          <w:tcPr>
            <w:tcW w:w="688" w:type="dxa"/>
            <w:tcBorders>
              <w:top w:val="nil"/>
              <w:bottom w:val="single" w:sz="4" w:space="0" w:color="auto"/>
            </w:tcBorders>
            <w:shd w:val="clear" w:color="auto" w:fill="FFFFFF" w:themeFill="background1"/>
          </w:tcPr>
          <w:p w14:paraId="7F0A9D6B" w14:textId="77777777" w:rsidR="00C37E4E" w:rsidRPr="005F3E04" w:rsidRDefault="00C37E4E" w:rsidP="00C37E4E">
            <w:pPr>
              <w:pStyle w:val="TableText"/>
            </w:pPr>
          </w:p>
        </w:tc>
        <w:tc>
          <w:tcPr>
            <w:tcW w:w="663" w:type="dxa"/>
            <w:tcBorders>
              <w:bottom w:val="single" w:sz="4" w:space="0" w:color="auto"/>
            </w:tcBorders>
            <w:shd w:val="clear" w:color="auto" w:fill="FFFFFF" w:themeFill="background1"/>
            <w:vAlign w:val="center"/>
          </w:tcPr>
          <w:p w14:paraId="55461A2A" w14:textId="77777777" w:rsidR="00C37E4E" w:rsidRPr="005F3E04" w:rsidRDefault="00C37E4E" w:rsidP="00C37E4E">
            <w:pPr>
              <w:pStyle w:val="TableText"/>
            </w:pPr>
            <w:r>
              <w:t>U</w:t>
            </w:r>
          </w:p>
        </w:tc>
        <w:tc>
          <w:tcPr>
            <w:tcW w:w="712" w:type="dxa"/>
            <w:tcBorders>
              <w:top w:val="nil"/>
              <w:bottom w:val="single" w:sz="4" w:space="0" w:color="auto"/>
              <w:right w:val="nil"/>
            </w:tcBorders>
            <w:shd w:val="clear" w:color="auto" w:fill="FFFFFF" w:themeFill="background1"/>
          </w:tcPr>
          <w:p w14:paraId="7D66A6AE" w14:textId="77777777" w:rsidR="00C37E4E" w:rsidRPr="005F3E04" w:rsidRDefault="00C37E4E" w:rsidP="00C37E4E">
            <w:pPr>
              <w:jc w:val="center"/>
              <w:rPr>
                <w:rFonts w:ascii="Franklin Gothic Book" w:hAnsi="Franklin Gothic Book"/>
                <w:sz w:val="16"/>
                <w:szCs w:val="16"/>
              </w:rPr>
            </w:pPr>
          </w:p>
        </w:tc>
      </w:tr>
      <w:tr w:rsidR="00C37E4E" w14:paraId="2799031A" w14:textId="77777777" w:rsidTr="00EA652D">
        <w:trPr>
          <w:trHeight w:val="20"/>
          <w:jc w:val="center"/>
        </w:trPr>
        <w:tc>
          <w:tcPr>
            <w:tcW w:w="1016" w:type="dxa"/>
            <w:tcBorders>
              <w:left w:val="nil"/>
            </w:tcBorders>
            <w:shd w:val="clear" w:color="auto" w:fill="FFFFFF" w:themeFill="background1"/>
            <w:vAlign w:val="center"/>
          </w:tcPr>
          <w:p w14:paraId="5ACBADE9" w14:textId="77777777" w:rsidR="00C37E4E" w:rsidRPr="005F3E04" w:rsidRDefault="00C37E4E" w:rsidP="00C37E4E">
            <w:pPr>
              <w:pStyle w:val="TableText"/>
            </w:pPr>
            <w:r>
              <w:lastRenderedPageBreak/>
              <w:t>Napa</w:t>
            </w:r>
          </w:p>
        </w:tc>
        <w:tc>
          <w:tcPr>
            <w:tcW w:w="620" w:type="dxa"/>
            <w:shd w:val="clear" w:color="auto" w:fill="FFFFFF" w:themeFill="background1"/>
            <w:vAlign w:val="center"/>
          </w:tcPr>
          <w:p w14:paraId="52DBA101" w14:textId="77777777" w:rsidR="00C37E4E" w:rsidRPr="005F3E04" w:rsidRDefault="00C37E4E" w:rsidP="00C37E4E">
            <w:pPr>
              <w:pStyle w:val="TableText"/>
            </w:pPr>
            <w:r>
              <w:t>N</w:t>
            </w:r>
          </w:p>
        </w:tc>
        <w:tc>
          <w:tcPr>
            <w:tcW w:w="665" w:type="dxa"/>
            <w:shd w:val="clear" w:color="auto" w:fill="FFFFFF" w:themeFill="background1"/>
            <w:vAlign w:val="center"/>
          </w:tcPr>
          <w:p w14:paraId="4EBC89A4" w14:textId="77777777" w:rsidR="00C37E4E" w:rsidRPr="005F3E04" w:rsidRDefault="00C37E4E" w:rsidP="00C37E4E">
            <w:pPr>
              <w:pStyle w:val="TableText"/>
            </w:pPr>
            <w:r>
              <w:t>N</w:t>
            </w:r>
          </w:p>
        </w:tc>
        <w:tc>
          <w:tcPr>
            <w:tcW w:w="600" w:type="dxa"/>
            <w:shd w:val="clear" w:color="auto" w:fill="FFFFFF" w:themeFill="background1"/>
            <w:vAlign w:val="center"/>
          </w:tcPr>
          <w:p w14:paraId="31F93018" w14:textId="77777777" w:rsidR="00C37E4E" w:rsidRPr="005F3E04" w:rsidRDefault="00C37E4E" w:rsidP="00C37E4E">
            <w:pPr>
              <w:pStyle w:val="TableText"/>
            </w:pPr>
            <w:r>
              <w:t>A</w:t>
            </w:r>
          </w:p>
        </w:tc>
        <w:tc>
          <w:tcPr>
            <w:tcW w:w="600" w:type="dxa"/>
            <w:shd w:val="clear" w:color="auto" w:fill="FFFFFF" w:themeFill="background1"/>
            <w:vAlign w:val="center"/>
          </w:tcPr>
          <w:p w14:paraId="3FB6E88D" w14:textId="77777777" w:rsidR="00C37E4E" w:rsidRPr="005F3E04" w:rsidRDefault="00C37E4E" w:rsidP="00C37E4E">
            <w:pPr>
              <w:pStyle w:val="TableText"/>
            </w:pPr>
            <w:r>
              <w:t>UA</w:t>
            </w:r>
          </w:p>
        </w:tc>
        <w:tc>
          <w:tcPr>
            <w:tcW w:w="600" w:type="dxa"/>
            <w:shd w:val="clear" w:color="auto" w:fill="FFFFFF" w:themeFill="background1"/>
            <w:vAlign w:val="center"/>
          </w:tcPr>
          <w:p w14:paraId="67044F46" w14:textId="77777777" w:rsidR="00C37E4E" w:rsidRPr="005F3E04" w:rsidRDefault="00C37E4E" w:rsidP="00C37E4E">
            <w:pPr>
              <w:pStyle w:val="TableText"/>
            </w:pPr>
            <w:r>
              <w:t>A</w:t>
            </w:r>
          </w:p>
        </w:tc>
        <w:tc>
          <w:tcPr>
            <w:tcW w:w="600" w:type="dxa"/>
            <w:shd w:val="clear" w:color="auto" w:fill="FFFFFF" w:themeFill="background1"/>
            <w:vAlign w:val="center"/>
          </w:tcPr>
          <w:p w14:paraId="2B621968" w14:textId="77777777" w:rsidR="00C37E4E" w:rsidRPr="005F3E04" w:rsidRDefault="00C37E4E" w:rsidP="00C37E4E">
            <w:pPr>
              <w:pStyle w:val="TableText"/>
            </w:pPr>
            <w:r>
              <w:t>UA</w:t>
            </w:r>
          </w:p>
        </w:tc>
        <w:tc>
          <w:tcPr>
            <w:tcW w:w="599" w:type="dxa"/>
            <w:shd w:val="clear" w:color="auto" w:fill="FFFFFF" w:themeFill="background1"/>
            <w:vAlign w:val="center"/>
          </w:tcPr>
          <w:p w14:paraId="6D75709D" w14:textId="77777777" w:rsidR="00C37E4E" w:rsidRPr="005F3E04" w:rsidRDefault="00C37E4E" w:rsidP="00C37E4E">
            <w:pPr>
              <w:pStyle w:val="TableText"/>
            </w:pPr>
            <w:r>
              <w:t>A</w:t>
            </w:r>
          </w:p>
        </w:tc>
        <w:tc>
          <w:tcPr>
            <w:tcW w:w="599" w:type="dxa"/>
            <w:shd w:val="clear" w:color="auto" w:fill="FFFFFF" w:themeFill="background1"/>
            <w:vAlign w:val="center"/>
          </w:tcPr>
          <w:p w14:paraId="4D6E1BF7" w14:textId="77777777" w:rsidR="00C37E4E" w:rsidRPr="005F3E04" w:rsidRDefault="00C37E4E" w:rsidP="00C37E4E">
            <w:pPr>
              <w:pStyle w:val="TableText"/>
            </w:pPr>
            <w:r>
              <w:t>UA</w:t>
            </w:r>
          </w:p>
        </w:tc>
        <w:tc>
          <w:tcPr>
            <w:tcW w:w="599" w:type="dxa"/>
            <w:shd w:val="clear" w:color="auto" w:fill="FFFFFF" w:themeFill="background1"/>
            <w:vAlign w:val="center"/>
          </w:tcPr>
          <w:p w14:paraId="14339FFC" w14:textId="77777777" w:rsidR="00C37E4E" w:rsidRPr="005F3E04" w:rsidRDefault="00C37E4E" w:rsidP="00C37E4E">
            <w:pPr>
              <w:pStyle w:val="TableText"/>
            </w:pPr>
            <w:r>
              <w:t>N</w:t>
            </w:r>
          </w:p>
        </w:tc>
        <w:tc>
          <w:tcPr>
            <w:tcW w:w="599" w:type="dxa"/>
            <w:shd w:val="clear" w:color="auto" w:fill="FFFFFF" w:themeFill="background1"/>
            <w:vAlign w:val="center"/>
          </w:tcPr>
          <w:p w14:paraId="1B8D4471" w14:textId="77777777" w:rsidR="00C37E4E" w:rsidRPr="005F3E04" w:rsidRDefault="00C37E4E" w:rsidP="00C37E4E">
            <w:pPr>
              <w:pStyle w:val="TableText"/>
            </w:pPr>
            <w:r>
              <w:t>U</w:t>
            </w:r>
          </w:p>
        </w:tc>
        <w:tc>
          <w:tcPr>
            <w:tcW w:w="599" w:type="dxa"/>
            <w:shd w:val="clear" w:color="auto" w:fill="FFFFFF" w:themeFill="background1"/>
            <w:vAlign w:val="center"/>
          </w:tcPr>
          <w:p w14:paraId="158757E1" w14:textId="77777777" w:rsidR="00C37E4E" w:rsidRPr="005F3E04" w:rsidRDefault="00C37E4E" w:rsidP="00C37E4E">
            <w:pPr>
              <w:pStyle w:val="TableText"/>
            </w:pPr>
            <w:r>
              <w:t>N</w:t>
            </w:r>
          </w:p>
        </w:tc>
        <w:tc>
          <w:tcPr>
            <w:tcW w:w="599" w:type="dxa"/>
            <w:shd w:val="clear" w:color="auto" w:fill="FFFFFF" w:themeFill="background1"/>
            <w:vAlign w:val="center"/>
          </w:tcPr>
          <w:p w14:paraId="04430864" w14:textId="77777777" w:rsidR="00C37E4E" w:rsidRPr="005F3E04" w:rsidRDefault="00C37E4E" w:rsidP="00C37E4E">
            <w:pPr>
              <w:pStyle w:val="TableText"/>
            </w:pPr>
            <w:r>
              <w:t>N</w:t>
            </w:r>
          </w:p>
        </w:tc>
        <w:tc>
          <w:tcPr>
            <w:tcW w:w="614" w:type="dxa"/>
            <w:shd w:val="clear" w:color="auto" w:fill="FFFFFF" w:themeFill="background1"/>
            <w:vAlign w:val="center"/>
          </w:tcPr>
          <w:p w14:paraId="1AA599E8" w14:textId="77777777" w:rsidR="00C37E4E" w:rsidRPr="005F3E04" w:rsidRDefault="00C37E4E" w:rsidP="00C37E4E">
            <w:pPr>
              <w:pStyle w:val="TableText"/>
            </w:pPr>
            <w:r>
              <w:t>A</w:t>
            </w:r>
          </w:p>
        </w:tc>
        <w:tc>
          <w:tcPr>
            <w:tcW w:w="646" w:type="dxa"/>
            <w:shd w:val="clear" w:color="auto" w:fill="FFFFFF" w:themeFill="background1"/>
            <w:vAlign w:val="center"/>
          </w:tcPr>
          <w:p w14:paraId="5E0E07E3" w14:textId="77777777" w:rsidR="00C37E4E" w:rsidRPr="005F3E04" w:rsidRDefault="00C37E4E" w:rsidP="00C37E4E">
            <w:pPr>
              <w:pStyle w:val="TableText"/>
            </w:pPr>
            <w:r>
              <w:t>UA</w:t>
            </w:r>
          </w:p>
        </w:tc>
        <w:tc>
          <w:tcPr>
            <w:tcW w:w="695" w:type="dxa"/>
            <w:shd w:val="clear" w:color="auto" w:fill="FFFFFF" w:themeFill="background1"/>
            <w:vAlign w:val="center"/>
          </w:tcPr>
          <w:p w14:paraId="5B51688E" w14:textId="77777777" w:rsidR="00C37E4E" w:rsidRPr="005F3E04" w:rsidRDefault="00C37E4E" w:rsidP="00C37E4E">
            <w:pPr>
              <w:pStyle w:val="TableText"/>
            </w:pPr>
            <w:r>
              <w:t>A</w:t>
            </w:r>
          </w:p>
        </w:tc>
        <w:tc>
          <w:tcPr>
            <w:tcW w:w="680" w:type="dxa"/>
            <w:tcBorders>
              <w:top w:val="single" w:sz="4" w:space="0" w:color="auto"/>
              <w:bottom w:val="nil"/>
            </w:tcBorders>
            <w:shd w:val="clear" w:color="auto" w:fill="FFFFFF" w:themeFill="background1"/>
          </w:tcPr>
          <w:p w14:paraId="5D24E84D" w14:textId="77777777" w:rsidR="00C37E4E" w:rsidRPr="005F3E04" w:rsidRDefault="00C37E4E" w:rsidP="00C37E4E">
            <w:pPr>
              <w:pStyle w:val="TableText"/>
            </w:pPr>
          </w:p>
        </w:tc>
        <w:tc>
          <w:tcPr>
            <w:tcW w:w="688" w:type="dxa"/>
            <w:tcBorders>
              <w:top w:val="single" w:sz="4" w:space="0" w:color="auto"/>
            </w:tcBorders>
            <w:shd w:val="clear" w:color="auto" w:fill="FFFFFF" w:themeFill="background1"/>
            <w:vAlign w:val="center"/>
          </w:tcPr>
          <w:p w14:paraId="6BF0AE35" w14:textId="77777777" w:rsidR="00C37E4E" w:rsidRPr="005F3E04" w:rsidRDefault="00C37E4E" w:rsidP="00C37E4E">
            <w:pPr>
              <w:pStyle w:val="TableText"/>
            </w:pPr>
            <w:r>
              <w:t>U</w:t>
            </w:r>
          </w:p>
        </w:tc>
        <w:tc>
          <w:tcPr>
            <w:tcW w:w="688" w:type="dxa"/>
            <w:tcBorders>
              <w:top w:val="single" w:sz="4" w:space="0" w:color="auto"/>
              <w:bottom w:val="nil"/>
            </w:tcBorders>
            <w:shd w:val="clear" w:color="auto" w:fill="FFFFFF" w:themeFill="background1"/>
          </w:tcPr>
          <w:p w14:paraId="0B581819" w14:textId="77777777" w:rsidR="00C37E4E" w:rsidRPr="005F3E04" w:rsidRDefault="00C37E4E" w:rsidP="00C37E4E">
            <w:pPr>
              <w:pStyle w:val="TableText"/>
            </w:pPr>
          </w:p>
        </w:tc>
        <w:tc>
          <w:tcPr>
            <w:tcW w:w="663" w:type="dxa"/>
            <w:tcBorders>
              <w:top w:val="single" w:sz="4" w:space="0" w:color="auto"/>
            </w:tcBorders>
            <w:shd w:val="clear" w:color="auto" w:fill="FFFFFF" w:themeFill="background1"/>
            <w:vAlign w:val="center"/>
          </w:tcPr>
          <w:p w14:paraId="4DA13FD6" w14:textId="77777777" w:rsidR="00C37E4E" w:rsidRPr="005F3E04" w:rsidRDefault="00C37E4E" w:rsidP="00C37E4E">
            <w:pPr>
              <w:pStyle w:val="TableText"/>
            </w:pPr>
            <w:r>
              <w:t>U</w:t>
            </w:r>
          </w:p>
        </w:tc>
        <w:tc>
          <w:tcPr>
            <w:tcW w:w="712" w:type="dxa"/>
            <w:tcBorders>
              <w:top w:val="single" w:sz="4" w:space="0" w:color="auto"/>
              <w:bottom w:val="nil"/>
              <w:right w:val="nil"/>
            </w:tcBorders>
            <w:shd w:val="clear" w:color="auto" w:fill="FFFFFF" w:themeFill="background1"/>
          </w:tcPr>
          <w:p w14:paraId="3E1ADCE5" w14:textId="77777777" w:rsidR="00C37E4E" w:rsidRPr="005F3E04" w:rsidRDefault="00C37E4E" w:rsidP="00C37E4E">
            <w:pPr>
              <w:jc w:val="center"/>
              <w:rPr>
                <w:rFonts w:ascii="Franklin Gothic Book" w:hAnsi="Franklin Gothic Book"/>
                <w:sz w:val="16"/>
                <w:szCs w:val="16"/>
              </w:rPr>
            </w:pPr>
          </w:p>
        </w:tc>
      </w:tr>
      <w:tr w:rsidR="00C37E4E" w14:paraId="24134B6C" w14:textId="77777777" w:rsidTr="00236A57">
        <w:trPr>
          <w:trHeight w:val="20"/>
          <w:jc w:val="center"/>
        </w:trPr>
        <w:tc>
          <w:tcPr>
            <w:tcW w:w="1016" w:type="dxa"/>
            <w:tcBorders>
              <w:left w:val="nil"/>
              <w:bottom w:val="single" w:sz="4" w:space="0" w:color="auto"/>
            </w:tcBorders>
            <w:shd w:val="clear" w:color="auto" w:fill="FFFFFF" w:themeFill="background1"/>
            <w:vAlign w:val="center"/>
          </w:tcPr>
          <w:p w14:paraId="3418C1FB" w14:textId="77777777" w:rsidR="00C37E4E" w:rsidRPr="005F3E04" w:rsidRDefault="00C37E4E" w:rsidP="00C37E4E">
            <w:pPr>
              <w:pStyle w:val="TableText"/>
            </w:pPr>
            <w:r>
              <w:t>Nevada</w:t>
            </w:r>
          </w:p>
        </w:tc>
        <w:tc>
          <w:tcPr>
            <w:tcW w:w="620" w:type="dxa"/>
            <w:tcBorders>
              <w:bottom w:val="single" w:sz="4" w:space="0" w:color="auto"/>
            </w:tcBorders>
            <w:shd w:val="clear" w:color="auto" w:fill="FFFFFF" w:themeFill="background1"/>
            <w:vAlign w:val="center"/>
          </w:tcPr>
          <w:p w14:paraId="34D6833D" w14:textId="77777777" w:rsidR="00C37E4E" w:rsidRPr="005F3E04" w:rsidRDefault="00C37E4E" w:rsidP="00C37E4E">
            <w:pPr>
              <w:pStyle w:val="TableText"/>
            </w:pPr>
            <w:r>
              <w:t>N</w:t>
            </w:r>
          </w:p>
        </w:tc>
        <w:tc>
          <w:tcPr>
            <w:tcW w:w="665" w:type="dxa"/>
            <w:tcBorders>
              <w:bottom w:val="single" w:sz="4" w:space="0" w:color="auto"/>
            </w:tcBorders>
            <w:shd w:val="clear" w:color="auto" w:fill="FFFFFF" w:themeFill="background1"/>
            <w:vAlign w:val="center"/>
          </w:tcPr>
          <w:p w14:paraId="247598D3" w14:textId="77777777" w:rsidR="00C37E4E" w:rsidRPr="005F3E04" w:rsidRDefault="00C37E4E" w:rsidP="00C37E4E">
            <w:pPr>
              <w:pStyle w:val="TableText"/>
            </w:pPr>
            <w:r>
              <w:t>N</w:t>
            </w:r>
          </w:p>
        </w:tc>
        <w:tc>
          <w:tcPr>
            <w:tcW w:w="600" w:type="dxa"/>
            <w:tcBorders>
              <w:bottom w:val="single" w:sz="4" w:space="0" w:color="auto"/>
            </w:tcBorders>
            <w:shd w:val="clear" w:color="auto" w:fill="FFFFFF" w:themeFill="background1"/>
            <w:vAlign w:val="center"/>
          </w:tcPr>
          <w:p w14:paraId="4E748C13"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682EA24C" w14:textId="77777777" w:rsidR="00C37E4E" w:rsidRPr="005F3E04" w:rsidRDefault="00C37E4E" w:rsidP="00C37E4E">
            <w:pPr>
              <w:pStyle w:val="TableText"/>
            </w:pPr>
            <w:r>
              <w:t>UA</w:t>
            </w:r>
          </w:p>
        </w:tc>
        <w:tc>
          <w:tcPr>
            <w:tcW w:w="600" w:type="dxa"/>
            <w:tcBorders>
              <w:bottom w:val="single" w:sz="4" w:space="0" w:color="auto"/>
            </w:tcBorders>
            <w:shd w:val="clear" w:color="auto" w:fill="FFFFFF" w:themeFill="background1"/>
            <w:vAlign w:val="center"/>
          </w:tcPr>
          <w:p w14:paraId="60151EF1"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2550DB85"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2A023A3C"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3280DD20"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14AFD97D" w14:textId="77777777" w:rsidR="00C37E4E" w:rsidRPr="005F3E04" w:rsidRDefault="00C37E4E" w:rsidP="00C37E4E">
            <w:pPr>
              <w:pStyle w:val="TableText"/>
            </w:pPr>
            <w:r>
              <w:t>N</w:t>
            </w:r>
          </w:p>
        </w:tc>
        <w:tc>
          <w:tcPr>
            <w:tcW w:w="599" w:type="dxa"/>
            <w:tcBorders>
              <w:bottom w:val="single" w:sz="4" w:space="0" w:color="auto"/>
            </w:tcBorders>
            <w:shd w:val="clear" w:color="auto" w:fill="FFFFFF" w:themeFill="background1"/>
            <w:vAlign w:val="center"/>
          </w:tcPr>
          <w:p w14:paraId="3937411D" w14:textId="77777777" w:rsidR="00C37E4E" w:rsidRPr="005F3E04" w:rsidRDefault="00C37E4E" w:rsidP="00C37E4E">
            <w:pPr>
              <w:pStyle w:val="TableText"/>
            </w:pPr>
            <w:r>
              <w:t>U</w:t>
            </w:r>
          </w:p>
        </w:tc>
        <w:tc>
          <w:tcPr>
            <w:tcW w:w="599" w:type="dxa"/>
            <w:tcBorders>
              <w:bottom w:val="single" w:sz="4" w:space="0" w:color="auto"/>
            </w:tcBorders>
            <w:shd w:val="clear" w:color="auto" w:fill="FFFFFF" w:themeFill="background1"/>
            <w:vAlign w:val="center"/>
          </w:tcPr>
          <w:p w14:paraId="17C9D1ED" w14:textId="77777777" w:rsidR="00C37E4E" w:rsidRPr="005F3E04" w:rsidRDefault="00C37E4E" w:rsidP="00C37E4E">
            <w:pPr>
              <w:pStyle w:val="TableText"/>
            </w:pPr>
            <w:r>
              <w:t>U</w:t>
            </w:r>
          </w:p>
        </w:tc>
        <w:tc>
          <w:tcPr>
            <w:tcW w:w="599" w:type="dxa"/>
            <w:tcBorders>
              <w:bottom w:val="single" w:sz="4" w:space="0" w:color="auto"/>
            </w:tcBorders>
            <w:shd w:val="clear" w:color="auto" w:fill="FFFFFF" w:themeFill="background1"/>
            <w:vAlign w:val="center"/>
          </w:tcPr>
          <w:p w14:paraId="34872327" w14:textId="77777777" w:rsidR="00C37E4E" w:rsidRPr="005F3E04" w:rsidRDefault="00C37E4E" w:rsidP="00C37E4E">
            <w:pPr>
              <w:pStyle w:val="TableText"/>
            </w:pPr>
            <w:r>
              <w:t>UA</w:t>
            </w:r>
          </w:p>
        </w:tc>
        <w:tc>
          <w:tcPr>
            <w:tcW w:w="614" w:type="dxa"/>
            <w:tcBorders>
              <w:bottom w:val="single" w:sz="4" w:space="0" w:color="auto"/>
            </w:tcBorders>
            <w:shd w:val="clear" w:color="auto" w:fill="FFFFFF" w:themeFill="background1"/>
            <w:vAlign w:val="center"/>
          </w:tcPr>
          <w:p w14:paraId="3F5C4F88" w14:textId="77777777" w:rsidR="00C37E4E" w:rsidRPr="005F3E04" w:rsidRDefault="00C37E4E" w:rsidP="00C37E4E">
            <w:pPr>
              <w:pStyle w:val="TableText"/>
            </w:pPr>
            <w:r>
              <w:t>A</w:t>
            </w:r>
          </w:p>
        </w:tc>
        <w:tc>
          <w:tcPr>
            <w:tcW w:w="646" w:type="dxa"/>
            <w:tcBorders>
              <w:bottom w:val="single" w:sz="4" w:space="0" w:color="auto"/>
            </w:tcBorders>
            <w:shd w:val="clear" w:color="auto" w:fill="FFFFFF" w:themeFill="background1"/>
            <w:vAlign w:val="center"/>
          </w:tcPr>
          <w:p w14:paraId="5363EF5E" w14:textId="77777777" w:rsidR="00C37E4E" w:rsidRPr="005F3E04" w:rsidRDefault="00C37E4E" w:rsidP="00C37E4E">
            <w:pPr>
              <w:pStyle w:val="TableText"/>
            </w:pPr>
            <w:r>
              <w:t>UA</w:t>
            </w:r>
          </w:p>
        </w:tc>
        <w:tc>
          <w:tcPr>
            <w:tcW w:w="695" w:type="dxa"/>
            <w:tcBorders>
              <w:bottom w:val="single" w:sz="4" w:space="0" w:color="auto"/>
            </w:tcBorders>
            <w:shd w:val="clear" w:color="auto" w:fill="FFFFFF" w:themeFill="background1"/>
            <w:vAlign w:val="center"/>
          </w:tcPr>
          <w:p w14:paraId="3BE2D69F"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085053B4" w14:textId="77777777" w:rsidR="00C37E4E" w:rsidRPr="005F3E04" w:rsidRDefault="00C37E4E" w:rsidP="00C37E4E">
            <w:pPr>
              <w:pStyle w:val="TableText"/>
            </w:pPr>
          </w:p>
        </w:tc>
        <w:tc>
          <w:tcPr>
            <w:tcW w:w="688" w:type="dxa"/>
            <w:tcBorders>
              <w:bottom w:val="single" w:sz="4" w:space="0" w:color="auto"/>
            </w:tcBorders>
            <w:shd w:val="clear" w:color="auto" w:fill="FFFFFF" w:themeFill="background1"/>
            <w:vAlign w:val="center"/>
          </w:tcPr>
          <w:p w14:paraId="0CA7CDE0"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1C91C7AB" w14:textId="77777777" w:rsidR="00C37E4E" w:rsidRPr="005F3E04" w:rsidRDefault="00C37E4E" w:rsidP="00C37E4E">
            <w:pPr>
              <w:pStyle w:val="TableText"/>
            </w:pPr>
          </w:p>
        </w:tc>
        <w:tc>
          <w:tcPr>
            <w:tcW w:w="663" w:type="dxa"/>
            <w:tcBorders>
              <w:bottom w:val="single" w:sz="4" w:space="0" w:color="auto"/>
            </w:tcBorders>
            <w:shd w:val="clear" w:color="auto" w:fill="FFFFFF" w:themeFill="background1"/>
            <w:vAlign w:val="center"/>
          </w:tcPr>
          <w:p w14:paraId="1FA5B4EE"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331ABEB7" w14:textId="77777777" w:rsidR="00C37E4E" w:rsidRPr="005F3E04" w:rsidRDefault="00C37E4E" w:rsidP="00C37E4E">
            <w:pPr>
              <w:jc w:val="center"/>
              <w:rPr>
                <w:rFonts w:ascii="Franklin Gothic Book" w:hAnsi="Franklin Gothic Book"/>
                <w:sz w:val="16"/>
                <w:szCs w:val="16"/>
              </w:rPr>
            </w:pPr>
          </w:p>
        </w:tc>
      </w:tr>
      <w:tr w:rsidR="00C37E4E" w14:paraId="718B8561" w14:textId="77777777" w:rsidTr="00236A57">
        <w:trPr>
          <w:trHeight w:val="20"/>
          <w:jc w:val="center"/>
        </w:trPr>
        <w:tc>
          <w:tcPr>
            <w:tcW w:w="1016" w:type="dxa"/>
            <w:tcBorders>
              <w:left w:val="nil"/>
            </w:tcBorders>
            <w:shd w:val="clear" w:color="auto" w:fill="FFFFFF" w:themeFill="background1"/>
            <w:vAlign w:val="center"/>
          </w:tcPr>
          <w:p w14:paraId="13413904" w14:textId="77777777" w:rsidR="00C37E4E" w:rsidRPr="005F3E04" w:rsidRDefault="00C37E4E" w:rsidP="00C37E4E">
            <w:pPr>
              <w:pStyle w:val="TableText"/>
            </w:pPr>
            <w:r>
              <w:t>Orange</w:t>
            </w:r>
          </w:p>
        </w:tc>
        <w:tc>
          <w:tcPr>
            <w:tcW w:w="620" w:type="dxa"/>
            <w:shd w:val="clear" w:color="auto" w:fill="FFFFFF" w:themeFill="background1"/>
            <w:vAlign w:val="center"/>
          </w:tcPr>
          <w:p w14:paraId="48350C92" w14:textId="77777777" w:rsidR="00C37E4E" w:rsidRPr="005F3E04" w:rsidRDefault="00C37E4E" w:rsidP="00C37E4E">
            <w:pPr>
              <w:pStyle w:val="TableText"/>
            </w:pPr>
            <w:r>
              <w:t>N</w:t>
            </w:r>
          </w:p>
        </w:tc>
        <w:tc>
          <w:tcPr>
            <w:tcW w:w="665" w:type="dxa"/>
            <w:shd w:val="clear" w:color="auto" w:fill="FFFFFF" w:themeFill="background1"/>
            <w:vAlign w:val="center"/>
          </w:tcPr>
          <w:p w14:paraId="363006C5" w14:textId="77777777" w:rsidR="00C37E4E" w:rsidRPr="005F3E04" w:rsidRDefault="00C37E4E" w:rsidP="00C37E4E">
            <w:pPr>
              <w:pStyle w:val="TableText"/>
            </w:pPr>
            <w:r>
              <w:t>N</w:t>
            </w:r>
          </w:p>
        </w:tc>
        <w:tc>
          <w:tcPr>
            <w:tcW w:w="600" w:type="dxa"/>
            <w:shd w:val="clear" w:color="auto" w:fill="FFFFFF" w:themeFill="background1"/>
            <w:vAlign w:val="center"/>
          </w:tcPr>
          <w:p w14:paraId="6B808336" w14:textId="77777777" w:rsidR="00C37E4E" w:rsidRPr="005F3E04" w:rsidRDefault="00C37E4E" w:rsidP="00C37E4E">
            <w:pPr>
              <w:pStyle w:val="TableText"/>
            </w:pPr>
            <w:r>
              <w:t>A</w:t>
            </w:r>
          </w:p>
        </w:tc>
        <w:tc>
          <w:tcPr>
            <w:tcW w:w="600" w:type="dxa"/>
            <w:shd w:val="clear" w:color="auto" w:fill="FFFFFF" w:themeFill="background1"/>
            <w:vAlign w:val="center"/>
          </w:tcPr>
          <w:p w14:paraId="3C36B20B" w14:textId="77777777" w:rsidR="00C37E4E" w:rsidRPr="005F3E04" w:rsidRDefault="00C37E4E" w:rsidP="00C37E4E">
            <w:pPr>
              <w:pStyle w:val="TableText"/>
            </w:pPr>
            <w:r>
              <w:t>UA</w:t>
            </w:r>
          </w:p>
        </w:tc>
        <w:tc>
          <w:tcPr>
            <w:tcW w:w="600" w:type="dxa"/>
            <w:shd w:val="clear" w:color="auto" w:fill="FFFFFF" w:themeFill="background1"/>
            <w:vAlign w:val="center"/>
          </w:tcPr>
          <w:p w14:paraId="19591A8D" w14:textId="77777777" w:rsidR="00C37E4E" w:rsidRPr="005F3E04" w:rsidRDefault="00C37E4E" w:rsidP="00C37E4E">
            <w:pPr>
              <w:pStyle w:val="TableText"/>
            </w:pPr>
            <w:r>
              <w:t>A</w:t>
            </w:r>
          </w:p>
        </w:tc>
        <w:tc>
          <w:tcPr>
            <w:tcW w:w="600" w:type="dxa"/>
            <w:shd w:val="clear" w:color="auto" w:fill="FFFFFF" w:themeFill="background1"/>
            <w:vAlign w:val="center"/>
          </w:tcPr>
          <w:p w14:paraId="0A5C62CD" w14:textId="77777777" w:rsidR="00C37E4E" w:rsidRPr="005F3E04" w:rsidRDefault="00C37E4E" w:rsidP="00C37E4E">
            <w:pPr>
              <w:pStyle w:val="TableText"/>
            </w:pPr>
            <w:r>
              <w:t>UA</w:t>
            </w:r>
          </w:p>
        </w:tc>
        <w:tc>
          <w:tcPr>
            <w:tcW w:w="599" w:type="dxa"/>
            <w:shd w:val="clear" w:color="auto" w:fill="FFFFFF" w:themeFill="background1"/>
            <w:vAlign w:val="center"/>
          </w:tcPr>
          <w:p w14:paraId="15470234" w14:textId="77777777" w:rsidR="00C37E4E" w:rsidRPr="005F3E04" w:rsidRDefault="00C37E4E" w:rsidP="00C37E4E">
            <w:pPr>
              <w:pStyle w:val="TableText"/>
            </w:pPr>
            <w:r>
              <w:t>A</w:t>
            </w:r>
          </w:p>
        </w:tc>
        <w:tc>
          <w:tcPr>
            <w:tcW w:w="599" w:type="dxa"/>
            <w:shd w:val="clear" w:color="auto" w:fill="FFFFFF" w:themeFill="background1"/>
            <w:vAlign w:val="center"/>
          </w:tcPr>
          <w:p w14:paraId="602C536A" w14:textId="77777777" w:rsidR="00C37E4E" w:rsidRPr="005F3E04" w:rsidRDefault="00C37E4E" w:rsidP="00C37E4E">
            <w:pPr>
              <w:pStyle w:val="TableText"/>
            </w:pPr>
            <w:r>
              <w:t>UA</w:t>
            </w:r>
          </w:p>
        </w:tc>
        <w:tc>
          <w:tcPr>
            <w:tcW w:w="599" w:type="dxa"/>
            <w:shd w:val="clear" w:color="auto" w:fill="FFFFFF" w:themeFill="background1"/>
            <w:vAlign w:val="center"/>
          </w:tcPr>
          <w:p w14:paraId="1F88F123" w14:textId="77777777" w:rsidR="00C37E4E" w:rsidRPr="005F3E04" w:rsidRDefault="00C37E4E" w:rsidP="00C37E4E">
            <w:pPr>
              <w:pStyle w:val="TableText"/>
            </w:pPr>
            <w:r>
              <w:t xml:space="preserve">N </w:t>
            </w:r>
          </w:p>
        </w:tc>
        <w:tc>
          <w:tcPr>
            <w:tcW w:w="599" w:type="dxa"/>
            <w:shd w:val="clear" w:color="auto" w:fill="FFFFFF" w:themeFill="background1"/>
            <w:vAlign w:val="center"/>
          </w:tcPr>
          <w:p w14:paraId="63978735" w14:textId="77777777" w:rsidR="00C37E4E" w:rsidRPr="005F3E04" w:rsidRDefault="00C37E4E" w:rsidP="00C37E4E">
            <w:pPr>
              <w:pStyle w:val="TableText"/>
            </w:pPr>
            <w:r>
              <w:t>A</w:t>
            </w:r>
          </w:p>
        </w:tc>
        <w:tc>
          <w:tcPr>
            <w:tcW w:w="599" w:type="dxa"/>
            <w:shd w:val="clear" w:color="auto" w:fill="FFFFFF" w:themeFill="background1"/>
            <w:vAlign w:val="center"/>
          </w:tcPr>
          <w:p w14:paraId="472ADEA2" w14:textId="77777777" w:rsidR="00C37E4E" w:rsidRPr="005F3E04" w:rsidRDefault="00C37E4E" w:rsidP="00C37E4E">
            <w:pPr>
              <w:pStyle w:val="TableText"/>
            </w:pPr>
            <w:r>
              <w:t>N</w:t>
            </w:r>
          </w:p>
        </w:tc>
        <w:tc>
          <w:tcPr>
            <w:tcW w:w="599" w:type="dxa"/>
            <w:shd w:val="clear" w:color="auto" w:fill="FFFFFF" w:themeFill="background1"/>
            <w:vAlign w:val="center"/>
          </w:tcPr>
          <w:p w14:paraId="52ABD9A6" w14:textId="77777777" w:rsidR="00C37E4E" w:rsidRPr="005F3E04" w:rsidRDefault="00C37E4E" w:rsidP="00C37E4E">
            <w:pPr>
              <w:pStyle w:val="TableText"/>
            </w:pPr>
            <w:r>
              <w:t>N</w:t>
            </w:r>
          </w:p>
        </w:tc>
        <w:tc>
          <w:tcPr>
            <w:tcW w:w="614" w:type="dxa"/>
            <w:shd w:val="clear" w:color="auto" w:fill="FFFFFF" w:themeFill="background1"/>
            <w:vAlign w:val="center"/>
          </w:tcPr>
          <w:p w14:paraId="25C98541" w14:textId="77777777" w:rsidR="00C37E4E" w:rsidRPr="005F3E04" w:rsidRDefault="00C37E4E" w:rsidP="00C37E4E">
            <w:pPr>
              <w:pStyle w:val="TableText"/>
            </w:pPr>
            <w:r>
              <w:t>A</w:t>
            </w:r>
          </w:p>
        </w:tc>
        <w:tc>
          <w:tcPr>
            <w:tcW w:w="646" w:type="dxa"/>
            <w:shd w:val="clear" w:color="auto" w:fill="FFFFFF" w:themeFill="background1"/>
            <w:vAlign w:val="center"/>
          </w:tcPr>
          <w:p w14:paraId="3F09E12F" w14:textId="77777777" w:rsidR="00C37E4E" w:rsidRPr="005F3E04" w:rsidRDefault="00C37E4E" w:rsidP="00C37E4E">
            <w:pPr>
              <w:pStyle w:val="TableText"/>
            </w:pPr>
            <w:r>
              <w:t>UA</w:t>
            </w:r>
          </w:p>
        </w:tc>
        <w:tc>
          <w:tcPr>
            <w:tcW w:w="695" w:type="dxa"/>
            <w:shd w:val="clear" w:color="auto" w:fill="FFFFFF" w:themeFill="background1"/>
            <w:vAlign w:val="center"/>
          </w:tcPr>
          <w:p w14:paraId="7910A85B"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0F179490" w14:textId="77777777" w:rsidR="00C37E4E" w:rsidRPr="005F3E04" w:rsidRDefault="00C37E4E" w:rsidP="00C37E4E">
            <w:pPr>
              <w:pStyle w:val="TableText"/>
            </w:pPr>
          </w:p>
        </w:tc>
        <w:tc>
          <w:tcPr>
            <w:tcW w:w="688" w:type="dxa"/>
            <w:shd w:val="clear" w:color="auto" w:fill="FFFFFF" w:themeFill="background1"/>
            <w:vAlign w:val="center"/>
          </w:tcPr>
          <w:p w14:paraId="16AB0233"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3980269C" w14:textId="77777777" w:rsidR="00C37E4E" w:rsidRPr="005F3E04" w:rsidRDefault="00C37E4E" w:rsidP="00C37E4E">
            <w:pPr>
              <w:pStyle w:val="TableText"/>
            </w:pPr>
          </w:p>
        </w:tc>
        <w:tc>
          <w:tcPr>
            <w:tcW w:w="663" w:type="dxa"/>
            <w:shd w:val="clear" w:color="auto" w:fill="FFFFFF" w:themeFill="background1"/>
            <w:vAlign w:val="center"/>
          </w:tcPr>
          <w:p w14:paraId="0455FE79"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72102C97" w14:textId="77777777" w:rsidR="00C37E4E" w:rsidRPr="005F3E04" w:rsidRDefault="00C37E4E" w:rsidP="00C37E4E">
            <w:pPr>
              <w:jc w:val="center"/>
              <w:rPr>
                <w:rFonts w:ascii="Franklin Gothic Book" w:hAnsi="Franklin Gothic Book"/>
                <w:sz w:val="16"/>
                <w:szCs w:val="16"/>
              </w:rPr>
            </w:pPr>
          </w:p>
        </w:tc>
      </w:tr>
      <w:tr w:rsidR="00C37E4E" w14:paraId="66FDA5A7" w14:textId="77777777" w:rsidTr="00236A57">
        <w:trPr>
          <w:trHeight w:val="20"/>
          <w:jc w:val="center"/>
        </w:trPr>
        <w:tc>
          <w:tcPr>
            <w:tcW w:w="1016" w:type="dxa"/>
            <w:tcBorders>
              <w:left w:val="nil"/>
              <w:bottom w:val="single" w:sz="4" w:space="0" w:color="auto"/>
            </w:tcBorders>
            <w:shd w:val="clear" w:color="auto" w:fill="FFFFFF" w:themeFill="background1"/>
            <w:vAlign w:val="center"/>
          </w:tcPr>
          <w:p w14:paraId="1088C311" w14:textId="77777777" w:rsidR="00C37E4E" w:rsidRPr="00980D5B" w:rsidRDefault="00C37E4E" w:rsidP="00C37E4E">
            <w:pPr>
              <w:pStyle w:val="TableText"/>
              <w:rPr>
                <w:vertAlign w:val="superscript"/>
              </w:rPr>
            </w:pPr>
            <w:r>
              <w:t>Placer</w:t>
            </w:r>
            <w:r>
              <w:rPr>
                <w:vertAlign w:val="superscript"/>
              </w:rPr>
              <w:t>5</w:t>
            </w:r>
          </w:p>
        </w:tc>
        <w:tc>
          <w:tcPr>
            <w:tcW w:w="620" w:type="dxa"/>
            <w:tcBorders>
              <w:bottom w:val="single" w:sz="4" w:space="0" w:color="auto"/>
            </w:tcBorders>
            <w:shd w:val="clear" w:color="auto" w:fill="FFFFFF" w:themeFill="background1"/>
            <w:vAlign w:val="center"/>
          </w:tcPr>
          <w:p w14:paraId="69B01B25" w14:textId="77777777" w:rsidR="00C37E4E" w:rsidRPr="005F3E04" w:rsidRDefault="00C37E4E" w:rsidP="00C37E4E">
            <w:pPr>
              <w:pStyle w:val="TableText"/>
            </w:pPr>
            <w:r>
              <w:t>A/N</w:t>
            </w:r>
          </w:p>
        </w:tc>
        <w:tc>
          <w:tcPr>
            <w:tcW w:w="665" w:type="dxa"/>
            <w:tcBorders>
              <w:bottom w:val="single" w:sz="4" w:space="0" w:color="auto"/>
            </w:tcBorders>
            <w:shd w:val="clear" w:color="auto" w:fill="FFFFFF" w:themeFill="background1"/>
            <w:vAlign w:val="center"/>
          </w:tcPr>
          <w:p w14:paraId="240E4E95" w14:textId="77777777" w:rsidR="00C37E4E" w:rsidRPr="005F3E04" w:rsidRDefault="00C37E4E" w:rsidP="00C37E4E">
            <w:pPr>
              <w:pStyle w:val="TableText"/>
            </w:pPr>
            <w:r>
              <w:t>N/AU</w:t>
            </w:r>
          </w:p>
        </w:tc>
        <w:tc>
          <w:tcPr>
            <w:tcW w:w="600" w:type="dxa"/>
            <w:tcBorders>
              <w:bottom w:val="single" w:sz="4" w:space="0" w:color="auto"/>
            </w:tcBorders>
            <w:shd w:val="clear" w:color="auto" w:fill="FFFFFF" w:themeFill="background1"/>
            <w:vAlign w:val="center"/>
          </w:tcPr>
          <w:p w14:paraId="53E9726F"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3DD7F107" w14:textId="77777777" w:rsidR="00C37E4E" w:rsidRPr="005F3E04" w:rsidRDefault="00C37E4E" w:rsidP="00C37E4E">
            <w:pPr>
              <w:pStyle w:val="TableText"/>
            </w:pPr>
            <w:r>
              <w:t>UA</w:t>
            </w:r>
          </w:p>
        </w:tc>
        <w:tc>
          <w:tcPr>
            <w:tcW w:w="600" w:type="dxa"/>
            <w:tcBorders>
              <w:bottom w:val="single" w:sz="4" w:space="0" w:color="auto"/>
            </w:tcBorders>
            <w:shd w:val="clear" w:color="auto" w:fill="FFFFFF" w:themeFill="background1"/>
            <w:vAlign w:val="center"/>
          </w:tcPr>
          <w:p w14:paraId="2046782E"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4A7D3FFF"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420CF7D2"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068C197F"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47BAC752" w14:textId="77777777" w:rsidR="00C37E4E" w:rsidRPr="005F3E04" w:rsidRDefault="00C37E4E" w:rsidP="00C37E4E">
            <w:pPr>
              <w:pStyle w:val="TableText"/>
            </w:pPr>
            <w:r>
              <w:t>N</w:t>
            </w:r>
          </w:p>
        </w:tc>
        <w:tc>
          <w:tcPr>
            <w:tcW w:w="599" w:type="dxa"/>
            <w:tcBorders>
              <w:bottom w:val="single" w:sz="4" w:space="0" w:color="auto"/>
            </w:tcBorders>
            <w:shd w:val="clear" w:color="auto" w:fill="FFFFFF" w:themeFill="background1"/>
            <w:vAlign w:val="center"/>
          </w:tcPr>
          <w:p w14:paraId="637D78BE" w14:textId="77777777" w:rsidR="00C37E4E" w:rsidRPr="005F3E04" w:rsidRDefault="00C37E4E" w:rsidP="00C37E4E">
            <w:pPr>
              <w:pStyle w:val="TableText"/>
            </w:pPr>
            <w:r>
              <w:t>U</w:t>
            </w:r>
          </w:p>
        </w:tc>
        <w:tc>
          <w:tcPr>
            <w:tcW w:w="599" w:type="dxa"/>
            <w:tcBorders>
              <w:bottom w:val="single" w:sz="4" w:space="0" w:color="auto"/>
            </w:tcBorders>
            <w:shd w:val="clear" w:color="auto" w:fill="FFFFFF" w:themeFill="background1"/>
            <w:vAlign w:val="center"/>
          </w:tcPr>
          <w:p w14:paraId="5F8DF6B3" w14:textId="77777777" w:rsidR="00C37E4E" w:rsidRPr="005F3E04" w:rsidRDefault="00C37E4E" w:rsidP="00C37E4E">
            <w:pPr>
              <w:pStyle w:val="TableText"/>
            </w:pPr>
            <w:r>
              <w:t>A/U</w:t>
            </w:r>
          </w:p>
        </w:tc>
        <w:tc>
          <w:tcPr>
            <w:tcW w:w="599" w:type="dxa"/>
            <w:tcBorders>
              <w:bottom w:val="single" w:sz="4" w:space="0" w:color="auto"/>
            </w:tcBorders>
            <w:shd w:val="clear" w:color="auto" w:fill="FFFFFF" w:themeFill="background1"/>
            <w:vAlign w:val="center"/>
          </w:tcPr>
          <w:p w14:paraId="643E1D86" w14:textId="77777777" w:rsidR="00C37E4E" w:rsidRPr="005F3E04" w:rsidRDefault="00C37E4E" w:rsidP="00C37E4E">
            <w:pPr>
              <w:pStyle w:val="TableText"/>
            </w:pPr>
            <w:r>
              <w:t>N/UA</w:t>
            </w:r>
          </w:p>
        </w:tc>
        <w:tc>
          <w:tcPr>
            <w:tcW w:w="614" w:type="dxa"/>
            <w:tcBorders>
              <w:bottom w:val="single" w:sz="4" w:space="0" w:color="auto"/>
            </w:tcBorders>
            <w:shd w:val="clear" w:color="auto" w:fill="FFFFFF" w:themeFill="background1"/>
            <w:vAlign w:val="center"/>
          </w:tcPr>
          <w:p w14:paraId="3DFF781E" w14:textId="77777777" w:rsidR="00C37E4E" w:rsidRPr="005F3E04" w:rsidRDefault="00C37E4E" w:rsidP="00C37E4E">
            <w:pPr>
              <w:pStyle w:val="TableText"/>
            </w:pPr>
            <w:r>
              <w:t>A</w:t>
            </w:r>
          </w:p>
        </w:tc>
        <w:tc>
          <w:tcPr>
            <w:tcW w:w="646" w:type="dxa"/>
            <w:tcBorders>
              <w:bottom w:val="single" w:sz="4" w:space="0" w:color="auto"/>
            </w:tcBorders>
            <w:shd w:val="clear" w:color="auto" w:fill="FFFFFF" w:themeFill="background1"/>
            <w:vAlign w:val="center"/>
          </w:tcPr>
          <w:p w14:paraId="0CAFF9F5" w14:textId="77777777" w:rsidR="00C37E4E" w:rsidRPr="005F3E04" w:rsidRDefault="00C37E4E" w:rsidP="00C37E4E">
            <w:pPr>
              <w:pStyle w:val="TableText"/>
            </w:pPr>
            <w:r>
              <w:t>UA</w:t>
            </w:r>
          </w:p>
        </w:tc>
        <w:tc>
          <w:tcPr>
            <w:tcW w:w="695" w:type="dxa"/>
            <w:tcBorders>
              <w:bottom w:val="single" w:sz="4" w:space="0" w:color="auto"/>
            </w:tcBorders>
            <w:shd w:val="clear" w:color="auto" w:fill="FFFFFF" w:themeFill="background1"/>
            <w:vAlign w:val="center"/>
          </w:tcPr>
          <w:p w14:paraId="5614E46D"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7A8BFAD1" w14:textId="77777777" w:rsidR="00C37E4E" w:rsidRPr="005F3E04" w:rsidRDefault="00C37E4E" w:rsidP="00C37E4E">
            <w:pPr>
              <w:pStyle w:val="TableText"/>
            </w:pPr>
          </w:p>
        </w:tc>
        <w:tc>
          <w:tcPr>
            <w:tcW w:w="688" w:type="dxa"/>
            <w:tcBorders>
              <w:bottom w:val="single" w:sz="4" w:space="0" w:color="auto"/>
            </w:tcBorders>
            <w:shd w:val="clear" w:color="auto" w:fill="FFFFFF" w:themeFill="background1"/>
            <w:vAlign w:val="center"/>
          </w:tcPr>
          <w:p w14:paraId="6722203B"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233B5E76" w14:textId="77777777" w:rsidR="00C37E4E" w:rsidRPr="005F3E04" w:rsidRDefault="00C37E4E" w:rsidP="00C37E4E">
            <w:pPr>
              <w:pStyle w:val="TableText"/>
            </w:pPr>
          </w:p>
        </w:tc>
        <w:tc>
          <w:tcPr>
            <w:tcW w:w="663" w:type="dxa"/>
            <w:tcBorders>
              <w:bottom w:val="single" w:sz="4" w:space="0" w:color="auto"/>
            </w:tcBorders>
            <w:shd w:val="clear" w:color="auto" w:fill="FFFFFF" w:themeFill="background1"/>
            <w:vAlign w:val="center"/>
          </w:tcPr>
          <w:p w14:paraId="37A3A557"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1C0AD798" w14:textId="77777777" w:rsidR="00C37E4E" w:rsidRPr="005F3E04" w:rsidRDefault="00C37E4E" w:rsidP="00C37E4E">
            <w:pPr>
              <w:jc w:val="center"/>
              <w:rPr>
                <w:rFonts w:ascii="Franklin Gothic Book" w:hAnsi="Franklin Gothic Book"/>
                <w:sz w:val="16"/>
                <w:szCs w:val="16"/>
              </w:rPr>
            </w:pPr>
          </w:p>
        </w:tc>
      </w:tr>
      <w:tr w:rsidR="00C37E4E" w14:paraId="77370A4D" w14:textId="77777777" w:rsidTr="00236A57">
        <w:trPr>
          <w:trHeight w:val="20"/>
          <w:jc w:val="center"/>
        </w:trPr>
        <w:tc>
          <w:tcPr>
            <w:tcW w:w="1016" w:type="dxa"/>
            <w:tcBorders>
              <w:left w:val="nil"/>
            </w:tcBorders>
            <w:shd w:val="clear" w:color="auto" w:fill="FFFFFF" w:themeFill="background1"/>
            <w:vAlign w:val="center"/>
          </w:tcPr>
          <w:p w14:paraId="2BC8E3CB" w14:textId="77777777" w:rsidR="00C37E4E" w:rsidRPr="005F3E04" w:rsidRDefault="00C37E4E" w:rsidP="00C37E4E">
            <w:pPr>
              <w:pStyle w:val="TableText"/>
            </w:pPr>
            <w:r>
              <w:t>Plumas</w:t>
            </w:r>
          </w:p>
        </w:tc>
        <w:tc>
          <w:tcPr>
            <w:tcW w:w="620" w:type="dxa"/>
            <w:shd w:val="clear" w:color="auto" w:fill="FFFFFF" w:themeFill="background1"/>
            <w:vAlign w:val="center"/>
          </w:tcPr>
          <w:p w14:paraId="54D79A58" w14:textId="77777777" w:rsidR="00C37E4E" w:rsidRPr="005F3E04" w:rsidRDefault="00C37E4E" w:rsidP="00C37E4E">
            <w:pPr>
              <w:pStyle w:val="TableText"/>
            </w:pPr>
            <w:r>
              <w:t>U</w:t>
            </w:r>
          </w:p>
        </w:tc>
        <w:tc>
          <w:tcPr>
            <w:tcW w:w="665" w:type="dxa"/>
            <w:shd w:val="clear" w:color="auto" w:fill="FFFFFF" w:themeFill="background1"/>
            <w:vAlign w:val="center"/>
          </w:tcPr>
          <w:p w14:paraId="6E48F343" w14:textId="77777777" w:rsidR="00C37E4E" w:rsidRPr="005F3E04" w:rsidRDefault="00C37E4E" w:rsidP="00C37E4E">
            <w:pPr>
              <w:pStyle w:val="TableText"/>
            </w:pPr>
            <w:r>
              <w:t>AU</w:t>
            </w:r>
          </w:p>
        </w:tc>
        <w:tc>
          <w:tcPr>
            <w:tcW w:w="600" w:type="dxa"/>
            <w:shd w:val="clear" w:color="auto" w:fill="FFFFFF" w:themeFill="background1"/>
            <w:vAlign w:val="center"/>
          </w:tcPr>
          <w:p w14:paraId="7FA9549C" w14:textId="77777777" w:rsidR="00C37E4E" w:rsidRPr="005F3E04" w:rsidRDefault="00C37E4E" w:rsidP="00C37E4E">
            <w:pPr>
              <w:pStyle w:val="TableText"/>
            </w:pPr>
            <w:r>
              <w:t>A</w:t>
            </w:r>
          </w:p>
        </w:tc>
        <w:tc>
          <w:tcPr>
            <w:tcW w:w="600" w:type="dxa"/>
            <w:shd w:val="clear" w:color="auto" w:fill="FFFFFF" w:themeFill="background1"/>
            <w:vAlign w:val="center"/>
          </w:tcPr>
          <w:p w14:paraId="1E1FEDDE" w14:textId="77777777" w:rsidR="00C37E4E" w:rsidRPr="005F3E04" w:rsidRDefault="00C37E4E" w:rsidP="00C37E4E">
            <w:pPr>
              <w:pStyle w:val="TableText"/>
            </w:pPr>
            <w:r>
              <w:t>UA</w:t>
            </w:r>
          </w:p>
        </w:tc>
        <w:tc>
          <w:tcPr>
            <w:tcW w:w="600" w:type="dxa"/>
            <w:shd w:val="clear" w:color="auto" w:fill="FFFFFF" w:themeFill="background1"/>
            <w:vAlign w:val="center"/>
          </w:tcPr>
          <w:p w14:paraId="49F5279A" w14:textId="77777777" w:rsidR="00C37E4E" w:rsidRPr="005F3E04" w:rsidRDefault="00C37E4E" w:rsidP="00C37E4E">
            <w:pPr>
              <w:pStyle w:val="TableText"/>
            </w:pPr>
            <w:r>
              <w:t>A</w:t>
            </w:r>
          </w:p>
        </w:tc>
        <w:tc>
          <w:tcPr>
            <w:tcW w:w="600" w:type="dxa"/>
            <w:shd w:val="clear" w:color="auto" w:fill="FFFFFF" w:themeFill="background1"/>
            <w:vAlign w:val="center"/>
          </w:tcPr>
          <w:p w14:paraId="5CFD237F" w14:textId="77777777" w:rsidR="00C37E4E" w:rsidRPr="005F3E04" w:rsidRDefault="00C37E4E" w:rsidP="00C37E4E">
            <w:pPr>
              <w:pStyle w:val="TableText"/>
            </w:pPr>
            <w:r>
              <w:t>UA</w:t>
            </w:r>
          </w:p>
        </w:tc>
        <w:tc>
          <w:tcPr>
            <w:tcW w:w="599" w:type="dxa"/>
            <w:shd w:val="clear" w:color="auto" w:fill="FFFFFF" w:themeFill="background1"/>
            <w:vAlign w:val="center"/>
          </w:tcPr>
          <w:p w14:paraId="7647B632" w14:textId="77777777" w:rsidR="00C37E4E" w:rsidRPr="005F3E04" w:rsidRDefault="00C37E4E" w:rsidP="00C37E4E">
            <w:pPr>
              <w:pStyle w:val="TableText"/>
            </w:pPr>
            <w:r>
              <w:t>A</w:t>
            </w:r>
          </w:p>
        </w:tc>
        <w:tc>
          <w:tcPr>
            <w:tcW w:w="599" w:type="dxa"/>
            <w:shd w:val="clear" w:color="auto" w:fill="FFFFFF" w:themeFill="background1"/>
            <w:vAlign w:val="center"/>
          </w:tcPr>
          <w:p w14:paraId="38258E0E" w14:textId="77777777" w:rsidR="00C37E4E" w:rsidRPr="005F3E04" w:rsidRDefault="00C37E4E" w:rsidP="00C37E4E">
            <w:pPr>
              <w:pStyle w:val="TableText"/>
            </w:pPr>
            <w:r>
              <w:t>UA</w:t>
            </w:r>
          </w:p>
        </w:tc>
        <w:tc>
          <w:tcPr>
            <w:tcW w:w="599" w:type="dxa"/>
            <w:shd w:val="clear" w:color="auto" w:fill="FFFFFF" w:themeFill="background1"/>
            <w:vAlign w:val="center"/>
          </w:tcPr>
          <w:p w14:paraId="13C78C86" w14:textId="77777777" w:rsidR="00C37E4E" w:rsidRPr="005F3E04" w:rsidRDefault="00C37E4E" w:rsidP="00C37E4E">
            <w:pPr>
              <w:pStyle w:val="TableText"/>
            </w:pPr>
            <w:r>
              <w:t>N</w:t>
            </w:r>
          </w:p>
        </w:tc>
        <w:tc>
          <w:tcPr>
            <w:tcW w:w="599" w:type="dxa"/>
            <w:shd w:val="clear" w:color="auto" w:fill="FFFFFF" w:themeFill="background1"/>
            <w:vAlign w:val="center"/>
          </w:tcPr>
          <w:p w14:paraId="6966B78F" w14:textId="77777777" w:rsidR="00C37E4E" w:rsidRPr="005F3E04" w:rsidRDefault="00C37E4E" w:rsidP="00C37E4E">
            <w:pPr>
              <w:pStyle w:val="TableText"/>
            </w:pPr>
            <w:r>
              <w:t>U</w:t>
            </w:r>
          </w:p>
        </w:tc>
        <w:tc>
          <w:tcPr>
            <w:tcW w:w="599" w:type="dxa"/>
            <w:shd w:val="clear" w:color="auto" w:fill="FFFFFF" w:themeFill="background1"/>
            <w:vAlign w:val="center"/>
          </w:tcPr>
          <w:p w14:paraId="249CE2B6" w14:textId="77777777" w:rsidR="00C37E4E" w:rsidRPr="005F3E04" w:rsidRDefault="00C37E4E" w:rsidP="00C37E4E">
            <w:pPr>
              <w:pStyle w:val="TableText"/>
            </w:pPr>
            <w:r>
              <w:t>A/U</w:t>
            </w:r>
          </w:p>
        </w:tc>
        <w:tc>
          <w:tcPr>
            <w:tcW w:w="599" w:type="dxa"/>
            <w:shd w:val="clear" w:color="auto" w:fill="FFFFFF" w:themeFill="background1"/>
            <w:vAlign w:val="center"/>
          </w:tcPr>
          <w:p w14:paraId="31B219F7" w14:textId="77777777" w:rsidR="00C37E4E" w:rsidRPr="005F3E04" w:rsidRDefault="00C37E4E" w:rsidP="00C37E4E">
            <w:pPr>
              <w:pStyle w:val="TableText"/>
            </w:pPr>
            <w:r>
              <w:t>UA</w:t>
            </w:r>
          </w:p>
        </w:tc>
        <w:tc>
          <w:tcPr>
            <w:tcW w:w="614" w:type="dxa"/>
            <w:shd w:val="clear" w:color="auto" w:fill="FFFFFF" w:themeFill="background1"/>
            <w:vAlign w:val="center"/>
          </w:tcPr>
          <w:p w14:paraId="189AD4E7" w14:textId="77777777" w:rsidR="00C37E4E" w:rsidRPr="005F3E04" w:rsidRDefault="00C37E4E" w:rsidP="00C37E4E">
            <w:pPr>
              <w:pStyle w:val="TableText"/>
            </w:pPr>
            <w:r>
              <w:t>A</w:t>
            </w:r>
          </w:p>
        </w:tc>
        <w:tc>
          <w:tcPr>
            <w:tcW w:w="646" w:type="dxa"/>
            <w:shd w:val="clear" w:color="auto" w:fill="FFFFFF" w:themeFill="background1"/>
            <w:vAlign w:val="center"/>
          </w:tcPr>
          <w:p w14:paraId="06E64FEE" w14:textId="77777777" w:rsidR="00C37E4E" w:rsidRPr="005F3E04" w:rsidRDefault="00C37E4E" w:rsidP="00C37E4E">
            <w:pPr>
              <w:pStyle w:val="TableText"/>
            </w:pPr>
            <w:r>
              <w:t>UA</w:t>
            </w:r>
          </w:p>
        </w:tc>
        <w:tc>
          <w:tcPr>
            <w:tcW w:w="695" w:type="dxa"/>
            <w:shd w:val="clear" w:color="auto" w:fill="FFFFFF" w:themeFill="background1"/>
            <w:vAlign w:val="center"/>
          </w:tcPr>
          <w:p w14:paraId="4C94FECE"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0AFFF829" w14:textId="77777777" w:rsidR="00C37E4E" w:rsidRPr="005F3E04" w:rsidRDefault="00C37E4E" w:rsidP="00C37E4E">
            <w:pPr>
              <w:pStyle w:val="TableText"/>
            </w:pPr>
          </w:p>
        </w:tc>
        <w:tc>
          <w:tcPr>
            <w:tcW w:w="688" w:type="dxa"/>
            <w:shd w:val="clear" w:color="auto" w:fill="FFFFFF" w:themeFill="background1"/>
            <w:vAlign w:val="center"/>
          </w:tcPr>
          <w:p w14:paraId="18DFEFC6"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61FE3F37" w14:textId="77777777" w:rsidR="00C37E4E" w:rsidRPr="005F3E04" w:rsidRDefault="00C37E4E" w:rsidP="00C37E4E">
            <w:pPr>
              <w:pStyle w:val="TableText"/>
            </w:pPr>
          </w:p>
        </w:tc>
        <w:tc>
          <w:tcPr>
            <w:tcW w:w="663" w:type="dxa"/>
            <w:shd w:val="clear" w:color="auto" w:fill="FFFFFF" w:themeFill="background1"/>
            <w:vAlign w:val="center"/>
          </w:tcPr>
          <w:p w14:paraId="71CC1B56"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3E41A3D5" w14:textId="77777777" w:rsidR="00C37E4E" w:rsidRPr="005F3E04" w:rsidRDefault="00C37E4E" w:rsidP="00C37E4E">
            <w:pPr>
              <w:jc w:val="center"/>
              <w:rPr>
                <w:rFonts w:ascii="Franklin Gothic Book" w:hAnsi="Franklin Gothic Book"/>
                <w:sz w:val="16"/>
                <w:szCs w:val="16"/>
              </w:rPr>
            </w:pPr>
          </w:p>
        </w:tc>
      </w:tr>
      <w:tr w:rsidR="00C37E4E" w14:paraId="08E605A3" w14:textId="77777777" w:rsidTr="00236A57">
        <w:trPr>
          <w:trHeight w:val="20"/>
          <w:jc w:val="center"/>
        </w:trPr>
        <w:tc>
          <w:tcPr>
            <w:tcW w:w="1016" w:type="dxa"/>
            <w:tcBorders>
              <w:left w:val="nil"/>
              <w:bottom w:val="single" w:sz="4" w:space="0" w:color="auto"/>
            </w:tcBorders>
            <w:shd w:val="clear" w:color="auto" w:fill="FFFFFF" w:themeFill="background1"/>
            <w:vAlign w:val="center"/>
          </w:tcPr>
          <w:p w14:paraId="159329B5" w14:textId="77777777" w:rsidR="00C37E4E" w:rsidRPr="00B227EE" w:rsidRDefault="00C37E4E" w:rsidP="00C37E4E">
            <w:pPr>
              <w:pStyle w:val="TableText"/>
              <w:rPr>
                <w:vertAlign w:val="superscript"/>
              </w:rPr>
            </w:pPr>
            <w:r>
              <w:t>Riverside</w:t>
            </w:r>
            <w:r>
              <w:rPr>
                <w:vertAlign w:val="superscript"/>
              </w:rPr>
              <w:t>6</w:t>
            </w:r>
          </w:p>
        </w:tc>
        <w:tc>
          <w:tcPr>
            <w:tcW w:w="620" w:type="dxa"/>
            <w:tcBorders>
              <w:bottom w:val="single" w:sz="4" w:space="0" w:color="auto"/>
            </w:tcBorders>
            <w:shd w:val="clear" w:color="auto" w:fill="FFFFFF" w:themeFill="background1"/>
            <w:vAlign w:val="center"/>
          </w:tcPr>
          <w:p w14:paraId="49B3B070" w14:textId="77777777" w:rsidR="00C37E4E" w:rsidRPr="005F3E04" w:rsidRDefault="00C37E4E" w:rsidP="00C37E4E">
            <w:pPr>
              <w:pStyle w:val="TableText"/>
            </w:pPr>
            <w:r>
              <w:t>N</w:t>
            </w:r>
          </w:p>
        </w:tc>
        <w:tc>
          <w:tcPr>
            <w:tcW w:w="665" w:type="dxa"/>
            <w:tcBorders>
              <w:bottom w:val="single" w:sz="4" w:space="0" w:color="auto"/>
            </w:tcBorders>
            <w:shd w:val="clear" w:color="auto" w:fill="FFFFFF" w:themeFill="background1"/>
            <w:vAlign w:val="center"/>
          </w:tcPr>
          <w:p w14:paraId="0D848E8F" w14:textId="77777777" w:rsidR="00C37E4E" w:rsidRPr="005F3E04" w:rsidRDefault="00C37E4E" w:rsidP="00C37E4E">
            <w:pPr>
              <w:pStyle w:val="TableText"/>
            </w:pPr>
            <w:r>
              <w:t>N/AU</w:t>
            </w:r>
          </w:p>
        </w:tc>
        <w:tc>
          <w:tcPr>
            <w:tcW w:w="600" w:type="dxa"/>
            <w:tcBorders>
              <w:bottom w:val="single" w:sz="4" w:space="0" w:color="auto"/>
            </w:tcBorders>
            <w:shd w:val="clear" w:color="auto" w:fill="FFFFFF" w:themeFill="background1"/>
            <w:vAlign w:val="center"/>
          </w:tcPr>
          <w:p w14:paraId="315DBD92"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743E57A9" w14:textId="77777777" w:rsidR="00C37E4E" w:rsidRPr="005F3E04" w:rsidRDefault="00C37E4E" w:rsidP="00C37E4E">
            <w:pPr>
              <w:pStyle w:val="TableText"/>
            </w:pPr>
            <w:r>
              <w:t>UA</w:t>
            </w:r>
          </w:p>
        </w:tc>
        <w:tc>
          <w:tcPr>
            <w:tcW w:w="600" w:type="dxa"/>
            <w:tcBorders>
              <w:bottom w:val="single" w:sz="4" w:space="0" w:color="auto"/>
            </w:tcBorders>
            <w:shd w:val="clear" w:color="auto" w:fill="FFFFFF" w:themeFill="background1"/>
            <w:vAlign w:val="center"/>
          </w:tcPr>
          <w:p w14:paraId="16B5F57E"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5D97A96E"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1E4BC5D1"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5BF0A922"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3A955EC2" w14:textId="77777777" w:rsidR="00C37E4E" w:rsidRPr="005F3E04" w:rsidRDefault="00C37E4E" w:rsidP="00C37E4E">
            <w:pPr>
              <w:pStyle w:val="TableText"/>
            </w:pPr>
            <w:r>
              <w:t>N</w:t>
            </w:r>
          </w:p>
        </w:tc>
        <w:tc>
          <w:tcPr>
            <w:tcW w:w="599" w:type="dxa"/>
            <w:tcBorders>
              <w:bottom w:val="single" w:sz="4" w:space="0" w:color="auto"/>
            </w:tcBorders>
            <w:shd w:val="clear" w:color="auto" w:fill="FFFFFF" w:themeFill="background1"/>
            <w:vAlign w:val="center"/>
          </w:tcPr>
          <w:p w14:paraId="0F61176A" w14:textId="77777777" w:rsidR="00C37E4E" w:rsidRPr="005F3E04" w:rsidRDefault="00C37E4E" w:rsidP="00C37E4E">
            <w:pPr>
              <w:pStyle w:val="TableText"/>
            </w:pPr>
            <w:r>
              <w:t>A/N/U</w:t>
            </w:r>
          </w:p>
        </w:tc>
        <w:tc>
          <w:tcPr>
            <w:tcW w:w="599" w:type="dxa"/>
            <w:tcBorders>
              <w:bottom w:val="single" w:sz="4" w:space="0" w:color="auto"/>
            </w:tcBorders>
            <w:shd w:val="clear" w:color="auto" w:fill="FFFFFF" w:themeFill="background1"/>
            <w:vAlign w:val="center"/>
          </w:tcPr>
          <w:p w14:paraId="1ACBF64E" w14:textId="77777777" w:rsidR="00C37E4E" w:rsidRPr="005F3E04" w:rsidRDefault="00C37E4E" w:rsidP="00C37E4E">
            <w:pPr>
              <w:pStyle w:val="TableText"/>
            </w:pPr>
            <w:r>
              <w:t>A/N/U</w:t>
            </w:r>
          </w:p>
        </w:tc>
        <w:tc>
          <w:tcPr>
            <w:tcW w:w="599" w:type="dxa"/>
            <w:tcBorders>
              <w:bottom w:val="single" w:sz="4" w:space="0" w:color="auto"/>
            </w:tcBorders>
            <w:shd w:val="clear" w:color="auto" w:fill="FFFFFF" w:themeFill="background1"/>
            <w:vAlign w:val="center"/>
          </w:tcPr>
          <w:p w14:paraId="1DB4DC0A" w14:textId="77777777" w:rsidR="00C37E4E" w:rsidRPr="005F3E04" w:rsidRDefault="00C37E4E" w:rsidP="00C37E4E">
            <w:pPr>
              <w:pStyle w:val="TableText"/>
            </w:pPr>
            <w:r>
              <w:t>N/UA</w:t>
            </w:r>
          </w:p>
        </w:tc>
        <w:tc>
          <w:tcPr>
            <w:tcW w:w="614" w:type="dxa"/>
            <w:tcBorders>
              <w:bottom w:val="single" w:sz="4" w:space="0" w:color="auto"/>
            </w:tcBorders>
            <w:shd w:val="clear" w:color="auto" w:fill="FFFFFF" w:themeFill="background1"/>
            <w:vAlign w:val="center"/>
          </w:tcPr>
          <w:p w14:paraId="3E6A2CF9" w14:textId="77777777" w:rsidR="00C37E4E" w:rsidRPr="005F3E04" w:rsidRDefault="00C37E4E" w:rsidP="00C37E4E">
            <w:pPr>
              <w:pStyle w:val="TableText"/>
            </w:pPr>
            <w:r>
              <w:t>A</w:t>
            </w:r>
          </w:p>
        </w:tc>
        <w:tc>
          <w:tcPr>
            <w:tcW w:w="646" w:type="dxa"/>
            <w:tcBorders>
              <w:bottom w:val="single" w:sz="4" w:space="0" w:color="auto"/>
            </w:tcBorders>
            <w:shd w:val="clear" w:color="auto" w:fill="FFFFFF" w:themeFill="background1"/>
            <w:vAlign w:val="center"/>
          </w:tcPr>
          <w:p w14:paraId="0A4C0EEC" w14:textId="77777777" w:rsidR="00C37E4E" w:rsidRPr="005F3E04" w:rsidRDefault="00C37E4E" w:rsidP="00C37E4E">
            <w:pPr>
              <w:pStyle w:val="TableText"/>
            </w:pPr>
            <w:r>
              <w:t>UA</w:t>
            </w:r>
          </w:p>
        </w:tc>
        <w:tc>
          <w:tcPr>
            <w:tcW w:w="695" w:type="dxa"/>
            <w:tcBorders>
              <w:bottom w:val="single" w:sz="4" w:space="0" w:color="auto"/>
            </w:tcBorders>
            <w:shd w:val="clear" w:color="auto" w:fill="FFFFFF" w:themeFill="background1"/>
            <w:vAlign w:val="center"/>
          </w:tcPr>
          <w:p w14:paraId="22E52BA2"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4CC7ACA9" w14:textId="77777777" w:rsidR="00C37E4E" w:rsidRPr="005F3E04" w:rsidRDefault="00C37E4E" w:rsidP="00C37E4E">
            <w:pPr>
              <w:pStyle w:val="TableText"/>
            </w:pPr>
          </w:p>
        </w:tc>
        <w:tc>
          <w:tcPr>
            <w:tcW w:w="688" w:type="dxa"/>
            <w:tcBorders>
              <w:bottom w:val="single" w:sz="4" w:space="0" w:color="auto"/>
            </w:tcBorders>
            <w:shd w:val="clear" w:color="auto" w:fill="FFFFFF" w:themeFill="background1"/>
            <w:vAlign w:val="center"/>
          </w:tcPr>
          <w:p w14:paraId="23379BD3"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2761AB9F" w14:textId="77777777" w:rsidR="00C37E4E" w:rsidRPr="005F3E04" w:rsidRDefault="00C37E4E" w:rsidP="00C37E4E">
            <w:pPr>
              <w:pStyle w:val="TableText"/>
            </w:pPr>
          </w:p>
        </w:tc>
        <w:tc>
          <w:tcPr>
            <w:tcW w:w="663" w:type="dxa"/>
            <w:tcBorders>
              <w:bottom w:val="single" w:sz="4" w:space="0" w:color="auto"/>
            </w:tcBorders>
            <w:shd w:val="clear" w:color="auto" w:fill="FFFFFF" w:themeFill="background1"/>
            <w:vAlign w:val="center"/>
          </w:tcPr>
          <w:p w14:paraId="6901AE8D"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0092557B" w14:textId="77777777" w:rsidR="00C37E4E" w:rsidRPr="005F3E04" w:rsidRDefault="00C37E4E" w:rsidP="00C37E4E">
            <w:pPr>
              <w:jc w:val="center"/>
              <w:rPr>
                <w:rFonts w:ascii="Franklin Gothic Book" w:hAnsi="Franklin Gothic Book"/>
                <w:sz w:val="16"/>
                <w:szCs w:val="16"/>
              </w:rPr>
            </w:pPr>
          </w:p>
        </w:tc>
      </w:tr>
      <w:tr w:rsidR="00C37E4E" w14:paraId="17D486C0" w14:textId="77777777" w:rsidTr="00236A57">
        <w:trPr>
          <w:trHeight w:val="20"/>
          <w:jc w:val="center"/>
        </w:trPr>
        <w:tc>
          <w:tcPr>
            <w:tcW w:w="1016" w:type="dxa"/>
            <w:tcBorders>
              <w:left w:val="nil"/>
            </w:tcBorders>
            <w:shd w:val="clear" w:color="auto" w:fill="FFFFFF" w:themeFill="background1"/>
            <w:vAlign w:val="center"/>
          </w:tcPr>
          <w:p w14:paraId="7B72E94C" w14:textId="77777777" w:rsidR="00C37E4E" w:rsidRPr="005F3E04" w:rsidRDefault="00C37E4E" w:rsidP="00C37E4E">
            <w:pPr>
              <w:pStyle w:val="TableText"/>
            </w:pPr>
            <w:r>
              <w:t>Sacramento</w:t>
            </w:r>
          </w:p>
        </w:tc>
        <w:tc>
          <w:tcPr>
            <w:tcW w:w="620" w:type="dxa"/>
            <w:shd w:val="clear" w:color="auto" w:fill="FFFFFF" w:themeFill="background1"/>
            <w:vAlign w:val="center"/>
          </w:tcPr>
          <w:p w14:paraId="026CFEF6" w14:textId="77777777" w:rsidR="00C37E4E" w:rsidRPr="005F3E04" w:rsidRDefault="00C37E4E" w:rsidP="00C37E4E">
            <w:pPr>
              <w:pStyle w:val="TableText"/>
            </w:pPr>
            <w:r>
              <w:t>N</w:t>
            </w:r>
          </w:p>
        </w:tc>
        <w:tc>
          <w:tcPr>
            <w:tcW w:w="665" w:type="dxa"/>
            <w:shd w:val="clear" w:color="auto" w:fill="FFFFFF" w:themeFill="background1"/>
            <w:vAlign w:val="center"/>
          </w:tcPr>
          <w:p w14:paraId="2A7DE648" w14:textId="77777777" w:rsidR="00C37E4E" w:rsidRPr="005F3E04" w:rsidRDefault="00C37E4E" w:rsidP="00C37E4E">
            <w:pPr>
              <w:pStyle w:val="TableText"/>
            </w:pPr>
            <w:r>
              <w:t>N</w:t>
            </w:r>
          </w:p>
        </w:tc>
        <w:tc>
          <w:tcPr>
            <w:tcW w:w="600" w:type="dxa"/>
            <w:shd w:val="clear" w:color="auto" w:fill="FFFFFF" w:themeFill="background1"/>
            <w:vAlign w:val="center"/>
          </w:tcPr>
          <w:p w14:paraId="3AF81381" w14:textId="77777777" w:rsidR="00C37E4E" w:rsidRPr="005F3E04" w:rsidRDefault="00C37E4E" w:rsidP="00C37E4E">
            <w:pPr>
              <w:pStyle w:val="TableText"/>
            </w:pPr>
            <w:r>
              <w:t>A</w:t>
            </w:r>
          </w:p>
        </w:tc>
        <w:tc>
          <w:tcPr>
            <w:tcW w:w="600" w:type="dxa"/>
            <w:shd w:val="clear" w:color="auto" w:fill="FFFFFF" w:themeFill="background1"/>
            <w:vAlign w:val="center"/>
          </w:tcPr>
          <w:p w14:paraId="5A1100F2" w14:textId="77777777" w:rsidR="00C37E4E" w:rsidRPr="005F3E04" w:rsidRDefault="00C37E4E" w:rsidP="00C37E4E">
            <w:pPr>
              <w:pStyle w:val="TableText"/>
            </w:pPr>
            <w:r>
              <w:t>UA</w:t>
            </w:r>
          </w:p>
        </w:tc>
        <w:tc>
          <w:tcPr>
            <w:tcW w:w="600" w:type="dxa"/>
            <w:shd w:val="clear" w:color="auto" w:fill="FFFFFF" w:themeFill="background1"/>
            <w:vAlign w:val="center"/>
          </w:tcPr>
          <w:p w14:paraId="595E2FE2" w14:textId="77777777" w:rsidR="00C37E4E" w:rsidRPr="005F3E04" w:rsidRDefault="00C37E4E" w:rsidP="00C37E4E">
            <w:pPr>
              <w:pStyle w:val="TableText"/>
            </w:pPr>
            <w:r>
              <w:t>A</w:t>
            </w:r>
          </w:p>
        </w:tc>
        <w:tc>
          <w:tcPr>
            <w:tcW w:w="600" w:type="dxa"/>
            <w:shd w:val="clear" w:color="auto" w:fill="FFFFFF" w:themeFill="background1"/>
            <w:vAlign w:val="center"/>
          </w:tcPr>
          <w:p w14:paraId="0D5FE77E" w14:textId="77777777" w:rsidR="00C37E4E" w:rsidRPr="005F3E04" w:rsidRDefault="00C37E4E" w:rsidP="00C37E4E">
            <w:pPr>
              <w:pStyle w:val="TableText"/>
            </w:pPr>
            <w:r>
              <w:t>UA</w:t>
            </w:r>
          </w:p>
        </w:tc>
        <w:tc>
          <w:tcPr>
            <w:tcW w:w="599" w:type="dxa"/>
            <w:shd w:val="clear" w:color="auto" w:fill="FFFFFF" w:themeFill="background1"/>
            <w:vAlign w:val="center"/>
          </w:tcPr>
          <w:p w14:paraId="33407FF3" w14:textId="77777777" w:rsidR="00C37E4E" w:rsidRPr="005F3E04" w:rsidRDefault="00C37E4E" w:rsidP="00C37E4E">
            <w:pPr>
              <w:pStyle w:val="TableText"/>
            </w:pPr>
            <w:r>
              <w:t>A</w:t>
            </w:r>
          </w:p>
        </w:tc>
        <w:tc>
          <w:tcPr>
            <w:tcW w:w="599" w:type="dxa"/>
            <w:shd w:val="clear" w:color="auto" w:fill="FFFFFF" w:themeFill="background1"/>
            <w:vAlign w:val="center"/>
          </w:tcPr>
          <w:p w14:paraId="4C796970" w14:textId="77777777" w:rsidR="00C37E4E" w:rsidRPr="005F3E04" w:rsidRDefault="00C37E4E" w:rsidP="00C37E4E">
            <w:pPr>
              <w:pStyle w:val="TableText"/>
            </w:pPr>
            <w:r>
              <w:t>UA</w:t>
            </w:r>
          </w:p>
        </w:tc>
        <w:tc>
          <w:tcPr>
            <w:tcW w:w="599" w:type="dxa"/>
            <w:shd w:val="clear" w:color="auto" w:fill="FFFFFF" w:themeFill="background1"/>
            <w:vAlign w:val="center"/>
          </w:tcPr>
          <w:p w14:paraId="68CED78F" w14:textId="77777777" w:rsidR="00C37E4E" w:rsidRPr="005F3E04" w:rsidRDefault="00C37E4E" w:rsidP="00C37E4E">
            <w:pPr>
              <w:pStyle w:val="TableText"/>
            </w:pPr>
            <w:r>
              <w:t>N</w:t>
            </w:r>
          </w:p>
        </w:tc>
        <w:tc>
          <w:tcPr>
            <w:tcW w:w="599" w:type="dxa"/>
            <w:shd w:val="clear" w:color="auto" w:fill="FFFFFF" w:themeFill="background1"/>
            <w:vAlign w:val="center"/>
          </w:tcPr>
          <w:p w14:paraId="62307C0A" w14:textId="77777777" w:rsidR="00C37E4E" w:rsidRPr="005F3E04" w:rsidRDefault="00C37E4E" w:rsidP="00C37E4E">
            <w:pPr>
              <w:pStyle w:val="TableText"/>
            </w:pPr>
            <w:r>
              <w:t>A</w:t>
            </w:r>
          </w:p>
        </w:tc>
        <w:tc>
          <w:tcPr>
            <w:tcW w:w="599" w:type="dxa"/>
            <w:shd w:val="clear" w:color="auto" w:fill="FFFFFF" w:themeFill="background1"/>
            <w:vAlign w:val="center"/>
          </w:tcPr>
          <w:p w14:paraId="79136578" w14:textId="77777777" w:rsidR="00C37E4E" w:rsidRPr="005F3E04" w:rsidRDefault="00C37E4E" w:rsidP="00C37E4E">
            <w:pPr>
              <w:pStyle w:val="TableText"/>
            </w:pPr>
            <w:r>
              <w:t>A</w:t>
            </w:r>
          </w:p>
        </w:tc>
        <w:tc>
          <w:tcPr>
            <w:tcW w:w="599" w:type="dxa"/>
            <w:shd w:val="clear" w:color="auto" w:fill="FFFFFF" w:themeFill="background1"/>
            <w:vAlign w:val="center"/>
          </w:tcPr>
          <w:p w14:paraId="7828A4A0" w14:textId="77777777" w:rsidR="00C37E4E" w:rsidRPr="005F3E04" w:rsidRDefault="00C37E4E" w:rsidP="00C37E4E">
            <w:pPr>
              <w:pStyle w:val="TableText"/>
            </w:pPr>
            <w:r>
              <w:t>N</w:t>
            </w:r>
          </w:p>
        </w:tc>
        <w:tc>
          <w:tcPr>
            <w:tcW w:w="614" w:type="dxa"/>
            <w:shd w:val="clear" w:color="auto" w:fill="FFFFFF" w:themeFill="background1"/>
            <w:vAlign w:val="center"/>
          </w:tcPr>
          <w:p w14:paraId="4A408E07" w14:textId="77777777" w:rsidR="00C37E4E" w:rsidRPr="005F3E04" w:rsidRDefault="00C37E4E" w:rsidP="00C37E4E">
            <w:pPr>
              <w:pStyle w:val="TableText"/>
            </w:pPr>
            <w:r>
              <w:t>A</w:t>
            </w:r>
          </w:p>
        </w:tc>
        <w:tc>
          <w:tcPr>
            <w:tcW w:w="646" w:type="dxa"/>
            <w:shd w:val="clear" w:color="auto" w:fill="FFFFFF" w:themeFill="background1"/>
            <w:vAlign w:val="center"/>
          </w:tcPr>
          <w:p w14:paraId="29957EC8" w14:textId="77777777" w:rsidR="00C37E4E" w:rsidRPr="005F3E04" w:rsidRDefault="00C37E4E" w:rsidP="00C37E4E">
            <w:pPr>
              <w:pStyle w:val="TableText"/>
            </w:pPr>
            <w:r>
              <w:t>UA</w:t>
            </w:r>
          </w:p>
        </w:tc>
        <w:tc>
          <w:tcPr>
            <w:tcW w:w="695" w:type="dxa"/>
            <w:shd w:val="clear" w:color="auto" w:fill="FFFFFF" w:themeFill="background1"/>
            <w:vAlign w:val="center"/>
          </w:tcPr>
          <w:p w14:paraId="672D8922"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58F2CC52" w14:textId="77777777" w:rsidR="00C37E4E" w:rsidRPr="005F3E04" w:rsidRDefault="00C37E4E" w:rsidP="00C37E4E">
            <w:pPr>
              <w:pStyle w:val="TableText"/>
            </w:pPr>
          </w:p>
        </w:tc>
        <w:tc>
          <w:tcPr>
            <w:tcW w:w="688" w:type="dxa"/>
            <w:shd w:val="clear" w:color="auto" w:fill="FFFFFF" w:themeFill="background1"/>
            <w:vAlign w:val="center"/>
          </w:tcPr>
          <w:p w14:paraId="75954000"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79C53483" w14:textId="77777777" w:rsidR="00C37E4E" w:rsidRPr="005F3E04" w:rsidRDefault="00C37E4E" w:rsidP="00C37E4E">
            <w:pPr>
              <w:pStyle w:val="TableText"/>
            </w:pPr>
          </w:p>
        </w:tc>
        <w:tc>
          <w:tcPr>
            <w:tcW w:w="663" w:type="dxa"/>
            <w:shd w:val="clear" w:color="auto" w:fill="FFFFFF" w:themeFill="background1"/>
            <w:vAlign w:val="center"/>
          </w:tcPr>
          <w:p w14:paraId="1D7C70D1"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4A00B2B4" w14:textId="77777777" w:rsidR="00C37E4E" w:rsidRPr="005F3E04" w:rsidRDefault="00C37E4E" w:rsidP="00C37E4E">
            <w:pPr>
              <w:jc w:val="center"/>
              <w:rPr>
                <w:rFonts w:ascii="Franklin Gothic Book" w:hAnsi="Franklin Gothic Book"/>
                <w:sz w:val="16"/>
                <w:szCs w:val="16"/>
              </w:rPr>
            </w:pPr>
          </w:p>
        </w:tc>
      </w:tr>
      <w:tr w:rsidR="00C37E4E" w14:paraId="6C542955" w14:textId="77777777" w:rsidTr="00236A57">
        <w:trPr>
          <w:trHeight w:val="20"/>
          <w:jc w:val="center"/>
        </w:trPr>
        <w:tc>
          <w:tcPr>
            <w:tcW w:w="1016" w:type="dxa"/>
            <w:tcBorders>
              <w:left w:val="nil"/>
              <w:bottom w:val="single" w:sz="4" w:space="0" w:color="auto"/>
            </w:tcBorders>
            <w:shd w:val="clear" w:color="auto" w:fill="FFFFFF" w:themeFill="background1"/>
            <w:vAlign w:val="center"/>
          </w:tcPr>
          <w:p w14:paraId="4F4221AE" w14:textId="77777777" w:rsidR="00C37E4E" w:rsidRPr="005F3E04" w:rsidRDefault="00C37E4E" w:rsidP="00C37E4E">
            <w:pPr>
              <w:pStyle w:val="TableText"/>
            </w:pPr>
            <w:r>
              <w:t>San Benito</w:t>
            </w:r>
          </w:p>
        </w:tc>
        <w:tc>
          <w:tcPr>
            <w:tcW w:w="620" w:type="dxa"/>
            <w:tcBorders>
              <w:bottom w:val="single" w:sz="4" w:space="0" w:color="auto"/>
            </w:tcBorders>
            <w:shd w:val="clear" w:color="auto" w:fill="FFFFFF" w:themeFill="background1"/>
            <w:vAlign w:val="center"/>
          </w:tcPr>
          <w:p w14:paraId="3712F750" w14:textId="77777777" w:rsidR="00C37E4E" w:rsidRPr="005F3E04" w:rsidRDefault="00C37E4E" w:rsidP="00C37E4E">
            <w:pPr>
              <w:pStyle w:val="TableText"/>
            </w:pPr>
            <w:r>
              <w:t>N</w:t>
            </w:r>
          </w:p>
        </w:tc>
        <w:tc>
          <w:tcPr>
            <w:tcW w:w="665" w:type="dxa"/>
            <w:tcBorders>
              <w:bottom w:val="single" w:sz="4" w:space="0" w:color="auto"/>
            </w:tcBorders>
            <w:shd w:val="clear" w:color="auto" w:fill="FFFFFF" w:themeFill="background1"/>
            <w:vAlign w:val="center"/>
          </w:tcPr>
          <w:p w14:paraId="6DA68F80" w14:textId="77777777" w:rsidR="00C37E4E" w:rsidRPr="005F3E04" w:rsidRDefault="00C37E4E" w:rsidP="00C37E4E">
            <w:pPr>
              <w:pStyle w:val="TableText"/>
            </w:pPr>
            <w:r>
              <w:t>AU</w:t>
            </w:r>
          </w:p>
        </w:tc>
        <w:tc>
          <w:tcPr>
            <w:tcW w:w="600" w:type="dxa"/>
            <w:tcBorders>
              <w:bottom w:val="single" w:sz="4" w:space="0" w:color="auto"/>
            </w:tcBorders>
            <w:shd w:val="clear" w:color="auto" w:fill="FFFFFF" w:themeFill="background1"/>
            <w:vAlign w:val="center"/>
          </w:tcPr>
          <w:p w14:paraId="29DC20BB" w14:textId="77777777" w:rsidR="00C37E4E" w:rsidRPr="005F3E04" w:rsidRDefault="00C37E4E" w:rsidP="00C37E4E">
            <w:pPr>
              <w:pStyle w:val="TableText"/>
            </w:pPr>
            <w:r>
              <w:t>U</w:t>
            </w:r>
          </w:p>
        </w:tc>
        <w:tc>
          <w:tcPr>
            <w:tcW w:w="600" w:type="dxa"/>
            <w:tcBorders>
              <w:bottom w:val="single" w:sz="4" w:space="0" w:color="auto"/>
            </w:tcBorders>
            <w:shd w:val="clear" w:color="auto" w:fill="FFFFFF" w:themeFill="background1"/>
            <w:vAlign w:val="center"/>
          </w:tcPr>
          <w:p w14:paraId="7CE069E4" w14:textId="77777777" w:rsidR="00C37E4E" w:rsidRPr="005F3E04" w:rsidRDefault="00C37E4E" w:rsidP="00C37E4E">
            <w:pPr>
              <w:pStyle w:val="TableText"/>
            </w:pPr>
            <w:r>
              <w:t>UA</w:t>
            </w:r>
          </w:p>
        </w:tc>
        <w:tc>
          <w:tcPr>
            <w:tcW w:w="600" w:type="dxa"/>
            <w:tcBorders>
              <w:bottom w:val="single" w:sz="4" w:space="0" w:color="auto"/>
            </w:tcBorders>
            <w:shd w:val="clear" w:color="auto" w:fill="FFFFFF" w:themeFill="background1"/>
            <w:vAlign w:val="center"/>
          </w:tcPr>
          <w:p w14:paraId="484B465D"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0AD7456A"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7F8EAEFF"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1FDC7562"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678FF71B" w14:textId="77777777" w:rsidR="00C37E4E" w:rsidRPr="005F3E04" w:rsidRDefault="00C37E4E" w:rsidP="00C37E4E">
            <w:pPr>
              <w:pStyle w:val="TableText"/>
            </w:pPr>
            <w:r>
              <w:t>N</w:t>
            </w:r>
          </w:p>
        </w:tc>
        <w:tc>
          <w:tcPr>
            <w:tcW w:w="599" w:type="dxa"/>
            <w:tcBorders>
              <w:bottom w:val="single" w:sz="4" w:space="0" w:color="auto"/>
            </w:tcBorders>
            <w:shd w:val="clear" w:color="auto" w:fill="FFFFFF" w:themeFill="background1"/>
            <w:vAlign w:val="center"/>
          </w:tcPr>
          <w:p w14:paraId="1907C417" w14:textId="77777777" w:rsidR="00C37E4E" w:rsidRPr="005F3E04" w:rsidRDefault="00C37E4E" w:rsidP="00C37E4E">
            <w:pPr>
              <w:pStyle w:val="TableText"/>
            </w:pPr>
            <w:r>
              <w:t>U</w:t>
            </w:r>
          </w:p>
        </w:tc>
        <w:tc>
          <w:tcPr>
            <w:tcW w:w="599" w:type="dxa"/>
            <w:tcBorders>
              <w:bottom w:val="single" w:sz="4" w:space="0" w:color="auto"/>
            </w:tcBorders>
            <w:shd w:val="clear" w:color="auto" w:fill="FFFFFF" w:themeFill="background1"/>
            <w:vAlign w:val="center"/>
          </w:tcPr>
          <w:p w14:paraId="59FA74CE"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785FE37E" w14:textId="77777777" w:rsidR="00C37E4E" w:rsidRPr="005F3E04" w:rsidRDefault="00C37E4E" w:rsidP="00C37E4E">
            <w:pPr>
              <w:pStyle w:val="TableText"/>
            </w:pPr>
            <w:r>
              <w:t>UA</w:t>
            </w:r>
          </w:p>
        </w:tc>
        <w:tc>
          <w:tcPr>
            <w:tcW w:w="614" w:type="dxa"/>
            <w:tcBorders>
              <w:bottom w:val="single" w:sz="4" w:space="0" w:color="auto"/>
            </w:tcBorders>
            <w:shd w:val="clear" w:color="auto" w:fill="FFFFFF" w:themeFill="background1"/>
            <w:vAlign w:val="center"/>
          </w:tcPr>
          <w:p w14:paraId="11A73EC1" w14:textId="77777777" w:rsidR="00C37E4E" w:rsidRPr="005F3E04" w:rsidRDefault="00C37E4E" w:rsidP="00C37E4E">
            <w:pPr>
              <w:pStyle w:val="TableText"/>
            </w:pPr>
            <w:r>
              <w:t>A</w:t>
            </w:r>
          </w:p>
        </w:tc>
        <w:tc>
          <w:tcPr>
            <w:tcW w:w="646" w:type="dxa"/>
            <w:tcBorders>
              <w:bottom w:val="single" w:sz="4" w:space="0" w:color="auto"/>
            </w:tcBorders>
            <w:shd w:val="clear" w:color="auto" w:fill="FFFFFF" w:themeFill="background1"/>
            <w:vAlign w:val="center"/>
          </w:tcPr>
          <w:p w14:paraId="581F2DD4" w14:textId="77777777" w:rsidR="00C37E4E" w:rsidRPr="005F3E04" w:rsidRDefault="00C37E4E" w:rsidP="00C37E4E">
            <w:pPr>
              <w:pStyle w:val="TableText"/>
            </w:pPr>
            <w:r>
              <w:t>UA</w:t>
            </w:r>
          </w:p>
        </w:tc>
        <w:tc>
          <w:tcPr>
            <w:tcW w:w="695" w:type="dxa"/>
            <w:tcBorders>
              <w:bottom w:val="single" w:sz="4" w:space="0" w:color="auto"/>
            </w:tcBorders>
            <w:shd w:val="clear" w:color="auto" w:fill="FFFFFF" w:themeFill="background1"/>
            <w:vAlign w:val="center"/>
          </w:tcPr>
          <w:p w14:paraId="3F2E154D"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65F40B67" w14:textId="77777777" w:rsidR="00C37E4E" w:rsidRPr="005F3E04" w:rsidRDefault="00C37E4E" w:rsidP="00C37E4E">
            <w:pPr>
              <w:pStyle w:val="TableText"/>
            </w:pPr>
          </w:p>
        </w:tc>
        <w:tc>
          <w:tcPr>
            <w:tcW w:w="688" w:type="dxa"/>
            <w:tcBorders>
              <w:bottom w:val="single" w:sz="4" w:space="0" w:color="auto"/>
            </w:tcBorders>
            <w:shd w:val="clear" w:color="auto" w:fill="FFFFFF" w:themeFill="background1"/>
            <w:vAlign w:val="center"/>
          </w:tcPr>
          <w:p w14:paraId="5E6665DA"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195E4A91" w14:textId="77777777" w:rsidR="00C37E4E" w:rsidRPr="005F3E04" w:rsidRDefault="00C37E4E" w:rsidP="00C37E4E">
            <w:pPr>
              <w:pStyle w:val="TableText"/>
            </w:pPr>
          </w:p>
        </w:tc>
        <w:tc>
          <w:tcPr>
            <w:tcW w:w="663" w:type="dxa"/>
            <w:tcBorders>
              <w:bottom w:val="single" w:sz="4" w:space="0" w:color="auto"/>
            </w:tcBorders>
            <w:shd w:val="clear" w:color="auto" w:fill="FFFFFF" w:themeFill="background1"/>
            <w:vAlign w:val="center"/>
          </w:tcPr>
          <w:p w14:paraId="515F6581"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53C5F4FB" w14:textId="77777777" w:rsidR="00C37E4E" w:rsidRPr="005F3E04" w:rsidRDefault="00C37E4E" w:rsidP="00C37E4E">
            <w:pPr>
              <w:jc w:val="center"/>
              <w:rPr>
                <w:rFonts w:ascii="Franklin Gothic Book" w:hAnsi="Franklin Gothic Book"/>
                <w:sz w:val="16"/>
                <w:szCs w:val="16"/>
              </w:rPr>
            </w:pPr>
          </w:p>
        </w:tc>
      </w:tr>
      <w:tr w:rsidR="00C37E4E" w14:paraId="29745BA0" w14:textId="77777777" w:rsidTr="00236A57">
        <w:trPr>
          <w:trHeight w:val="20"/>
          <w:jc w:val="center"/>
        </w:trPr>
        <w:tc>
          <w:tcPr>
            <w:tcW w:w="1016" w:type="dxa"/>
            <w:tcBorders>
              <w:left w:val="nil"/>
            </w:tcBorders>
            <w:shd w:val="clear" w:color="auto" w:fill="FFFFFF" w:themeFill="background1"/>
            <w:vAlign w:val="center"/>
          </w:tcPr>
          <w:p w14:paraId="73C28E26" w14:textId="77777777" w:rsidR="00C37E4E" w:rsidRPr="00B227EE" w:rsidRDefault="00C37E4E" w:rsidP="00C37E4E">
            <w:pPr>
              <w:pStyle w:val="TableText"/>
              <w:rPr>
                <w:vertAlign w:val="superscript"/>
              </w:rPr>
            </w:pPr>
            <w:r>
              <w:t>San Bernardino</w:t>
            </w:r>
            <w:r>
              <w:rPr>
                <w:vertAlign w:val="superscript"/>
              </w:rPr>
              <w:t>7</w:t>
            </w:r>
          </w:p>
        </w:tc>
        <w:tc>
          <w:tcPr>
            <w:tcW w:w="620" w:type="dxa"/>
            <w:shd w:val="clear" w:color="auto" w:fill="FFFFFF" w:themeFill="background1"/>
            <w:vAlign w:val="center"/>
          </w:tcPr>
          <w:p w14:paraId="09D433C8" w14:textId="77777777" w:rsidR="00C37E4E" w:rsidRPr="005F3E04" w:rsidRDefault="00C37E4E" w:rsidP="00C37E4E">
            <w:pPr>
              <w:pStyle w:val="TableText"/>
            </w:pPr>
            <w:r>
              <w:t>N</w:t>
            </w:r>
          </w:p>
        </w:tc>
        <w:tc>
          <w:tcPr>
            <w:tcW w:w="665" w:type="dxa"/>
            <w:shd w:val="clear" w:color="auto" w:fill="FFFFFF" w:themeFill="background1"/>
            <w:vAlign w:val="center"/>
          </w:tcPr>
          <w:p w14:paraId="2CD32965" w14:textId="77777777" w:rsidR="00C37E4E" w:rsidRPr="005F3E04" w:rsidRDefault="00C37E4E" w:rsidP="00C37E4E">
            <w:pPr>
              <w:pStyle w:val="TableText"/>
            </w:pPr>
            <w:r>
              <w:t>N/AU</w:t>
            </w:r>
          </w:p>
        </w:tc>
        <w:tc>
          <w:tcPr>
            <w:tcW w:w="600" w:type="dxa"/>
            <w:shd w:val="clear" w:color="auto" w:fill="FFFFFF" w:themeFill="background1"/>
            <w:vAlign w:val="center"/>
          </w:tcPr>
          <w:p w14:paraId="3BE7C1D6" w14:textId="77777777" w:rsidR="00C37E4E" w:rsidRPr="005F3E04" w:rsidRDefault="00C37E4E" w:rsidP="00C37E4E">
            <w:pPr>
              <w:pStyle w:val="TableText"/>
            </w:pPr>
            <w:r>
              <w:t>A</w:t>
            </w:r>
          </w:p>
        </w:tc>
        <w:tc>
          <w:tcPr>
            <w:tcW w:w="600" w:type="dxa"/>
            <w:shd w:val="clear" w:color="auto" w:fill="FFFFFF" w:themeFill="background1"/>
            <w:vAlign w:val="center"/>
          </w:tcPr>
          <w:p w14:paraId="450406C8" w14:textId="77777777" w:rsidR="00C37E4E" w:rsidRPr="005F3E04" w:rsidRDefault="00C37E4E" w:rsidP="00C37E4E">
            <w:pPr>
              <w:pStyle w:val="TableText"/>
            </w:pPr>
            <w:r>
              <w:t>UA</w:t>
            </w:r>
          </w:p>
        </w:tc>
        <w:tc>
          <w:tcPr>
            <w:tcW w:w="600" w:type="dxa"/>
            <w:shd w:val="clear" w:color="auto" w:fill="FFFFFF" w:themeFill="background1"/>
            <w:vAlign w:val="center"/>
          </w:tcPr>
          <w:p w14:paraId="468510E8" w14:textId="77777777" w:rsidR="00C37E4E" w:rsidRPr="005F3E04" w:rsidRDefault="00C37E4E" w:rsidP="00C37E4E">
            <w:pPr>
              <w:pStyle w:val="TableText"/>
            </w:pPr>
            <w:r>
              <w:t>A</w:t>
            </w:r>
          </w:p>
        </w:tc>
        <w:tc>
          <w:tcPr>
            <w:tcW w:w="600" w:type="dxa"/>
            <w:shd w:val="clear" w:color="auto" w:fill="FFFFFF" w:themeFill="background1"/>
            <w:vAlign w:val="center"/>
          </w:tcPr>
          <w:p w14:paraId="79E65D7C" w14:textId="77777777" w:rsidR="00C37E4E" w:rsidRPr="005F3E04" w:rsidRDefault="00C37E4E" w:rsidP="00C37E4E">
            <w:pPr>
              <w:pStyle w:val="TableText"/>
            </w:pPr>
            <w:r>
              <w:t>UA</w:t>
            </w:r>
          </w:p>
        </w:tc>
        <w:tc>
          <w:tcPr>
            <w:tcW w:w="599" w:type="dxa"/>
            <w:shd w:val="clear" w:color="auto" w:fill="FFFFFF" w:themeFill="background1"/>
            <w:vAlign w:val="center"/>
          </w:tcPr>
          <w:p w14:paraId="159D49A6" w14:textId="77777777" w:rsidR="00C37E4E" w:rsidRPr="005F3E04" w:rsidRDefault="00C37E4E" w:rsidP="00C37E4E">
            <w:pPr>
              <w:pStyle w:val="TableText"/>
            </w:pPr>
            <w:r>
              <w:t>A</w:t>
            </w:r>
          </w:p>
        </w:tc>
        <w:tc>
          <w:tcPr>
            <w:tcW w:w="599" w:type="dxa"/>
            <w:shd w:val="clear" w:color="auto" w:fill="FFFFFF" w:themeFill="background1"/>
            <w:vAlign w:val="center"/>
          </w:tcPr>
          <w:p w14:paraId="4E1F127C" w14:textId="77777777" w:rsidR="00C37E4E" w:rsidRPr="005F3E04" w:rsidRDefault="00C37E4E" w:rsidP="00C37E4E">
            <w:pPr>
              <w:pStyle w:val="TableText"/>
            </w:pPr>
            <w:r>
              <w:t>UA</w:t>
            </w:r>
          </w:p>
        </w:tc>
        <w:tc>
          <w:tcPr>
            <w:tcW w:w="599" w:type="dxa"/>
            <w:shd w:val="clear" w:color="auto" w:fill="FFFFFF" w:themeFill="background1"/>
            <w:vAlign w:val="center"/>
          </w:tcPr>
          <w:p w14:paraId="19150D32" w14:textId="77777777" w:rsidR="00C37E4E" w:rsidRPr="005F3E04" w:rsidRDefault="00C37E4E" w:rsidP="00C37E4E">
            <w:pPr>
              <w:pStyle w:val="TableText"/>
            </w:pPr>
            <w:r>
              <w:t>N</w:t>
            </w:r>
          </w:p>
        </w:tc>
        <w:tc>
          <w:tcPr>
            <w:tcW w:w="599" w:type="dxa"/>
            <w:shd w:val="clear" w:color="auto" w:fill="FFFFFF" w:themeFill="background1"/>
            <w:vAlign w:val="center"/>
          </w:tcPr>
          <w:p w14:paraId="57A7EB17" w14:textId="77777777" w:rsidR="00C37E4E" w:rsidRPr="005F3E04" w:rsidRDefault="00C37E4E" w:rsidP="00C37E4E">
            <w:pPr>
              <w:pStyle w:val="TableText"/>
            </w:pPr>
            <w:r>
              <w:t>N</w:t>
            </w:r>
          </w:p>
        </w:tc>
        <w:tc>
          <w:tcPr>
            <w:tcW w:w="599" w:type="dxa"/>
            <w:shd w:val="clear" w:color="auto" w:fill="FFFFFF" w:themeFill="background1"/>
            <w:vAlign w:val="center"/>
          </w:tcPr>
          <w:p w14:paraId="5FF2A679" w14:textId="77777777" w:rsidR="00C37E4E" w:rsidRPr="005F3E04" w:rsidRDefault="00C37E4E" w:rsidP="00C37E4E">
            <w:pPr>
              <w:pStyle w:val="TableText"/>
            </w:pPr>
            <w:r>
              <w:t>A/U</w:t>
            </w:r>
          </w:p>
        </w:tc>
        <w:tc>
          <w:tcPr>
            <w:tcW w:w="599" w:type="dxa"/>
            <w:shd w:val="clear" w:color="auto" w:fill="FFFFFF" w:themeFill="background1"/>
            <w:vAlign w:val="center"/>
          </w:tcPr>
          <w:p w14:paraId="7AE956FB" w14:textId="77777777" w:rsidR="00C37E4E" w:rsidRPr="005F3E04" w:rsidRDefault="00C37E4E" w:rsidP="00C37E4E">
            <w:pPr>
              <w:pStyle w:val="TableText"/>
            </w:pPr>
            <w:r>
              <w:t>UA</w:t>
            </w:r>
          </w:p>
        </w:tc>
        <w:tc>
          <w:tcPr>
            <w:tcW w:w="614" w:type="dxa"/>
            <w:shd w:val="clear" w:color="auto" w:fill="FFFFFF" w:themeFill="background1"/>
            <w:vAlign w:val="center"/>
          </w:tcPr>
          <w:p w14:paraId="64BAD205" w14:textId="77777777" w:rsidR="00C37E4E" w:rsidRPr="005F3E04" w:rsidRDefault="00C37E4E" w:rsidP="00C37E4E">
            <w:pPr>
              <w:pStyle w:val="TableText"/>
            </w:pPr>
            <w:r>
              <w:t>A</w:t>
            </w:r>
          </w:p>
        </w:tc>
        <w:tc>
          <w:tcPr>
            <w:tcW w:w="646" w:type="dxa"/>
            <w:shd w:val="clear" w:color="auto" w:fill="FFFFFF" w:themeFill="background1"/>
            <w:vAlign w:val="center"/>
          </w:tcPr>
          <w:p w14:paraId="6E17E6F3" w14:textId="77777777" w:rsidR="00C37E4E" w:rsidRPr="005F3E04" w:rsidRDefault="00C37E4E" w:rsidP="00C37E4E">
            <w:pPr>
              <w:pStyle w:val="TableText"/>
            </w:pPr>
            <w:r>
              <w:t>UA</w:t>
            </w:r>
          </w:p>
        </w:tc>
        <w:tc>
          <w:tcPr>
            <w:tcW w:w="695" w:type="dxa"/>
            <w:shd w:val="clear" w:color="auto" w:fill="FFFFFF" w:themeFill="background1"/>
            <w:vAlign w:val="center"/>
          </w:tcPr>
          <w:p w14:paraId="2603F004"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001B8720" w14:textId="77777777" w:rsidR="00C37E4E" w:rsidRPr="005F3E04" w:rsidRDefault="00C37E4E" w:rsidP="00C37E4E">
            <w:pPr>
              <w:pStyle w:val="TableText"/>
            </w:pPr>
          </w:p>
        </w:tc>
        <w:tc>
          <w:tcPr>
            <w:tcW w:w="688" w:type="dxa"/>
            <w:shd w:val="clear" w:color="auto" w:fill="FFFFFF" w:themeFill="background1"/>
            <w:vAlign w:val="center"/>
          </w:tcPr>
          <w:p w14:paraId="3B1B768C"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279F9AE0" w14:textId="77777777" w:rsidR="00C37E4E" w:rsidRPr="005F3E04" w:rsidRDefault="00C37E4E" w:rsidP="00C37E4E">
            <w:pPr>
              <w:pStyle w:val="TableText"/>
            </w:pPr>
          </w:p>
        </w:tc>
        <w:tc>
          <w:tcPr>
            <w:tcW w:w="663" w:type="dxa"/>
            <w:shd w:val="clear" w:color="auto" w:fill="FFFFFF" w:themeFill="background1"/>
            <w:vAlign w:val="center"/>
          </w:tcPr>
          <w:p w14:paraId="31054636"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3263605B" w14:textId="77777777" w:rsidR="00C37E4E" w:rsidRPr="005F3E04" w:rsidRDefault="00C37E4E" w:rsidP="00C37E4E">
            <w:pPr>
              <w:jc w:val="center"/>
              <w:rPr>
                <w:rFonts w:ascii="Franklin Gothic Book" w:hAnsi="Franklin Gothic Book"/>
                <w:sz w:val="16"/>
                <w:szCs w:val="16"/>
              </w:rPr>
            </w:pPr>
          </w:p>
        </w:tc>
      </w:tr>
      <w:tr w:rsidR="00C37E4E" w14:paraId="160086A3" w14:textId="77777777" w:rsidTr="00236A57">
        <w:trPr>
          <w:trHeight w:val="20"/>
          <w:jc w:val="center"/>
        </w:trPr>
        <w:tc>
          <w:tcPr>
            <w:tcW w:w="1016" w:type="dxa"/>
            <w:tcBorders>
              <w:left w:val="nil"/>
              <w:bottom w:val="single" w:sz="4" w:space="0" w:color="auto"/>
            </w:tcBorders>
            <w:shd w:val="clear" w:color="auto" w:fill="FFFFFF" w:themeFill="background1"/>
            <w:vAlign w:val="center"/>
          </w:tcPr>
          <w:p w14:paraId="6FEBD76C" w14:textId="77777777" w:rsidR="00C37E4E" w:rsidRPr="005F3E04" w:rsidRDefault="00C37E4E" w:rsidP="00C37E4E">
            <w:pPr>
              <w:pStyle w:val="TableText"/>
            </w:pPr>
            <w:r>
              <w:t>San Diego</w:t>
            </w:r>
          </w:p>
        </w:tc>
        <w:tc>
          <w:tcPr>
            <w:tcW w:w="620" w:type="dxa"/>
            <w:tcBorders>
              <w:bottom w:val="single" w:sz="4" w:space="0" w:color="auto"/>
            </w:tcBorders>
            <w:shd w:val="clear" w:color="auto" w:fill="FFFFFF" w:themeFill="background1"/>
            <w:vAlign w:val="center"/>
          </w:tcPr>
          <w:p w14:paraId="45B44352" w14:textId="77777777" w:rsidR="00C37E4E" w:rsidRPr="005F3E04" w:rsidRDefault="00C37E4E" w:rsidP="00C37E4E">
            <w:pPr>
              <w:pStyle w:val="TableText"/>
            </w:pPr>
            <w:r>
              <w:t>N</w:t>
            </w:r>
          </w:p>
        </w:tc>
        <w:tc>
          <w:tcPr>
            <w:tcW w:w="665" w:type="dxa"/>
            <w:tcBorders>
              <w:bottom w:val="single" w:sz="4" w:space="0" w:color="auto"/>
            </w:tcBorders>
            <w:shd w:val="clear" w:color="auto" w:fill="FFFFFF" w:themeFill="background1"/>
            <w:vAlign w:val="center"/>
          </w:tcPr>
          <w:p w14:paraId="2F8768A6" w14:textId="77777777" w:rsidR="00C37E4E" w:rsidRPr="005F3E04" w:rsidRDefault="00C37E4E" w:rsidP="00C37E4E">
            <w:pPr>
              <w:pStyle w:val="TableText"/>
            </w:pPr>
            <w:r>
              <w:t>N</w:t>
            </w:r>
          </w:p>
        </w:tc>
        <w:tc>
          <w:tcPr>
            <w:tcW w:w="600" w:type="dxa"/>
            <w:tcBorders>
              <w:bottom w:val="single" w:sz="4" w:space="0" w:color="auto"/>
            </w:tcBorders>
            <w:shd w:val="clear" w:color="auto" w:fill="FFFFFF" w:themeFill="background1"/>
            <w:vAlign w:val="center"/>
          </w:tcPr>
          <w:p w14:paraId="78C66332"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6DD86C86" w14:textId="77777777" w:rsidR="00C37E4E" w:rsidRPr="005F3E04" w:rsidRDefault="00C37E4E" w:rsidP="00C37E4E">
            <w:pPr>
              <w:pStyle w:val="TableText"/>
            </w:pPr>
            <w:r>
              <w:t>UA</w:t>
            </w:r>
          </w:p>
        </w:tc>
        <w:tc>
          <w:tcPr>
            <w:tcW w:w="600" w:type="dxa"/>
            <w:tcBorders>
              <w:bottom w:val="single" w:sz="4" w:space="0" w:color="auto"/>
            </w:tcBorders>
            <w:shd w:val="clear" w:color="auto" w:fill="FFFFFF" w:themeFill="background1"/>
            <w:vAlign w:val="center"/>
          </w:tcPr>
          <w:p w14:paraId="22C83828"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761F2A86"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24AF4846"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737466FD"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539FF5A4" w14:textId="77777777" w:rsidR="00C37E4E" w:rsidRPr="005F3E04" w:rsidRDefault="00C37E4E" w:rsidP="00C37E4E">
            <w:pPr>
              <w:pStyle w:val="TableText"/>
            </w:pPr>
            <w:r>
              <w:t>N</w:t>
            </w:r>
          </w:p>
        </w:tc>
        <w:tc>
          <w:tcPr>
            <w:tcW w:w="599" w:type="dxa"/>
            <w:tcBorders>
              <w:bottom w:val="single" w:sz="4" w:space="0" w:color="auto"/>
            </w:tcBorders>
            <w:shd w:val="clear" w:color="auto" w:fill="FFFFFF" w:themeFill="background1"/>
            <w:vAlign w:val="center"/>
          </w:tcPr>
          <w:p w14:paraId="3A9F66A0" w14:textId="77777777" w:rsidR="00C37E4E" w:rsidRPr="005F3E04" w:rsidRDefault="00C37E4E" w:rsidP="00C37E4E">
            <w:pPr>
              <w:pStyle w:val="TableText"/>
            </w:pPr>
            <w:r>
              <w:t>U</w:t>
            </w:r>
          </w:p>
        </w:tc>
        <w:tc>
          <w:tcPr>
            <w:tcW w:w="599" w:type="dxa"/>
            <w:tcBorders>
              <w:bottom w:val="single" w:sz="4" w:space="0" w:color="auto"/>
            </w:tcBorders>
            <w:shd w:val="clear" w:color="auto" w:fill="FFFFFF" w:themeFill="background1"/>
            <w:vAlign w:val="center"/>
          </w:tcPr>
          <w:p w14:paraId="1030DDFF" w14:textId="77777777" w:rsidR="00C37E4E" w:rsidRPr="005F3E04" w:rsidRDefault="00C37E4E" w:rsidP="00C37E4E">
            <w:pPr>
              <w:pStyle w:val="TableText"/>
            </w:pPr>
            <w:r>
              <w:t>N</w:t>
            </w:r>
          </w:p>
        </w:tc>
        <w:tc>
          <w:tcPr>
            <w:tcW w:w="599" w:type="dxa"/>
            <w:tcBorders>
              <w:bottom w:val="single" w:sz="4" w:space="0" w:color="auto"/>
            </w:tcBorders>
            <w:shd w:val="clear" w:color="auto" w:fill="FFFFFF" w:themeFill="background1"/>
            <w:vAlign w:val="center"/>
          </w:tcPr>
          <w:p w14:paraId="3DC13942" w14:textId="77777777" w:rsidR="00C37E4E" w:rsidRPr="005F3E04" w:rsidRDefault="00C37E4E" w:rsidP="00C37E4E">
            <w:pPr>
              <w:pStyle w:val="TableText"/>
            </w:pPr>
            <w:r>
              <w:t>UA</w:t>
            </w:r>
          </w:p>
        </w:tc>
        <w:tc>
          <w:tcPr>
            <w:tcW w:w="614" w:type="dxa"/>
            <w:tcBorders>
              <w:bottom w:val="single" w:sz="4" w:space="0" w:color="auto"/>
            </w:tcBorders>
            <w:shd w:val="clear" w:color="auto" w:fill="FFFFFF" w:themeFill="background1"/>
            <w:vAlign w:val="center"/>
          </w:tcPr>
          <w:p w14:paraId="38BE669A" w14:textId="77777777" w:rsidR="00C37E4E" w:rsidRPr="005F3E04" w:rsidRDefault="00C37E4E" w:rsidP="00C37E4E">
            <w:pPr>
              <w:pStyle w:val="TableText"/>
            </w:pPr>
            <w:r>
              <w:t>A</w:t>
            </w:r>
          </w:p>
        </w:tc>
        <w:tc>
          <w:tcPr>
            <w:tcW w:w="646" w:type="dxa"/>
            <w:tcBorders>
              <w:bottom w:val="single" w:sz="4" w:space="0" w:color="auto"/>
            </w:tcBorders>
            <w:shd w:val="clear" w:color="auto" w:fill="FFFFFF" w:themeFill="background1"/>
            <w:vAlign w:val="center"/>
          </w:tcPr>
          <w:p w14:paraId="7B7302AD" w14:textId="77777777" w:rsidR="00C37E4E" w:rsidRPr="005F3E04" w:rsidRDefault="00C37E4E" w:rsidP="00C37E4E">
            <w:pPr>
              <w:pStyle w:val="TableText"/>
            </w:pPr>
            <w:r>
              <w:t>UA</w:t>
            </w:r>
          </w:p>
        </w:tc>
        <w:tc>
          <w:tcPr>
            <w:tcW w:w="695" w:type="dxa"/>
            <w:tcBorders>
              <w:bottom w:val="single" w:sz="4" w:space="0" w:color="auto"/>
            </w:tcBorders>
            <w:shd w:val="clear" w:color="auto" w:fill="FFFFFF" w:themeFill="background1"/>
            <w:vAlign w:val="center"/>
          </w:tcPr>
          <w:p w14:paraId="063A93CC"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1044B0C9" w14:textId="77777777" w:rsidR="00C37E4E" w:rsidRPr="005F3E04" w:rsidRDefault="00C37E4E" w:rsidP="00C37E4E">
            <w:pPr>
              <w:pStyle w:val="TableText"/>
            </w:pPr>
          </w:p>
        </w:tc>
        <w:tc>
          <w:tcPr>
            <w:tcW w:w="688" w:type="dxa"/>
            <w:tcBorders>
              <w:bottom w:val="single" w:sz="4" w:space="0" w:color="auto"/>
            </w:tcBorders>
            <w:shd w:val="clear" w:color="auto" w:fill="FFFFFF" w:themeFill="background1"/>
            <w:vAlign w:val="center"/>
          </w:tcPr>
          <w:p w14:paraId="363EC0EC"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207BF687" w14:textId="77777777" w:rsidR="00C37E4E" w:rsidRPr="005F3E04" w:rsidRDefault="00C37E4E" w:rsidP="00C37E4E">
            <w:pPr>
              <w:pStyle w:val="TableText"/>
            </w:pPr>
          </w:p>
        </w:tc>
        <w:tc>
          <w:tcPr>
            <w:tcW w:w="663" w:type="dxa"/>
            <w:tcBorders>
              <w:bottom w:val="single" w:sz="4" w:space="0" w:color="auto"/>
            </w:tcBorders>
            <w:shd w:val="clear" w:color="auto" w:fill="FFFFFF" w:themeFill="background1"/>
            <w:vAlign w:val="center"/>
          </w:tcPr>
          <w:p w14:paraId="4EAD55E2"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6AC4ABD2" w14:textId="77777777" w:rsidR="00C37E4E" w:rsidRPr="005F3E04" w:rsidRDefault="00C37E4E" w:rsidP="00C37E4E">
            <w:pPr>
              <w:jc w:val="center"/>
              <w:rPr>
                <w:rFonts w:ascii="Franklin Gothic Book" w:hAnsi="Franklin Gothic Book"/>
                <w:sz w:val="16"/>
                <w:szCs w:val="16"/>
              </w:rPr>
            </w:pPr>
          </w:p>
        </w:tc>
      </w:tr>
      <w:tr w:rsidR="00C37E4E" w14:paraId="773BB764" w14:textId="77777777" w:rsidTr="00236A57">
        <w:trPr>
          <w:trHeight w:val="20"/>
          <w:jc w:val="center"/>
        </w:trPr>
        <w:tc>
          <w:tcPr>
            <w:tcW w:w="1016" w:type="dxa"/>
            <w:tcBorders>
              <w:left w:val="nil"/>
            </w:tcBorders>
            <w:shd w:val="clear" w:color="auto" w:fill="FFFFFF" w:themeFill="background1"/>
            <w:vAlign w:val="center"/>
          </w:tcPr>
          <w:p w14:paraId="2D39CB8C" w14:textId="77777777" w:rsidR="00C37E4E" w:rsidRPr="005F3E04" w:rsidRDefault="00C37E4E" w:rsidP="00C37E4E">
            <w:pPr>
              <w:pStyle w:val="TableText"/>
            </w:pPr>
            <w:r>
              <w:t>San Francisco</w:t>
            </w:r>
          </w:p>
        </w:tc>
        <w:tc>
          <w:tcPr>
            <w:tcW w:w="620" w:type="dxa"/>
            <w:shd w:val="clear" w:color="auto" w:fill="FFFFFF" w:themeFill="background1"/>
            <w:vAlign w:val="center"/>
          </w:tcPr>
          <w:p w14:paraId="1D427368" w14:textId="77777777" w:rsidR="00C37E4E" w:rsidRPr="005F3E04" w:rsidRDefault="00C37E4E" w:rsidP="00C37E4E">
            <w:pPr>
              <w:pStyle w:val="TableText"/>
            </w:pPr>
            <w:r>
              <w:t>N</w:t>
            </w:r>
          </w:p>
        </w:tc>
        <w:tc>
          <w:tcPr>
            <w:tcW w:w="665" w:type="dxa"/>
            <w:shd w:val="clear" w:color="auto" w:fill="FFFFFF" w:themeFill="background1"/>
            <w:vAlign w:val="center"/>
          </w:tcPr>
          <w:p w14:paraId="19522371" w14:textId="77777777" w:rsidR="00C37E4E" w:rsidRPr="005F3E04" w:rsidRDefault="00C37E4E" w:rsidP="00C37E4E">
            <w:pPr>
              <w:pStyle w:val="TableText"/>
            </w:pPr>
            <w:r>
              <w:t>N</w:t>
            </w:r>
          </w:p>
        </w:tc>
        <w:tc>
          <w:tcPr>
            <w:tcW w:w="600" w:type="dxa"/>
            <w:shd w:val="clear" w:color="auto" w:fill="FFFFFF" w:themeFill="background1"/>
            <w:vAlign w:val="center"/>
          </w:tcPr>
          <w:p w14:paraId="7F26648A" w14:textId="77777777" w:rsidR="00C37E4E" w:rsidRPr="005F3E04" w:rsidRDefault="00C37E4E" w:rsidP="00C37E4E">
            <w:pPr>
              <w:pStyle w:val="TableText"/>
            </w:pPr>
            <w:r>
              <w:t>A</w:t>
            </w:r>
          </w:p>
        </w:tc>
        <w:tc>
          <w:tcPr>
            <w:tcW w:w="600" w:type="dxa"/>
            <w:shd w:val="clear" w:color="auto" w:fill="FFFFFF" w:themeFill="background1"/>
            <w:vAlign w:val="center"/>
          </w:tcPr>
          <w:p w14:paraId="7EEBEEB3" w14:textId="77777777" w:rsidR="00C37E4E" w:rsidRPr="005F3E04" w:rsidRDefault="00C37E4E" w:rsidP="00C37E4E">
            <w:pPr>
              <w:pStyle w:val="TableText"/>
            </w:pPr>
            <w:r>
              <w:t>UA</w:t>
            </w:r>
          </w:p>
        </w:tc>
        <w:tc>
          <w:tcPr>
            <w:tcW w:w="600" w:type="dxa"/>
            <w:shd w:val="clear" w:color="auto" w:fill="FFFFFF" w:themeFill="background1"/>
            <w:vAlign w:val="center"/>
          </w:tcPr>
          <w:p w14:paraId="3C3150DF" w14:textId="77777777" w:rsidR="00C37E4E" w:rsidRPr="005F3E04" w:rsidRDefault="00C37E4E" w:rsidP="00C37E4E">
            <w:pPr>
              <w:pStyle w:val="TableText"/>
            </w:pPr>
            <w:r>
              <w:t>A</w:t>
            </w:r>
          </w:p>
        </w:tc>
        <w:tc>
          <w:tcPr>
            <w:tcW w:w="600" w:type="dxa"/>
            <w:shd w:val="clear" w:color="auto" w:fill="FFFFFF" w:themeFill="background1"/>
            <w:vAlign w:val="center"/>
          </w:tcPr>
          <w:p w14:paraId="4AF860FD" w14:textId="77777777" w:rsidR="00C37E4E" w:rsidRPr="005F3E04" w:rsidRDefault="00C37E4E" w:rsidP="00C37E4E">
            <w:pPr>
              <w:pStyle w:val="TableText"/>
            </w:pPr>
            <w:r>
              <w:t>UA</w:t>
            </w:r>
          </w:p>
        </w:tc>
        <w:tc>
          <w:tcPr>
            <w:tcW w:w="599" w:type="dxa"/>
            <w:shd w:val="clear" w:color="auto" w:fill="FFFFFF" w:themeFill="background1"/>
            <w:vAlign w:val="center"/>
          </w:tcPr>
          <w:p w14:paraId="35ADABEB" w14:textId="77777777" w:rsidR="00C37E4E" w:rsidRPr="005F3E04" w:rsidRDefault="00C37E4E" w:rsidP="00C37E4E">
            <w:pPr>
              <w:pStyle w:val="TableText"/>
            </w:pPr>
            <w:r>
              <w:t>A</w:t>
            </w:r>
          </w:p>
        </w:tc>
        <w:tc>
          <w:tcPr>
            <w:tcW w:w="599" w:type="dxa"/>
            <w:shd w:val="clear" w:color="auto" w:fill="FFFFFF" w:themeFill="background1"/>
            <w:vAlign w:val="center"/>
          </w:tcPr>
          <w:p w14:paraId="62A92053" w14:textId="77777777" w:rsidR="00C37E4E" w:rsidRPr="005F3E04" w:rsidRDefault="00C37E4E" w:rsidP="00C37E4E">
            <w:pPr>
              <w:pStyle w:val="TableText"/>
            </w:pPr>
            <w:r>
              <w:t>UA</w:t>
            </w:r>
          </w:p>
        </w:tc>
        <w:tc>
          <w:tcPr>
            <w:tcW w:w="599" w:type="dxa"/>
            <w:shd w:val="clear" w:color="auto" w:fill="FFFFFF" w:themeFill="background1"/>
            <w:vAlign w:val="center"/>
          </w:tcPr>
          <w:p w14:paraId="0D49F4B6" w14:textId="77777777" w:rsidR="00C37E4E" w:rsidRPr="005F3E04" w:rsidRDefault="00C37E4E" w:rsidP="00C37E4E">
            <w:pPr>
              <w:pStyle w:val="TableText"/>
            </w:pPr>
            <w:r>
              <w:t>N</w:t>
            </w:r>
          </w:p>
        </w:tc>
        <w:tc>
          <w:tcPr>
            <w:tcW w:w="599" w:type="dxa"/>
            <w:shd w:val="clear" w:color="auto" w:fill="FFFFFF" w:themeFill="background1"/>
            <w:vAlign w:val="center"/>
          </w:tcPr>
          <w:p w14:paraId="693D9473" w14:textId="77777777" w:rsidR="00C37E4E" w:rsidRPr="005F3E04" w:rsidRDefault="00C37E4E" w:rsidP="00C37E4E">
            <w:pPr>
              <w:pStyle w:val="TableText"/>
            </w:pPr>
            <w:r>
              <w:t>U</w:t>
            </w:r>
          </w:p>
        </w:tc>
        <w:tc>
          <w:tcPr>
            <w:tcW w:w="599" w:type="dxa"/>
            <w:shd w:val="clear" w:color="auto" w:fill="FFFFFF" w:themeFill="background1"/>
            <w:vAlign w:val="center"/>
          </w:tcPr>
          <w:p w14:paraId="7A74F1AA" w14:textId="77777777" w:rsidR="00C37E4E" w:rsidRPr="005F3E04" w:rsidRDefault="00C37E4E" w:rsidP="00C37E4E">
            <w:pPr>
              <w:pStyle w:val="TableText"/>
            </w:pPr>
            <w:r>
              <w:t>N</w:t>
            </w:r>
          </w:p>
        </w:tc>
        <w:tc>
          <w:tcPr>
            <w:tcW w:w="599" w:type="dxa"/>
            <w:shd w:val="clear" w:color="auto" w:fill="FFFFFF" w:themeFill="background1"/>
            <w:vAlign w:val="center"/>
          </w:tcPr>
          <w:p w14:paraId="73680A8E" w14:textId="77777777" w:rsidR="00C37E4E" w:rsidRPr="005F3E04" w:rsidRDefault="00C37E4E" w:rsidP="00C37E4E">
            <w:pPr>
              <w:pStyle w:val="TableText"/>
            </w:pPr>
            <w:r>
              <w:t>N</w:t>
            </w:r>
          </w:p>
        </w:tc>
        <w:tc>
          <w:tcPr>
            <w:tcW w:w="614" w:type="dxa"/>
            <w:shd w:val="clear" w:color="auto" w:fill="FFFFFF" w:themeFill="background1"/>
            <w:vAlign w:val="center"/>
          </w:tcPr>
          <w:p w14:paraId="7969D6E7" w14:textId="77777777" w:rsidR="00C37E4E" w:rsidRPr="005F3E04" w:rsidRDefault="00C37E4E" w:rsidP="00C37E4E">
            <w:pPr>
              <w:pStyle w:val="TableText"/>
            </w:pPr>
            <w:r>
              <w:t>A</w:t>
            </w:r>
          </w:p>
        </w:tc>
        <w:tc>
          <w:tcPr>
            <w:tcW w:w="646" w:type="dxa"/>
            <w:shd w:val="clear" w:color="auto" w:fill="FFFFFF" w:themeFill="background1"/>
            <w:vAlign w:val="center"/>
          </w:tcPr>
          <w:p w14:paraId="6C665CB8" w14:textId="77777777" w:rsidR="00C37E4E" w:rsidRPr="005F3E04" w:rsidRDefault="00C37E4E" w:rsidP="00C37E4E">
            <w:pPr>
              <w:pStyle w:val="TableText"/>
            </w:pPr>
            <w:r>
              <w:t>UA</w:t>
            </w:r>
          </w:p>
        </w:tc>
        <w:tc>
          <w:tcPr>
            <w:tcW w:w="695" w:type="dxa"/>
            <w:shd w:val="clear" w:color="auto" w:fill="FFFFFF" w:themeFill="background1"/>
            <w:vAlign w:val="center"/>
          </w:tcPr>
          <w:p w14:paraId="2DFFE1FA"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4C8CF349" w14:textId="77777777" w:rsidR="00C37E4E" w:rsidRPr="005F3E04" w:rsidRDefault="00C37E4E" w:rsidP="00C37E4E">
            <w:pPr>
              <w:pStyle w:val="TableText"/>
            </w:pPr>
          </w:p>
        </w:tc>
        <w:tc>
          <w:tcPr>
            <w:tcW w:w="688" w:type="dxa"/>
            <w:shd w:val="clear" w:color="auto" w:fill="FFFFFF" w:themeFill="background1"/>
            <w:vAlign w:val="center"/>
          </w:tcPr>
          <w:p w14:paraId="565E0B97"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70EF720D" w14:textId="77777777" w:rsidR="00C37E4E" w:rsidRPr="005F3E04" w:rsidRDefault="00C37E4E" w:rsidP="00C37E4E">
            <w:pPr>
              <w:pStyle w:val="TableText"/>
            </w:pPr>
          </w:p>
        </w:tc>
        <w:tc>
          <w:tcPr>
            <w:tcW w:w="663" w:type="dxa"/>
            <w:shd w:val="clear" w:color="auto" w:fill="FFFFFF" w:themeFill="background1"/>
            <w:vAlign w:val="center"/>
          </w:tcPr>
          <w:p w14:paraId="2CF74087"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247352C9" w14:textId="77777777" w:rsidR="00C37E4E" w:rsidRPr="005F3E04" w:rsidRDefault="00C37E4E" w:rsidP="00C37E4E">
            <w:pPr>
              <w:jc w:val="center"/>
              <w:rPr>
                <w:rFonts w:ascii="Franklin Gothic Book" w:hAnsi="Franklin Gothic Book"/>
                <w:sz w:val="16"/>
                <w:szCs w:val="16"/>
              </w:rPr>
            </w:pPr>
          </w:p>
        </w:tc>
      </w:tr>
      <w:tr w:rsidR="00C37E4E" w14:paraId="5B0DDD0D" w14:textId="77777777" w:rsidTr="00236A57">
        <w:trPr>
          <w:trHeight w:val="20"/>
          <w:jc w:val="center"/>
        </w:trPr>
        <w:tc>
          <w:tcPr>
            <w:tcW w:w="1016" w:type="dxa"/>
            <w:tcBorders>
              <w:left w:val="nil"/>
              <w:bottom w:val="single" w:sz="4" w:space="0" w:color="auto"/>
            </w:tcBorders>
            <w:shd w:val="clear" w:color="auto" w:fill="FFFFFF" w:themeFill="background1"/>
            <w:vAlign w:val="center"/>
          </w:tcPr>
          <w:p w14:paraId="48F77761" w14:textId="77777777" w:rsidR="00C37E4E" w:rsidRPr="005F3E04" w:rsidRDefault="00C37E4E" w:rsidP="00C37E4E">
            <w:pPr>
              <w:pStyle w:val="TableText"/>
            </w:pPr>
            <w:r>
              <w:t>San Joaquin</w:t>
            </w:r>
          </w:p>
        </w:tc>
        <w:tc>
          <w:tcPr>
            <w:tcW w:w="620" w:type="dxa"/>
            <w:tcBorders>
              <w:bottom w:val="single" w:sz="4" w:space="0" w:color="auto"/>
            </w:tcBorders>
            <w:shd w:val="clear" w:color="auto" w:fill="FFFFFF" w:themeFill="background1"/>
            <w:vAlign w:val="center"/>
          </w:tcPr>
          <w:p w14:paraId="58ABAE69" w14:textId="77777777" w:rsidR="00C37E4E" w:rsidRPr="005F3E04" w:rsidRDefault="00C37E4E" w:rsidP="00C37E4E">
            <w:pPr>
              <w:pStyle w:val="TableText"/>
            </w:pPr>
            <w:r>
              <w:t>N</w:t>
            </w:r>
          </w:p>
        </w:tc>
        <w:tc>
          <w:tcPr>
            <w:tcW w:w="665" w:type="dxa"/>
            <w:tcBorders>
              <w:bottom w:val="single" w:sz="4" w:space="0" w:color="auto"/>
            </w:tcBorders>
            <w:shd w:val="clear" w:color="auto" w:fill="FFFFFF" w:themeFill="background1"/>
            <w:vAlign w:val="center"/>
          </w:tcPr>
          <w:p w14:paraId="4D4EDABE" w14:textId="77777777" w:rsidR="00C37E4E" w:rsidRPr="005F3E04" w:rsidRDefault="00C37E4E" w:rsidP="00C37E4E">
            <w:pPr>
              <w:pStyle w:val="TableText"/>
            </w:pPr>
            <w:r>
              <w:t>N</w:t>
            </w:r>
          </w:p>
        </w:tc>
        <w:tc>
          <w:tcPr>
            <w:tcW w:w="600" w:type="dxa"/>
            <w:tcBorders>
              <w:bottom w:val="single" w:sz="4" w:space="0" w:color="auto"/>
            </w:tcBorders>
            <w:shd w:val="clear" w:color="auto" w:fill="FFFFFF" w:themeFill="background1"/>
            <w:vAlign w:val="center"/>
          </w:tcPr>
          <w:p w14:paraId="652A9ABD"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2E7F3E32" w14:textId="77777777" w:rsidR="00C37E4E" w:rsidRPr="005F3E04" w:rsidRDefault="00C37E4E" w:rsidP="00C37E4E">
            <w:pPr>
              <w:pStyle w:val="TableText"/>
            </w:pPr>
            <w:r>
              <w:t>UA</w:t>
            </w:r>
          </w:p>
        </w:tc>
        <w:tc>
          <w:tcPr>
            <w:tcW w:w="600" w:type="dxa"/>
            <w:tcBorders>
              <w:bottom w:val="single" w:sz="4" w:space="0" w:color="auto"/>
            </w:tcBorders>
            <w:shd w:val="clear" w:color="auto" w:fill="FFFFFF" w:themeFill="background1"/>
            <w:vAlign w:val="center"/>
          </w:tcPr>
          <w:p w14:paraId="6281CF77"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2900F720"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251559DF"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3F259249"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1F69BEEE" w14:textId="77777777" w:rsidR="00C37E4E" w:rsidRPr="005F3E04" w:rsidRDefault="00C37E4E" w:rsidP="00C37E4E">
            <w:pPr>
              <w:pStyle w:val="TableText"/>
            </w:pPr>
            <w:r>
              <w:t>N</w:t>
            </w:r>
          </w:p>
        </w:tc>
        <w:tc>
          <w:tcPr>
            <w:tcW w:w="599" w:type="dxa"/>
            <w:tcBorders>
              <w:bottom w:val="single" w:sz="4" w:space="0" w:color="auto"/>
            </w:tcBorders>
            <w:shd w:val="clear" w:color="auto" w:fill="FFFFFF" w:themeFill="background1"/>
            <w:vAlign w:val="center"/>
          </w:tcPr>
          <w:p w14:paraId="36CE8415"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2BADE861" w14:textId="77777777" w:rsidR="00C37E4E" w:rsidRPr="005F3E04" w:rsidRDefault="00C37E4E" w:rsidP="00C37E4E">
            <w:pPr>
              <w:pStyle w:val="TableText"/>
            </w:pPr>
            <w:r>
              <w:t>N</w:t>
            </w:r>
          </w:p>
        </w:tc>
        <w:tc>
          <w:tcPr>
            <w:tcW w:w="599" w:type="dxa"/>
            <w:tcBorders>
              <w:bottom w:val="single" w:sz="4" w:space="0" w:color="auto"/>
            </w:tcBorders>
            <w:shd w:val="clear" w:color="auto" w:fill="FFFFFF" w:themeFill="background1"/>
            <w:vAlign w:val="center"/>
          </w:tcPr>
          <w:p w14:paraId="49B8A768" w14:textId="77777777" w:rsidR="00C37E4E" w:rsidRPr="005F3E04" w:rsidRDefault="00C37E4E" w:rsidP="00C37E4E">
            <w:pPr>
              <w:pStyle w:val="TableText"/>
            </w:pPr>
            <w:r>
              <w:t>N</w:t>
            </w:r>
          </w:p>
        </w:tc>
        <w:tc>
          <w:tcPr>
            <w:tcW w:w="614" w:type="dxa"/>
            <w:tcBorders>
              <w:bottom w:val="single" w:sz="4" w:space="0" w:color="auto"/>
            </w:tcBorders>
            <w:shd w:val="clear" w:color="auto" w:fill="FFFFFF" w:themeFill="background1"/>
            <w:vAlign w:val="center"/>
          </w:tcPr>
          <w:p w14:paraId="4BFB1646" w14:textId="77777777" w:rsidR="00C37E4E" w:rsidRPr="005F3E04" w:rsidRDefault="00C37E4E" w:rsidP="00C37E4E">
            <w:pPr>
              <w:pStyle w:val="TableText"/>
            </w:pPr>
            <w:r>
              <w:t>A</w:t>
            </w:r>
          </w:p>
        </w:tc>
        <w:tc>
          <w:tcPr>
            <w:tcW w:w="646" w:type="dxa"/>
            <w:tcBorders>
              <w:bottom w:val="single" w:sz="4" w:space="0" w:color="auto"/>
            </w:tcBorders>
            <w:shd w:val="clear" w:color="auto" w:fill="FFFFFF" w:themeFill="background1"/>
            <w:vAlign w:val="center"/>
          </w:tcPr>
          <w:p w14:paraId="7A925EEE" w14:textId="77777777" w:rsidR="00C37E4E" w:rsidRPr="005F3E04" w:rsidRDefault="00C37E4E" w:rsidP="00C37E4E">
            <w:pPr>
              <w:pStyle w:val="TableText"/>
            </w:pPr>
            <w:r>
              <w:t>UA</w:t>
            </w:r>
          </w:p>
        </w:tc>
        <w:tc>
          <w:tcPr>
            <w:tcW w:w="695" w:type="dxa"/>
            <w:tcBorders>
              <w:bottom w:val="single" w:sz="4" w:space="0" w:color="auto"/>
            </w:tcBorders>
            <w:shd w:val="clear" w:color="auto" w:fill="FFFFFF" w:themeFill="background1"/>
            <w:vAlign w:val="center"/>
          </w:tcPr>
          <w:p w14:paraId="5C50D90E"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24A3CD06" w14:textId="77777777" w:rsidR="00C37E4E" w:rsidRPr="005F3E04" w:rsidRDefault="00C37E4E" w:rsidP="00C37E4E">
            <w:pPr>
              <w:pStyle w:val="TableText"/>
            </w:pPr>
          </w:p>
        </w:tc>
        <w:tc>
          <w:tcPr>
            <w:tcW w:w="688" w:type="dxa"/>
            <w:tcBorders>
              <w:bottom w:val="single" w:sz="4" w:space="0" w:color="auto"/>
            </w:tcBorders>
            <w:shd w:val="clear" w:color="auto" w:fill="FFFFFF" w:themeFill="background1"/>
            <w:vAlign w:val="center"/>
          </w:tcPr>
          <w:p w14:paraId="3AFD17FA"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1A8D9F86" w14:textId="77777777" w:rsidR="00C37E4E" w:rsidRPr="005F3E04" w:rsidRDefault="00C37E4E" w:rsidP="00C37E4E">
            <w:pPr>
              <w:pStyle w:val="TableText"/>
            </w:pPr>
          </w:p>
        </w:tc>
        <w:tc>
          <w:tcPr>
            <w:tcW w:w="663" w:type="dxa"/>
            <w:tcBorders>
              <w:bottom w:val="single" w:sz="4" w:space="0" w:color="auto"/>
            </w:tcBorders>
            <w:shd w:val="clear" w:color="auto" w:fill="FFFFFF" w:themeFill="background1"/>
            <w:vAlign w:val="center"/>
          </w:tcPr>
          <w:p w14:paraId="462D9904"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5E541747" w14:textId="77777777" w:rsidR="00C37E4E" w:rsidRPr="005F3E04" w:rsidRDefault="00C37E4E" w:rsidP="00C37E4E">
            <w:pPr>
              <w:jc w:val="center"/>
              <w:rPr>
                <w:rFonts w:ascii="Franklin Gothic Book" w:hAnsi="Franklin Gothic Book"/>
                <w:sz w:val="16"/>
                <w:szCs w:val="16"/>
              </w:rPr>
            </w:pPr>
          </w:p>
        </w:tc>
      </w:tr>
      <w:tr w:rsidR="00C37E4E" w14:paraId="6A6A25FC" w14:textId="77777777" w:rsidTr="00236A57">
        <w:trPr>
          <w:trHeight w:val="20"/>
          <w:jc w:val="center"/>
        </w:trPr>
        <w:tc>
          <w:tcPr>
            <w:tcW w:w="1016" w:type="dxa"/>
            <w:tcBorders>
              <w:left w:val="nil"/>
            </w:tcBorders>
            <w:shd w:val="clear" w:color="auto" w:fill="FFFFFF" w:themeFill="background1"/>
            <w:vAlign w:val="center"/>
          </w:tcPr>
          <w:p w14:paraId="3DE628E5" w14:textId="77777777" w:rsidR="00C37E4E" w:rsidRDefault="00C37E4E" w:rsidP="00C37E4E">
            <w:pPr>
              <w:pStyle w:val="TableText"/>
            </w:pPr>
            <w:r>
              <w:t xml:space="preserve">San Luis Obispo </w:t>
            </w:r>
          </w:p>
        </w:tc>
        <w:tc>
          <w:tcPr>
            <w:tcW w:w="620" w:type="dxa"/>
            <w:shd w:val="clear" w:color="auto" w:fill="FFFFFF" w:themeFill="background1"/>
            <w:vAlign w:val="center"/>
          </w:tcPr>
          <w:p w14:paraId="41BBA59E" w14:textId="77777777" w:rsidR="00C37E4E" w:rsidRPr="005F3E04" w:rsidRDefault="00C37E4E" w:rsidP="00C37E4E">
            <w:pPr>
              <w:pStyle w:val="TableText"/>
            </w:pPr>
            <w:r>
              <w:t>N</w:t>
            </w:r>
          </w:p>
        </w:tc>
        <w:tc>
          <w:tcPr>
            <w:tcW w:w="665" w:type="dxa"/>
            <w:shd w:val="clear" w:color="auto" w:fill="FFFFFF" w:themeFill="background1"/>
            <w:vAlign w:val="center"/>
          </w:tcPr>
          <w:p w14:paraId="56CD82BA" w14:textId="77777777" w:rsidR="00C37E4E" w:rsidRPr="005F3E04" w:rsidRDefault="00C37E4E" w:rsidP="00C37E4E">
            <w:pPr>
              <w:pStyle w:val="TableText"/>
            </w:pPr>
            <w:r>
              <w:t>N</w:t>
            </w:r>
          </w:p>
        </w:tc>
        <w:tc>
          <w:tcPr>
            <w:tcW w:w="600" w:type="dxa"/>
            <w:shd w:val="clear" w:color="auto" w:fill="FFFFFF" w:themeFill="background1"/>
            <w:vAlign w:val="center"/>
          </w:tcPr>
          <w:p w14:paraId="251CFBBA" w14:textId="77777777" w:rsidR="00C37E4E" w:rsidRPr="005F3E04" w:rsidRDefault="00C37E4E" w:rsidP="00C37E4E">
            <w:pPr>
              <w:pStyle w:val="TableText"/>
            </w:pPr>
            <w:r>
              <w:t>A</w:t>
            </w:r>
          </w:p>
        </w:tc>
        <w:tc>
          <w:tcPr>
            <w:tcW w:w="600" w:type="dxa"/>
            <w:shd w:val="clear" w:color="auto" w:fill="FFFFFF" w:themeFill="background1"/>
            <w:vAlign w:val="center"/>
          </w:tcPr>
          <w:p w14:paraId="63F1E676" w14:textId="77777777" w:rsidR="00C37E4E" w:rsidRPr="005F3E04" w:rsidRDefault="00C37E4E" w:rsidP="00C37E4E">
            <w:pPr>
              <w:pStyle w:val="TableText"/>
            </w:pPr>
            <w:r>
              <w:t>UA</w:t>
            </w:r>
          </w:p>
        </w:tc>
        <w:tc>
          <w:tcPr>
            <w:tcW w:w="600" w:type="dxa"/>
            <w:shd w:val="clear" w:color="auto" w:fill="FFFFFF" w:themeFill="background1"/>
            <w:vAlign w:val="center"/>
          </w:tcPr>
          <w:p w14:paraId="5223192E" w14:textId="77777777" w:rsidR="00C37E4E" w:rsidRPr="005F3E04" w:rsidRDefault="00C37E4E" w:rsidP="00C37E4E">
            <w:pPr>
              <w:pStyle w:val="TableText"/>
            </w:pPr>
            <w:r>
              <w:t>A</w:t>
            </w:r>
          </w:p>
        </w:tc>
        <w:tc>
          <w:tcPr>
            <w:tcW w:w="600" w:type="dxa"/>
            <w:shd w:val="clear" w:color="auto" w:fill="FFFFFF" w:themeFill="background1"/>
            <w:vAlign w:val="center"/>
          </w:tcPr>
          <w:p w14:paraId="2789CB29" w14:textId="77777777" w:rsidR="00C37E4E" w:rsidRPr="005F3E04" w:rsidRDefault="00C37E4E" w:rsidP="00C37E4E">
            <w:pPr>
              <w:pStyle w:val="TableText"/>
            </w:pPr>
            <w:r>
              <w:t>UA</w:t>
            </w:r>
          </w:p>
        </w:tc>
        <w:tc>
          <w:tcPr>
            <w:tcW w:w="599" w:type="dxa"/>
            <w:shd w:val="clear" w:color="auto" w:fill="FFFFFF" w:themeFill="background1"/>
            <w:vAlign w:val="center"/>
          </w:tcPr>
          <w:p w14:paraId="6C43A860" w14:textId="77777777" w:rsidR="00C37E4E" w:rsidRPr="005F3E04" w:rsidRDefault="00C37E4E" w:rsidP="00C37E4E">
            <w:pPr>
              <w:pStyle w:val="TableText"/>
            </w:pPr>
            <w:r>
              <w:t>A</w:t>
            </w:r>
          </w:p>
        </w:tc>
        <w:tc>
          <w:tcPr>
            <w:tcW w:w="599" w:type="dxa"/>
            <w:shd w:val="clear" w:color="auto" w:fill="FFFFFF" w:themeFill="background1"/>
            <w:vAlign w:val="center"/>
          </w:tcPr>
          <w:p w14:paraId="7A9F6BD3" w14:textId="77777777" w:rsidR="00C37E4E" w:rsidRPr="005F3E04" w:rsidRDefault="00C37E4E" w:rsidP="00C37E4E">
            <w:pPr>
              <w:pStyle w:val="TableText"/>
            </w:pPr>
            <w:r>
              <w:t>UA</w:t>
            </w:r>
          </w:p>
        </w:tc>
        <w:tc>
          <w:tcPr>
            <w:tcW w:w="599" w:type="dxa"/>
            <w:shd w:val="clear" w:color="auto" w:fill="FFFFFF" w:themeFill="background1"/>
            <w:vAlign w:val="center"/>
          </w:tcPr>
          <w:p w14:paraId="50F86EB8" w14:textId="77777777" w:rsidR="00C37E4E" w:rsidRPr="005F3E04" w:rsidRDefault="00C37E4E" w:rsidP="00C37E4E">
            <w:pPr>
              <w:pStyle w:val="TableText"/>
            </w:pPr>
            <w:r>
              <w:t>N</w:t>
            </w:r>
          </w:p>
        </w:tc>
        <w:tc>
          <w:tcPr>
            <w:tcW w:w="599" w:type="dxa"/>
            <w:shd w:val="clear" w:color="auto" w:fill="FFFFFF" w:themeFill="background1"/>
            <w:vAlign w:val="center"/>
          </w:tcPr>
          <w:p w14:paraId="65BC666D" w14:textId="77777777" w:rsidR="00C37E4E" w:rsidRPr="005F3E04" w:rsidRDefault="00C37E4E" w:rsidP="00C37E4E">
            <w:pPr>
              <w:pStyle w:val="TableText"/>
            </w:pPr>
            <w:r>
              <w:t>U</w:t>
            </w:r>
          </w:p>
        </w:tc>
        <w:tc>
          <w:tcPr>
            <w:tcW w:w="599" w:type="dxa"/>
            <w:shd w:val="clear" w:color="auto" w:fill="FFFFFF" w:themeFill="background1"/>
            <w:vAlign w:val="center"/>
          </w:tcPr>
          <w:p w14:paraId="07B25EC9" w14:textId="77777777" w:rsidR="00C37E4E" w:rsidRPr="005F3E04" w:rsidRDefault="00C37E4E" w:rsidP="00C37E4E">
            <w:pPr>
              <w:pStyle w:val="TableText"/>
            </w:pPr>
            <w:r>
              <w:t>A</w:t>
            </w:r>
          </w:p>
        </w:tc>
        <w:tc>
          <w:tcPr>
            <w:tcW w:w="599" w:type="dxa"/>
            <w:shd w:val="clear" w:color="auto" w:fill="FFFFFF" w:themeFill="background1"/>
            <w:vAlign w:val="center"/>
          </w:tcPr>
          <w:p w14:paraId="60EAE9CF" w14:textId="77777777" w:rsidR="00C37E4E" w:rsidRPr="005F3E04" w:rsidRDefault="00C37E4E" w:rsidP="00C37E4E">
            <w:pPr>
              <w:pStyle w:val="TableText"/>
            </w:pPr>
            <w:r>
              <w:t>UA</w:t>
            </w:r>
          </w:p>
        </w:tc>
        <w:tc>
          <w:tcPr>
            <w:tcW w:w="614" w:type="dxa"/>
            <w:shd w:val="clear" w:color="auto" w:fill="FFFFFF" w:themeFill="background1"/>
            <w:vAlign w:val="center"/>
          </w:tcPr>
          <w:p w14:paraId="2F188B28" w14:textId="77777777" w:rsidR="00C37E4E" w:rsidRPr="005F3E04" w:rsidRDefault="00C37E4E" w:rsidP="00C37E4E">
            <w:pPr>
              <w:pStyle w:val="TableText"/>
            </w:pPr>
            <w:r>
              <w:t>A</w:t>
            </w:r>
          </w:p>
        </w:tc>
        <w:tc>
          <w:tcPr>
            <w:tcW w:w="646" w:type="dxa"/>
            <w:shd w:val="clear" w:color="auto" w:fill="FFFFFF" w:themeFill="background1"/>
            <w:vAlign w:val="center"/>
          </w:tcPr>
          <w:p w14:paraId="5B9F5904" w14:textId="77777777" w:rsidR="00C37E4E" w:rsidRPr="005F3E04" w:rsidRDefault="00C37E4E" w:rsidP="00C37E4E">
            <w:pPr>
              <w:pStyle w:val="TableText"/>
            </w:pPr>
            <w:r>
              <w:t>UA</w:t>
            </w:r>
          </w:p>
        </w:tc>
        <w:tc>
          <w:tcPr>
            <w:tcW w:w="695" w:type="dxa"/>
            <w:shd w:val="clear" w:color="auto" w:fill="FFFFFF" w:themeFill="background1"/>
            <w:vAlign w:val="center"/>
          </w:tcPr>
          <w:p w14:paraId="0B26E658"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vAlign w:val="center"/>
          </w:tcPr>
          <w:p w14:paraId="6E5F630E" w14:textId="77777777" w:rsidR="00C37E4E" w:rsidRPr="001E4207" w:rsidRDefault="00C37E4E" w:rsidP="00C37E4E">
            <w:pPr>
              <w:jc w:val="center"/>
              <w:rPr>
                <w:sz w:val="14"/>
                <w:szCs w:val="16"/>
              </w:rPr>
            </w:pPr>
            <w:r w:rsidRPr="001E4207">
              <w:rPr>
                <w:sz w:val="14"/>
                <w:szCs w:val="16"/>
              </w:rPr>
              <w:t>No Federal Standard</w:t>
            </w:r>
          </w:p>
        </w:tc>
        <w:tc>
          <w:tcPr>
            <w:tcW w:w="688" w:type="dxa"/>
            <w:shd w:val="clear" w:color="auto" w:fill="FFFFFF" w:themeFill="background1"/>
            <w:vAlign w:val="center"/>
          </w:tcPr>
          <w:p w14:paraId="5C680CEA" w14:textId="77777777" w:rsidR="00C37E4E" w:rsidRPr="005F3E04" w:rsidRDefault="00C37E4E" w:rsidP="00C37E4E">
            <w:pPr>
              <w:pStyle w:val="TableText"/>
            </w:pPr>
            <w:r>
              <w:t>A</w:t>
            </w:r>
          </w:p>
        </w:tc>
        <w:tc>
          <w:tcPr>
            <w:tcW w:w="688" w:type="dxa"/>
            <w:tcBorders>
              <w:top w:val="nil"/>
              <w:bottom w:val="nil"/>
            </w:tcBorders>
            <w:shd w:val="clear" w:color="auto" w:fill="FFFFFF" w:themeFill="background1"/>
            <w:vAlign w:val="center"/>
          </w:tcPr>
          <w:p w14:paraId="1EC45E87" w14:textId="77777777" w:rsidR="00C37E4E" w:rsidRPr="001E4207" w:rsidRDefault="00C37E4E" w:rsidP="00C37E4E">
            <w:pPr>
              <w:jc w:val="center"/>
              <w:rPr>
                <w:sz w:val="14"/>
                <w:szCs w:val="16"/>
              </w:rPr>
            </w:pPr>
            <w:r w:rsidRPr="001E4207">
              <w:rPr>
                <w:sz w:val="14"/>
                <w:szCs w:val="16"/>
              </w:rPr>
              <w:t>No Federal Standard</w:t>
            </w:r>
          </w:p>
        </w:tc>
        <w:tc>
          <w:tcPr>
            <w:tcW w:w="663" w:type="dxa"/>
            <w:shd w:val="clear" w:color="auto" w:fill="FFFFFF" w:themeFill="background1"/>
            <w:vAlign w:val="center"/>
          </w:tcPr>
          <w:p w14:paraId="6E6B1BA2"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vAlign w:val="center"/>
          </w:tcPr>
          <w:p w14:paraId="1E1017B4" w14:textId="77777777" w:rsidR="00C37E4E" w:rsidRPr="005F3E04" w:rsidRDefault="00C37E4E" w:rsidP="00C37E4E">
            <w:pPr>
              <w:jc w:val="center"/>
              <w:rPr>
                <w:rFonts w:ascii="Franklin Gothic Book" w:hAnsi="Franklin Gothic Book"/>
                <w:sz w:val="16"/>
                <w:szCs w:val="16"/>
              </w:rPr>
            </w:pPr>
            <w:r w:rsidRPr="00203600">
              <w:rPr>
                <w:sz w:val="14"/>
                <w:szCs w:val="16"/>
              </w:rPr>
              <w:t>No Federal Standard</w:t>
            </w:r>
          </w:p>
        </w:tc>
      </w:tr>
      <w:tr w:rsidR="00C37E4E" w14:paraId="02B7D272" w14:textId="77777777" w:rsidTr="00236A57">
        <w:trPr>
          <w:trHeight w:val="20"/>
          <w:jc w:val="center"/>
        </w:trPr>
        <w:tc>
          <w:tcPr>
            <w:tcW w:w="1016" w:type="dxa"/>
            <w:tcBorders>
              <w:left w:val="nil"/>
              <w:bottom w:val="single" w:sz="4" w:space="0" w:color="auto"/>
            </w:tcBorders>
            <w:shd w:val="clear" w:color="auto" w:fill="FFFFFF" w:themeFill="background1"/>
            <w:vAlign w:val="center"/>
          </w:tcPr>
          <w:p w14:paraId="05402D56" w14:textId="77777777" w:rsidR="00C37E4E" w:rsidRDefault="00C37E4E" w:rsidP="00C37E4E">
            <w:pPr>
              <w:pStyle w:val="TableText"/>
            </w:pPr>
            <w:r>
              <w:t>San Mateo</w:t>
            </w:r>
          </w:p>
        </w:tc>
        <w:tc>
          <w:tcPr>
            <w:tcW w:w="620" w:type="dxa"/>
            <w:tcBorders>
              <w:bottom w:val="single" w:sz="4" w:space="0" w:color="auto"/>
            </w:tcBorders>
            <w:shd w:val="clear" w:color="auto" w:fill="FFFFFF" w:themeFill="background1"/>
            <w:vAlign w:val="center"/>
          </w:tcPr>
          <w:p w14:paraId="0A17E83B" w14:textId="77777777" w:rsidR="00C37E4E" w:rsidRPr="005F3E04" w:rsidRDefault="00C37E4E" w:rsidP="00C37E4E">
            <w:pPr>
              <w:pStyle w:val="TableText"/>
            </w:pPr>
            <w:r>
              <w:t>N</w:t>
            </w:r>
          </w:p>
        </w:tc>
        <w:tc>
          <w:tcPr>
            <w:tcW w:w="665" w:type="dxa"/>
            <w:tcBorders>
              <w:bottom w:val="single" w:sz="4" w:space="0" w:color="auto"/>
            </w:tcBorders>
            <w:shd w:val="clear" w:color="auto" w:fill="FFFFFF" w:themeFill="background1"/>
            <w:vAlign w:val="center"/>
          </w:tcPr>
          <w:p w14:paraId="5234C473" w14:textId="77777777" w:rsidR="00C37E4E" w:rsidRPr="005F3E04" w:rsidRDefault="00C37E4E" w:rsidP="00C37E4E">
            <w:pPr>
              <w:pStyle w:val="TableText"/>
            </w:pPr>
            <w:r>
              <w:t>N</w:t>
            </w:r>
          </w:p>
        </w:tc>
        <w:tc>
          <w:tcPr>
            <w:tcW w:w="600" w:type="dxa"/>
            <w:tcBorders>
              <w:bottom w:val="single" w:sz="4" w:space="0" w:color="auto"/>
            </w:tcBorders>
            <w:shd w:val="clear" w:color="auto" w:fill="FFFFFF" w:themeFill="background1"/>
            <w:vAlign w:val="center"/>
          </w:tcPr>
          <w:p w14:paraId="4D613F47"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26C555EB" w14:textId="77777777" w:rsidR="00C37E4E" w:rsidRPr="005F3E04" w:rsidRDefault="00C37E4E" w:rsidP="00C37E4E">
            <w:pPr>
              <w:pStyle w:val="TableText"/>
            </w:pPr>
            <w:r>
              <w:t>UA</w:t>
            </w:r>
          </w:p>
        </w:tc>
        <w:tc>
          <w:tcPr>
            <w:tcW w:w="600" w:type="dxa"/>
            <w:tcBorders>
              <w:bottom w:val="single" w:sz="4" w:space="0" w:color="auto"/>
            </w:tcBorders>
            <w:shd w:val="clear" w:color="auto" w:fill="FFFFFF" w:themeFill="background1"/>
            <w:vAlign w:val="center"/>
          </w:tcPr>
          <w:p w14:paraId="7B7DEB04"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28ADDFB5"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316BE1EB"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12C6D2EF"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7096D724" w14:textId="77777777" w:rsidR="00C37E4E" w:rsidRPr="005F3E04" w:rsidRDefault="00C37E4E" w:rsidP="00C37E4E">
            <w:pPr>
              <w:pStyle w:val="TableText"/>
            </w:pPr>
            <w:r>
              <w:t>N</w:t>
            </w:r>
          </w:p>
        </w:tc>
        <w:tc>
          <w:tcPr>
            <w:tcW w:w="599" w:type="dxa"/>
            <w:tcBorders>
              <w:bottom w:val="single" w:sz="4" w:space="0" w:color="auto"/>
            </w:tcBorders>
            <w:shd w:val="clear" w:color="auto" w:fill="FFFFFF" w:themeFill="background1"/>
            <w:vAlign w:val="center"/>
          </w:tcPr>
          <w:p w14:paraId="65C86262" w14:textId="77777777" w:rsidR="00C37E4E" w:rsidRPr="005F3E04" w:rsidRDefault="00C37E4E" w:rsidP="00C37E4E">
            <w:pPr>
              <w:pStyle w:val="TableText"/>
            </w:pPr>
            <w:r>
              <w:t>U</w:t>
            </w:r>
          </w:p>
        </w:tc>
        <w:tc>
          <w:tcPr>
            <w:tcW w:w="599" w:type="dxa"/>
            <w:tcBorders>
              <w:bottom w:val="single" w:sz="4" w:space="0" w:color="auto"/>
            </w:tcBorders>
            <w:shd w:val="clear" w:color="auto" w:fill="FFFFFF" w:themeFill="background1"/>
            <w:vAlign w:val="center"/>
          </w:tcPr>
          <w:p w14:paraId="53732F6E" w14:textId="77777777" w:rsidR="00C37E4E" w:rsidRPr="005F3E04" w:rsidRDefault="00C37E4E" w:rsidP="00C37E4E">
            <w:pPr>
              <w:pStyle w:val="TableText"/>
            </w:pPr>
            <w:r>
              <w:t>N</w:t>
            </w:r>
          </w:p>
        </w:tc>
        <w:tc>
          <w:tcPr>
            <w:tcW w:w="599" w:type="dxa"/>
            <w:tcBorders>
              <w:bottom w:val="single" w:sz="4" w:space="0" w:color="auto"/>
            </w:tcBorders>
            <w:shd w:val="clear" w:color="auto" w:fill="FFFFFF" w:themeFill="background1"/>
            <w:vAlign w:val="center"/>
          </w:tcPr>
          <w:p w14:paraId="04EF6309" w14:textId="77777777" w:rsidR="00C37E4E" w:rsidRPr="005F3E04" w:rsidRDefault="00C37E4E" w:rsidP="00C37E4E">
            <w:pPr>
              <w:pStyle w:val="TableText"/>
            </w:pPr>
            <w:r>
              <w:t>N</w:t>
            </w:r>
          </w:p>
        </w:tc>
        <w:tc>
          <w:tcPr>
            <w:tcW w:w="614" w:type="dxa"/>
            <w:tcBorders>
              <w:bottom w:val="single" w:sz="4" w:space="0" w:color="auto"/>
            </w:tcBorders>
            <w:shd w:val="clear" w:color="auto" w:fill="FFFFFF" w:themeFill="background1"/>
            <w:vAlign w:val="center"/>
          </w:tcPr>
          <w:p w14:paraId="6EB6FC1A" w14:textId="77777777" w:rsidR="00C37E4E" w:rsidRPr="005F3E04" w:rsidRDefault="00C37E4E" w:rsidP="00C37E4E">
            <w:pPr>
              <w:pStyle w:val="TableText"/>
            </w:pPr>
            <w:r>
              <w:t>A</w:t>
            </w:r>
          </w:p>
        </w:tc>
        <w:tc>
          <w:tcPr>
            <w:tcW w:w="646" w:type="dxa"/>
            <w:tcBorders>
              <w:bottom w:val="single" w:sz="4" w:space="0" w:color="auto"/>
            </w:tcBorders>
            <w:shd w:val="clear" w:color="auto" w:fill="FFFFFF" w:themeFill="background1"/>
            <w:vAlign w:val="center"/>
          </w:tcPr>
          <w:p w14:paraId="7CF2553F" w14:textId="77777777" w:rsidR="00C37E4E" w:rsidRPr="005F3E04" w:rsidRDefault="00C37E4E" w:rsidP="00C37E4E">
            <w:pPr>
              <w:pStyle w:val="TableText"/>
            </w:pPr>
            <w:r>
              <w:t>UA</w:t>
            </w:r>
          </w:p>
        </w:tc>
        <w:tc>
          <w:tcPr>
            <w:tcW w:w="695" w:type="dxa"/>
            <w:tcBorders>
              <w:bottom w:val="single" w:sz="4" w:space="0" w:color="auto"/>
            </w:tcBorders>
            <w:shd w:val="clear" w:color="auto" w:fill="FFFFFF" w:themeFill="background1"/>
            <w:vAlign w:val="center"/>
          </w:tcPr>
          <w:p w14:paraId="77BD4FFD"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34B291B9" w14:textId="77777777" w:rsidR="00C37E4E" w:rsidRPr="005F3E04" w:rsidRDefault="00C37E4E" w:rsidP="00C37E4E">
            <w:pPr>
              <w:pStyle w:val="TableText"/>
            </w:pPr>
          </w:p>
        </w:tc>
        <w:tc>
          <w:tcPr>
            <w:tcW w:w="688" w:type="dxa"/>
            <w:tcBorders>
              <w:bottom w:val="single" w:sz="4" w:space="0" w:color="auto"/>
            </w:tcBorders>
            <w:shd w:val="clear" w:color="auto" w:fill="FFFFFF" w:themeFill="background1"/>
            <w:vAlign w:val="center"/>
          </w:tcPr>
          <w:p w14:paraId="418D46F1"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63E75222" w14:textId="77777777" w:rsidR="00C37E4E" w:rsidRPr="005F3E04" w:rsidRDefault="00C37E4E" w:rsidP="00C37E4E">
            <w:pPr>
              <w:pStyle w:val="TableText"/>
            </w:pPr>
          </w:p>
        </w:tc>
        <w:tc>
          <w:tcPr>
            <w:tcW w:w="663" w:type="dxa"/>
            <w:tcBorders>
              <w:bottom w:val="single" w:sz="4" w:space="0" w:color="auto"/>
            </w:tcBorders>
            <w:shd w:val="clear" w:color="auto" w:fill="FFFFFF" w:themeFill="background1"/>
            <w:vAlign w:val="center"/>
          </w:tcPr>
          <w:p w14:paraId="3C46C03D"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0149AE7E" w14:textId="77777777" w:rsidR="00C37E4E" w:rsidRPr="005F3E04" w:rsidRDefault="00C37E4E" w:rsidP="00C37E4E">
            <w:pPr>
              <w:jc w:val="center"/>
              <w:rPr>
                <w:rFonts w:ascii="Franklin Gothic Book" w:hAnsi="Franklin Gothic Book"/>
                <w:sz w:val="16"/>
                <w:szCs w:val="16"/>
              </w:rPr>
            </w:pPr>
          </w:p>
        </w:tc>
      </w:tr>
      <w:tr w:rsidR="00C37E4E" w14:paraId="33843A94" w14:textId="77777777" w:rsidTr="00236A57">
        <w:trPr>
          <w:trHeight w:val="20"/>
          <w:jc w:val="center"/>
        </w:trPr>
        <w:tc>
          <w:tcPr>
            <w:tcW w:w="1016" w:type="dxa"/>
            <w:tcBorders>
              <w:left w:val="nil"/>
            </w:tcBorders>
            <w:shd w:val="clear" w:color="auto" w:fill="FFFFFF" w:themeFill="background1"/>
            <w:vAlign w:val="center"/>
          </w:tcPr>
          <w:p w14:paraId="61111B82" w14:textId="77777777" w:rsidR="00C37E4E" w:rsidRDefault="00C37E4E" w:rsidP="00C37E4E">
            <w:pPr>
              <w:pStyle w:val="TableText"/>
            </w:pPr>
            <w:r>
              <w:t>Santa Barbara</w:t>
            </w:r>
          </w:p>
        </w:tc>
        <w:tc>
          <w:tcPr>
            <w:tcW w:w="620" w:type="dxa"/>
            <w:shd w:val="clear" w:color="auto" w:fill="FFFFFF" w:themeFill="background1"/>
            <w:vAlign w:val="center"/>
          </w:tcPr>
          <w:p w14:paraId="68592320" w14:textId="77777777" w:rsidR="00C37E4E" w:rsidRPr="005F3E04" w:rsidRDefault="00C37E4E" w:rsidP="00C37E4E">
            <w:pPr>
              <w:pStyle w:val="TableText"/>
            </w:pPr>
            <w:r>
              <w:t>N-T</w:t>
            </w:r>
          </w:p>
        </w:tc>
        <w:tc>
          <w:tcPr>
            <w:tcW w:w="665" w:type="dxa"/>
            <w:shd w:val="clear" w:color="auto" w:fill="FFFFFF" w:themeFill="background1"/>
            <w:vAlign w:val="center"/>
          </w:tcPr>
          <w:p w14:paraId="3EA56C80" w14:textId="77777777" w:rsidR="00C37E4E" w:rsidRPr="005F3E04" w:rsidRDefault="00C37E4E" w:rsidP="00C37E4E">
            <w:pPr>
              <w:pStyle w:val="TableText"/>
            </w:pPr>
            <w:r>
              <w:t>AU</w:t>
            </w:r>
          </w:p>
        </w:tc>
        <w:tc>
          <w:tcPr>
            <w:tcW w:w="600" w:type="dxa"/>
            <w:shd w:val="clear" w:color="auto" w:fill="FFFFFF" w:themeFill="background1"/>
            <w:vAlign w:val="center"/>
          </w:tcPr>
          <w:p w14:paraId="6B403739" w14:textId="77777777" w:rsidR="00C37E4E" w:rsidRPr="005F3E04" w:rsidRDefault="00C37E4E" w:rsidP="00C37E4E">
            <w:pPr>
              <w:pStyle w:val="TableText"/>
            </w:pPr>
            <w:r>
              <w:t>A</w:t>
            </w:r>
          </w:p>
        </w:tc>
        <w:tc>
          <w:tcPr>
            <w:tcW w:w="600" w:type="dxa"/>
            <w:shd w:val="clear" w:color="auto" w:fill="FFFFFF" w:themeFill="background1"/>
            <w:vAlign w:val="center"/>
          </w:tcPr>
          <w:p w14:paraId="199385E9" w14:textId="77777777" w:rsidR="00C37E4E" w:rsidRPr="005F3E04" w:rsidRDefault="00C37E4E" w:rsidP="00C37E4E">
            <w:pPr>
              <w:pStyle w:val="TableText"/>
            </w:pPr>
            <w:r>
              <w:t>UA</w:t>
            </w:r>
          </w:p>
        </w:tc>
        <w:tc>
          <w:tcPr>
            <w:tcW w:w="600" w:type="dxa"/>
            <w:shd w:val="clear" w:color="auto" w:fill="FFFFFF" w:themeFill="background1"/>
            <w:vAlign w:val="center"/>
          </w:tcPr>
          <w:p w14:paraId="4B850D64" w14:textId="77777777" w:rsidR="00C37E4E" w:rsidRPr="005F3E04" w:rsidRDefault="00C37E4E" w:rsidP="00C37E4E">
            <w:pPr>
              <w:pStyle w:val="TableText"/>
            </w:pPr>
            <w:r>
              <w:t>A</w:t>
            </w:r>
          </w:p>
        </w:tc>
        <w:tc>
          <w:tcPr>
            <w:tcW w:w="600" w:type="dxa"/>
            <w:shd w:val="clear" w:color="auto" w:fill="FFFFFF" w:themeFill="background1"/>
            <w:vAlign w:val="center"/>
          </w:tcPr>
          <w:p w14:paraId="4A5F95B0" w14:textId="77777777" w:rsidR="00C37E4E" w:rsidRPr="005F3E04" w:rsidRDefault="00C37E4E" w:rsidP="00C37E4E">
            <w:pPr>
              <w:pStyle w:val="TableText"/>
            </w:pPr>
            <w:r>
              <w:t>UA</w:t>
            </w:r>
          </w:p>
        </w:tc>
        <w:tc>
          <w:tcPr>
            <w:tcW w:w="599" w:type="dxa"/>
            <w:shd w:val="clear" w:color="auto" w:fill="FFFFFF" w:themeFill="background1"/>
            <w:vAlign w:val="center"/>
          </w:tcPr>
          <w:p w14:paraId="4FFE4B0A" w14:textId="77777777" w:rsidR="00C37E4E" w:rsidRPr="005F3E04" w:rsidRDefault="00C37E4E" w:rsidP="00C37E4E">
            <w:pPr>
              <w:pStyle w:val="TableText"/>
            </w:pPr>
            <w:r>
              <w:t>A</w:t>
            </w:r>
          </w:p>
        </w:tc>
        <w:tc>
          <w:tcPr>
            <w:tcW w:w="599" w:type="dxa"/>
            <w:shd w:val="clear" w:color="auto" w:fill="FFFFFF" w:themeFill="background1"/>
            <w:vAlign w:val="center"/>
          </w:tcPr>
          <w:p w14:paraId="6991B11F" w14:textId="77777777" w:rsidR="00C37E4E" w:rsidRPr="005F3E04" w:rsidRDefault="00C37E4E" w:rsidP="00C37E4E">
            <w:pPr>
              <w:pStyle w:val="TableText"/>
            </w:pPr>
            <w:r>
              <w:t>UA</w:t>
            </w:r>
          </w:p>
        </w:tc>
        <w:tc>
          <w:tcPr>
            <w:tcW w:w="599" w:type="dxa"/>
            <w:shd w:val="clear" w:color="auto" w:fill="FFFFFF" w:themeFill="background1"/>
            <w:vAlign w:val="center"/>
          </w:tcPr>
          <w:p w14:paraId="1544E115" w14:textId="77777777" w:rsidR="00C37E4E" w:rsidRPr="005F3E04" w:rsidRDefault="00C37E4E" w:rsidP="00C37E4E">
            <w:pPr>
              <w:pStyle w:val="TableText"/>
            </w:pPr>
            <w:r>
              <w:t>N</w:t>
            </w:r>
          </w:p>
        </w:tc>
        <w:tc>
          <w:tcPr>
            <w:tcW w:w="599" w:type="dxa"/>
            <w:shd w:val="clear" w:color="auto" w:fill="FFFFFF" w:themeFill="background1"/>
            <w:vAlign w:val="center"/>
          </w:tcPr>
          <w:p w14:paraId="0E7BAEE9" w14:textId="77777777" w:rsidR="00C37E4E" w:rsidRPr="005F3E04" w:rsidRDefault="00C37E4E" w:rsidP="00C37E4E">
            <w:pPr>
              <w:pStyle w:val="TableText"/>
            </w:pPr>
            <w:r>
              <w:t>U</w:t>
            </w:r>
          </w:p>
        </w:tc>
        <w:tc>
          <w:tcPr>
            <w:tcW w:w="599" w:type="dxa"/>
            <w:shd w:val="clear" w:color="auto" w:fill="FFFFFF" w:themeFill="background1"/>
            <w:vAlign w:val="center"/>
          </w:tcPr>
          <w:p w14:paraId="39F1D0AD" w14:textId="77777777" w:rsidR="00C37E4E" w:rsidRPr="005F3E04" w:rsidRDefault="00C37E4E" w:rsidP="00C37E4E">
            <w:pPr>
              <w:pStyle w:val="TableText"/>
            </w:pPr>
            <w:r>
              <w:t>U</w:t>
            </w:r>
          </w:p>
        </w:tc>
        <w:tc>
          <w:tcPr>
            <w:tcW w:w="599" w:type="dxa"/>
            <w:shd w:val="clear" w:color="auto" w:fill="FFFFFF" w:themeFill="background1"/>
            <w:vAlign w:val="center"/>
          </w:tcPr>
          <w:p w14:paraId="0CDF40E3" w14:textId="77777777" w:rsidR="00C37E4E" w:rsidRPr="005F3E04" w:rsidRDefault="00C37E4E" w:rsidP="00C37E4E">
            <w:pPr>
              <w:pStyle w:val="TableText"/>
            </w:pPr>
            <w:r>
              <w:t>UA</w:t>
            </w:r>
          </w:p>
        </w:tc>
        <w:tc>
          <w:tcPr>
            <w:tcW w:w="614" w:type="dxa"/>
            <w:shd w:val="clear" w:color="auto" w:fill="FFFFFF" w:themeFill="background1"/>
            <w:vAlign w:val="center"/>
          </w:tcPr>
          <w:p w14:paraId="6BC8F53E" w14:textId="77777777" w:rsidR="00C37E4E" w:rsidRPr="005F3E04" w:rsidRDefault="00C37E4E" w:rsidP="00C37E4E">
            <w:pPr>
              <w:pStyle w:val="TableText"/>
            </w:pPr>
            <w:r>
              <w:t>A</w:t>
            </w:r>
          </w:p>
        </w:tc>
        <w:tc>
          <w:tcPr>
            <w:tcW w:w="646" w:type="dxa"/>
            <w:shd w:val="clear" w:color="auto" w:fill="FFFFFF" w:themeFill="background1"/>
            <w:vAlign w:val="center"/>
          </w:tcPr>
          <w:p w14:paraId="17752EE2" w14:textId="77777777" w:rsidR="00C37E4E" w:rsidRPr="005F3E04" w:rsidRDefault="00C37E4E" w:rsidP="00C37E4E">
            <w:pPr>
              <w:pStyle w:val="TableText"/>
            </w:pPr>
            <w:r>
              <w:t>UA</w:t>
            </w:r>
          </w:p>
        </w:tc>
        <w:tc>
          <w:tcPr>
            <w:tcW w:w="695" w:type="dxa"/>
            <w:shd w:val="clear" w:color="auto" w:fill="FFFFFF" w:themeFill="background1"/>
            <w:vAlign w:val="center"/>
          </w:tcPr>
          <w:p w14:paraId="05944230"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23BBD3C0" w14:textId="77777777" w:rsidR="00C37E4E" w:rsidRPr="005F3E04" w:rsidRDefault="00C37E4E" w:rsidP="00C37E4E">
            <w:pPr>
              <w:pStyle w:val="TableText"/>
            </w:pPr>
          </w:p>
        </w:tc>
        <w:tc>
          <w:tcPr>
            <w:tcW w:w="688" w:type="dxa"/>
            <w:shd w:val="clear" w:color="auto" w:fill="FFFFFF" w:themeFill="background1"/>
            <w:vAlign w:val="center"/>
          </w:tcPr>
          <w:p w14:paraId="77B73BF2" w14:textId="77777777" w:rsidR="00C37E4E" w:rsidRPr="005F3E04" w:rsidRDefault="00C37E4E" w:rsidP="00C37E4E">
            <w:pPr>
              <w:pStyle w:val="TableText"/>
            </w:pPr>
            <w:r>
              <w:t>A</w:t>
            </w:r>
          </w:p>
        </w:tc>
        <w:tc>
          <w:tcPr>
            <w:tcW w:w="688" w:type="dxa"/>
            <w:tcBorders>
              <w:top w:val="nil"/>
              <w:bottom w:val="nil"/>
            </w:tcBorders>
            <w:shd w:val="clear" w:color="auto" w:fill="FFFFFF" w:themeFill="background1"/>
          </w:tcPr>
          <w:p w14:paraId="4B83B2E4" w14:textId="77777777" w:rsidR="00C37E4E" w:rsidRPr="005F3E04" w:rsidRDefault="00C37E4E" w:rsidP="00C37E4E">
            <w:pPr>
              <w:pStyle w:val="TableText"/>
            </w:pPr>
          </w:p>
        </w:tc>
        <w:tc>
          <w:tcPr>
            <w:tcW w:w="663" w:type="dxa"/>
            <w:shd w:val="clear" w:color="auto" w:fill="FFFFFF" w:themeFill="background1"/>
            <w:vAlign w:val="center"/>
          </w:tcPr>
          <w:p w14:paraId="1672B7F6"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4A0817C2" w14:textId="77777777" w:rsidR="00C37E4E" w:rsidRPr="005F3E04" w:rsidRDefault="00C37E4E" w:rsidP="00C37E4E">
            <w:pPr>
              <w:jc w:val="center"/>
              <w:rPr>
                <w:rFonts w:ascii="Franklin Gothic Book" w:hAnsi="Franklin Gothic Book"/>
                <w:sz w:val="16"/>
                <w:szCs w:val="16"/>
              </w:rPr>
            </w:pPr>
          </w:p>
        </w:tc>
      </w:tr>
      <w:tr w:rsidR="00C37E4E" w14:paraId="0EC55184" w14:textId="77777777" w:rsidTr="00236A57">
        <w:trPr>
          <w:trHeight w:val="20"/>
          <w:jc w:val="center"/>
        </w:trPr>
        <w:tc>
          <w:tcPr>
            <w:tcW w:w="1016" w:type="dxa"/>
            <w:tcBorders>
              <w:left w:val="nil"/>
              <w:bottom w:val="single" w:sz="4" w:space="0" w:color="auto"/>
            </w:tcBorders>
            <w:shd w:val="clear" w:color="auto" w:fill="FFFFFF" w:themeFill="background1"/>
            <w:vAlign w:val="center"/>
          </w:tcPr>
          <w:p w14:paraId="72C81615" w14:textId="77777777" w:rsidR="00C37E4E" w:rsidRDefault="00C37E4E" w:rsidP="00C37E4E">
            <w:pPr>
              <w:pStyle w:val="TableText"/>
            </w:pPr>
            <w:r>
              <w:t>Santa Clara</w:t>
            </w:r>
          </w:p>
        </w:tc>
        <w:tc>
          <w:tcPr>
            <w:tcW w:w="620" w:type="dxa"/>
            <w:tcBorders>
              <w:bottom w:val="single" w:sz="4" w:space="0" w:color="auto"/>
            </w:tcBorders>
            <w:shd w:val="clear" w:color="auto" w:fill="FFFFFF" w:themeFill="background1"/>
            <w:vAlign w:val="center"/>
          </w:tcPr>
          <w:p w14:paraId="01040710" w14:textId="77777777" w:rsidR="00C37E4E" w:rsidRPr="005F3E04" w:rsidRDefault="00C37E4E" w:rsidP="00C37E4E">
            <w:pPr>
              <w:pStyle w:val="TableText"/>
            </w:pPr>
            <w:r>
              <w:t>N</w:t>
            </w:r>
          </w:p>
        </w:tc>
        <w:tc>
          <w:tcPr>
            <w:tcW w:w="665" w:type="dxa"/>
            <w:tcBorders>
              <w:bottom w:val="single" w:sz="4" w:space="0" w:color="auto"/>
            </w:tcBorders>
            <w:shd w:val="clear" w:color="auto" w:fill="FFFFFF" w:themeFill="background1"/>
            <w:vAlign w:val="center"/>
          </w:tcPr>
          <w:p w14:paraId="128FA5CA" w14:textId="77777777" w:rsidR="00C37E4E" w:rsidRPr="005F3E04" w:rsidRDefault="00C37E4E" w:rsidP="00C37E4E">
            <w:pPr>
              <w:pStyle w:val="TableText"/>
            </w:pPr>
            <w:r>
              <w:t>N</w:t>
            </w:r>
          </w:p>
        </w:tc>
        <w:tc>
          <w:tcPr>
            <w:tcW w:w="600" w:type="dxa"/>
            <w:tcBorders>
              <w:bottom w:val="single" w:sz="4" w:space="0" w:color="auto"/>
            </w:tcBorders>
            <w:shd w:val="clear" w:color="auto" w:fill="FFFFFF" w:themeFill="background1"/>
            <w:vAlign w:val="center"/>
          </w:tcPr>
          <w:p w14:paraId="2BD7F9F9"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179D7E4B" w14:textId="77777777" w:rsidR="00C37E4E" w:rsidRPr="005F3E04" w:rsidRDefault="00C37E4E" w:rsidP="00C37E4E">
            <w:pPr>
              <w:pStyle w:val="TableText"/>
            </w:pPr>
            <w:r>
              <w:t>UA</w:t>
            </w:r>
          </w:p>
        </w:tc>
        <w:tc>
          <w:tcPr>
            <w:tcW w:w="600" w:type="dxa"/>
            <w:tcBorders>
              <w:bottom w:val="single" w:sz="4" w:space="0" w:color="auto"/>
            </w:tcBorders>
            <w:shd w:val="clear" w:color="auto" w:fill="FFFFFF" w:themeFill="background1"/>
            <w:vAlign w:val="center"/>
          </w:tcPr>
          <w:p w14:paraId="1002C141"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54BC86B5"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5F88B6C4"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1AD859AB"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78F4AE23" w14:textId="77777777" w:rsidR="00C37E4E" w:rsidRPr="005F3E04" w:rsidRDefault="00C37E4E" w:rsidP="00C37E4E">
            <w:pPr>
              <w:pStyle w:val="TableText"/>
            </w:pPr>
            <w:r>
              <w:t>N</w:t>
            </w:r>
          </w:p>
        </w:tc>
        <w:tc>
          <w:tcPr>
            <w:tcW w:w="599" w:type="dxa"/>
            <w:tcBorders>
              <w:bottom w:val="single" w:sz="4" w:space="0" w:color="auto"/>
            </w:tcBorders>
            <w:shd w:val="clear" w:color="auto" w:fill="FFFFFF" w:themeFill="background1"/>
            <w:vAlign w:val="center"/>
          </w:tcPr>
          <w:p w14:paraId="5DC97DAF" w14:textId="77777777" w:rsidR="00C37E4E" w:rsidRPr="005F3E04" w:rsidRDefault="00C37E4E" w:rsidP="00C37E4E">
            <w:pPr>
              <w:pStyle w:val="TableText"/>
            </w:pPr>
            <w:r>
              <w:t>U</w:t>
            </w:r>
          </w:p>
        </w:tc>
        <w:tc>
          <w:tcPr>
            <w:tcW w:w="599" w:type="dxa"/>
            <w:tcBorders>
              <w:bottom w:val="single" w:sz="4" w:space="0" w:color="auto"/>
            </w:tcBorders>
            <w:shd w:val="clear" w:color="auto" w:fill="FFFFFF" w:themeFill="background1"/>
            <w:vAlign w:val="center"/>
          </w:tcPr>
          <w:p w14:paraId="15E77DEA" w14:textId="77777777" w:rsidR="00C37E4E" w:rsidRPr="005F3E04" w:rsidRDefault="00C37E4E" w:rsidP="00C37E4E">
            <w:pPr>
              <w:pStyle w:val="TableText"/>
            </w:pPr>
            <w:r>
              <w:t>N</w:t>
            </w:r>
          </w:p>
        </w:tc>
        <w:tc>
          <w:tcPr>
            <w:tcW w:w="599" w:type="dxa"/>
            <w:tcBorders>
              <w:bottom w:val="single" w:sz="4" w:space="0" w:color="auto"/>
            </w:tcBorders>
            <w:shd w:val="clear" w:color="auto" w:fill="FFFFFF" w:themeFill="background1"/>
            <w:vAlign w:val="center"/>
          </w:tcPr>
          <w:p w14:paraId="6CD63D97" w14:textId="77777777" w:rsidR="00C37E4E" w:rsidRPr="005F3E04" w:rsidRDefault="00C37E4E" w:rsidP="00C37E4E">
            <w:pPr>
              <w:pStyle w:val="TableText"/>
            </w:pPr>
            <w:r>
              <w:t>N</w:t>
            </w:r>
          </w:p>
        </w:tc>
        <w:tc>
          <w:tcPr>
            <w:tcW w:w="614" w:type="dxa"/>
            <w:tcBorders>
              <w:bottom w:val="single" w:sz="4" w:space="0" w:color="auto"/>
            </w:tcBorders>
            <w:shd w:val="clear" w:color="auto" w:fill="FFFFFF" w:themeFill="background1"/>
            <w:vAlign w:val="center"/>
          </w:tcPr>
          <w:p w14:paraId="7205C3E9" w14:textId="77777777" w:rsidR="00C37E4E" w:rsidRPr="005F3E04" w:rsidRDefault="00C37E4E" w:rsidP="00C37E4E">
            <w:pPr>
              <w:pStyle w:val="TableText"/>
            </w:pPr>
            <w:r>
              <w:t>A</w:t>
            </w:r>
          </w:p>
        </w:tc>
        <w:tc>
          <w:tcPr>
            <w:tcW w:w="646" w:type="dxa"/>
            <w:tcBorders>
              <w:bottom w:val="single" w:sz="4" w:space="0" w:color="auto"/>
            </w:tcBorders>
            <w:shd w:val="clear" w:color="auto" w:fill="FFFFFF" w:themeFill="background1"/>
            <w:vAlign w:val="center"/>
          </w:tcPr>
          <w:p w14:paraId="6239BDCD" w14:textId="77777777" w:rsidR="00C37E4E" w:rsidRPr="005F3E04" w:rsidRDefault="00C37E4E" w:rsidP="00C37E4E">
            <w:pPr>
              <w:pStyle w:val="TableText"/>
            </w:pPr>
            <w:r>
              <w:t>UA</w:t>
            </w:r>
          </w:p>
        </w:tc>
        <w:tc>
          <w:tcPr>
            <w:tcW w:w="695" w:type="dxa"/>
            <w:tcBorders>
              <w:bottom w:val="single" w:sz="4" w:space="0" w:color="auto"/>
            </w:tcBorders>
            <w:shd w:val="clear" w:color="auto" w:fill="FFFFFF" w:themeFill="background1"/>
            <w:vAlign w:val="center"/>
          </w:tcPr>
          <w:p w14:paraId="5C333A90"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345A7F07" w14:textId="77777777" w:rsidR="00C37E4E" w:rsidRPr="005F3E04" w:rsidRDefault="00C37E4E" w:rsidP="00C37E4E">
            <w:pPr>
              <w:pStyle w:val="TableText"/>
            </w:pPr>
          </w:p>
        </w:tc>
        <w:tc>
          <w:tcPr>
            <w:tcW w:w="688" w:type="dxa"/>
            <w:tcBorders>
              <w:bottom w:val="single" w:sz="4" w:space="0" w:color="auto"/>
            </w:tcBorders>
            <w:shd w:val="clear" w:color="auto" w:fill="FFFFFF" w:themeFill="background1"/>
            <w:vAlign w:val="center"/>
          </w:tcPr>
          <w:p w14:paraId="0EC80BC8"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2B78C223" w14:textId="77777777" w:rsidR="00C37E4E" w:rsidRPr="005F3E04" w:rsidRDefault="00C37E4E" w:rsidP="00C37E4E">
            <w:pPr>
              <w:pStyle w:val="TableText"/>
            </w:pPr>
          </w:p>
        </w:tc>
        <w:tc>
          <w:tcPr>
            <w:tcW w:w="663" w:type="dxa"/>
            <w:tcBorders>
              <w:bottom w:val="single" w:sz="4" w:space="0" w:color="auto"/>
            </w:tcBorders>
            <w:shd w:val="clear" w:color="auto" w:fill="FFFFFF" w:themeFill="background1"/>
            <w:vAlign w:val="center"/>
          </w:tcPr>
          <w:p w14:paraId="52BC8152"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24BA0101" w14:textId="77777777" w:rsidR="00C37E4E" w:rsidRPr="005F3E04" w:rsidRDefault="00C37E4E" w:rsidP="00C37E4E">
            <w:pPr>
              <w:jc w:val="center"/>
              <w:rPr>
                <w:rFonts w:ascii="Franklin Gothic Book" w:hAnsi="Franklin Gothic Book"/>
                <w:sz w:val="16"/>
                <w:szCs w:val="16"/>
              </w:rPr>
            </w:pPr>
          </w:p>
        </w:tc>
      </w:tr>
      <w:tr w:rsidR="00C37E4E" w14:paraId="19C7671D" w14:textId="77777777" w:rsidTr="00236A57">
        <w:trPr>
          <w:trHeight w:val="20"/>
          <w:jc w:val="center"/>
        </w:trPr>
        <w:tc>
          <w:tcPr>
            <w:tcW w:w="1016" w:type="dxa"/>
            <w:tcBorders>
              <w:left w:val="nil"/>
            </w:tcBorders>
            <w:shd w:val="clear" w:color="auto" w:fill="FFFFFF" w:themeFill="background1"/>
            <w:vAlign w:val="center"/>
          </w:tcPr>
          <w:p w14:paraId="42D4F9BD" w14:textId="77777777" w:rsidR="00C37E4E" w:rsidRDefault="00C37E4E" w:rsidP="00C37E4E">
            <w:pPr>
              <w:pStyle w:val="TableText"/>
            </w:pPr>
            <w:r>
              <w:t>Santa Cruz</w:t>
            </w:r>
          </w:p>
        </w:tc>
        <w:tc>
          <w:tcPr>
            <w:tcW w:w="620" w:type="dxa"/>
            <w:shd w:val="clear" w:color="auto" w:fill="FFFFFF" w:themeFill="background1"/>
            <w:vAlign w:val="center"/>
          </w:tcPr>
          <w:p w14:paraId="7F7D97C1" w14:textId="77777777" w:rsidR="00C37E4E" w:rsidRPr="005F3E04" w:rsidRDefault="00C37E4E" w:rsidP="00C37E4E">
            <w:pPr>
              <w:pStyle w:val="TableText"/>
            </w:pPr>
            <w:r>
              <w:t>N</w:t>
            </w:r>
          </w:p>
        </w:tc>
        <w:tc>
          <w:tcPr>
            <w:tcW w:w="665" w:type="dxa"/>
            <w:shd w:val="clear" w:color="auto" w:fill="FFFFFF" w:themeFill="background1"/>
            <w:vAlign w:val="center"/>
          </w:tcPr>
          <w:p w14:paraId="1033CDFD" w14:textId="77777777" w:rsidR="00C37E4E" w:rsidRPr="005F3E04" w:rsidRDefault="00C37E4E" w:rsidP="00C37E4E">
            <w:pPr>
              <w:pStyle w:val="TableText"/>
            </w:pPr>
            <w:r>
              <w:t>AU</w:t>
            </w:r>
          </w:p>
        </w:tc>
        <w:tc>
          <w:tcPr>
            <w:tcW w:w="600" w:type="dxa"/>
            <w:shd w:val="clear" w:color="auto" w:fill="FFFFFF" w:themeFill="background1"/>
            <w:vAlign w:val="center"/>
          </w:tcPr>
          <w:p w14:paraId="2E721497" w14:textId="77777777" w:rsidR="00C37E4E" w:rsidRPr="005F3E04" w:rsidRDefault="00C37E4E" w:rsidP="00C37E4E">
            <w:pPr>
              <w:pStyle w:val="TableText"/>
            </w:pPr>
            <w:r>
              <w:t>U</w:t>
            </w:r>
          </w:p>
        </w:tc>
        <w:tc>
          <w:tcPr>
            <w:tcW w:w="600" w:type="dxa"/>
            <w:shd w:val="clear" w:color="auto" w:fill="FFFFFF" w:themeFill="background1"/>
            <w:vAlign w:val="center"/>
          </w:tcPr>
          <w:p w14:paraId="698CA8BD" w14:textId="77777777" w:rsidR="00C37E4E" w:rsidRPr="005F3E04" w:rsidRDefault="00C37E4E" w:rsidP="00C37E4E">
            <w:pPr>
              <w:pStyle w:val="TableText"/>
            </w:pPr>
            <w:r>
              <w:t>UA</w:t>
            </w:r>
          </w:p>
        </w:tc>
        <w:tc>
          <w:tcPr>
            <w:tcW w:w="600" w:type="dxa"/>
            <w:shd w:val="clear" w:color="auto" w:fill="FFFFFF" w:themeFill="background1"/>
            <w:vAlign w:val="center"/>
          </w:tcPr>
          <w:p w14:paraId="54324A3A" w14:textId="77777777" w:rsidR="00C37E4E" w:rsidRPr="005F3E04" w:rsidRDefault="00C37E4E" w:rsidP="00C37E4E">
            <w:pPr>
              <w:pStyle w:val="TableText"/>
            </w:pPr>
            <w:r>
              <w:t>A</w:t>
            </w:r>
          </w:p>
        </w:tc>
        <w:tc>
          <w:tcPr>
            <w:tcW w:w="600" w:type="dxa"/>
            <w:shd w:val="clear" w:color="auto" w:fill="FFFFFF" w:themeFill="background1"/>
            <w:vAlign w:val="center"/>
          </w:tcPr>
          <w:p w14:paraId="28567EAB" w14:textId="77777777" w:rsidR="00C37E4E" w:rsidRPr="005F3E04" w:rsidRDefault="00C37E4E" w:rsidP="00C37E4E">
            <w:pPr>
              <w:pStyle w:val="TableText"/>
            </w:pPr>
            <w:r>
              <w:t>UA</w:t>
            </w:r>
          </w:p>
        </w:tc>
        <w:tc>
          <w:tcPr>
            <w:tcW w:w="599" w:type="dxa"/>
            <w:shd w:val="clear" w:color="auto" w:fill="FFFFFF" w:themeFill="background1"/>
            <w:vAlign w:val="center"/>
          </w:tcPr>
          <w:p w14:paraId="194639AB" w14:textId="77777777" w:rsidR="00C37E4E" w:rsidRPr="005F3E04" w:rsidRDefault="00C37E4E" w:rsidP="00C37E4E">
            <w:pPr>
              <w:pStyle w:val="TableText"/>
            </w:pPr>
            <w:r>
              <w:t>A</w:t>
            </w:r>
          </w:p>
        </w:tc>
        <w:tc>
          <w:tcPr>
            <w:tcW w:w="599" w:type="dxa"/>
            <w:shd w:val="clear" w:color="auto" w:fill="FFFFFF" w:themeFill="background1"/>
            <w:vAlign w:val="center"/>
          </w:tcPr>
          <w:p w14:paraId="361F1CE7" w14:textId="77777777" w:rsidR="00C37E4E" w:rsidRPr="005F3E04" w:rsidRDefault="00C37E4E" w:rsidP="00C37E4E">
            <w:pPr>
              <w:pStyle w:val="TableText"/>
            </w:pPr>
            <w:r>
              <w:t>UA</w:t>
            </w:r>
          </w:p>
        </w:tc>
        <w:tc>
          <w:tcPr>
            <w:tcW w:w="599" w:type="dxa"/>
            <w:shd w:val="clear" w:color="auto" w:fill="FFFFFF" w:themeFill="background1"/>
            <w:vAlign w:val="center"/>
          </w:tcPr>
          <w:p w14:paraId="62A4A434" w14:textId="77777777" w:rsidR="00C37E4E" w:rsidRPr="005F3E04" w:rsidRDefault="00C37E4E" w:rsidP="00C37E4E">
            <w:pPr>
              <w:pStyle w:val="TableText"/>
            </w:pPr>
            <w:r>
              <w:t>N</w:t>
            </w:r>
          </w:p>
        </w:tc>
        <w:tc>
          <w:tcPr>
            <w:tcW w:w="599" w:type="dxa"/>
            <w:shd w:val="clear" w:color="auto" w:fill="FFFFFF" w:themeFill="background1"/>
            <w:vAlign w:val="center"/>
          </w:tcPr>
          <w:p w14:paraId="613C5A5F" w14:textId="77777777" w:rsidR="00C37E4E" w:rsidRPr="005F3E04" w:rsidRDefault="00C37E4E" w:rsidP="00C37E4E">
            <w:pPr>
              <w:pStyle w:val="TableText"/>
            </w:pPr>
            <w:r>
              <w:t>U</w:t>
            </w:r>
          </w:p>
        </w:tc>
        <w:tc>
          <w:tcPr>
            <w:tcW w:w="599" w:type="dxa"/>
            <w:shd w:val="clear" w:color="auto" w:fill="FFFFFF" w:themeFill="background1"/>
            <w:vAlign w:val="center"/>
          </w:tcPr>
          <w:p w14:paraId="6363D589" w14:textId="77777777" w:rsidR="00C37E4E" w:rsidRPr="005F3E04" w:rsidRDefault="00C37E4E" w:rsidP="00C37E4E">
            <w:pPr>
              <w:pStyle w:val="TableText"/>
            </w:pPr>
            <w:r>
              <w:t>A</w:t>
            </w:r>
          </w:p>
        </w:tc>
        <w:tc>
          <w:tcPr>
            <w:tcW w:w="599" w:type="dxa"/>
            <w:shd w:val="clear" w:color="auto" w:fill="FFFFFF" w:themeFill="background1"/>
            <w:vAlign w:val="center"/>
          </w:tcPr>
          <w:p w14:paraId="0803DF9C" w14:textId="77777777" w:rsidR="00C37E4E" w:rsidRPr="005F3E04" w:rsidRDefault="00C37E4E" w:rsidP="00C37E4E">
            <w:pPr>
              <w:pStyle w:val="TableText"/>
            </w:pPr>
            <w:r>
              <w:t>UA</w:t>
            </w:r>
          </w:p>
        </w:tc>
        <w:tc>
          <w:tcPr>
            <w:tcW w:w="614" w:type="dxa"/>
            <w:shd w:val="clear" w:color="auto" w:fill="FFFFFF" w:themeFill="background1"/>
            <w:vAlign w:val="center"/>
          </w:tcPr>
          <w:p w14:paraId="17A61A4C" w14:textId="77777777" w:rsidR="00C37E4E" w:rsidRPr="005F3E04" w:rsidRDefault="00C37E4E" w:rsidP="00C37E4E">
            <w:pPr>
              <w:pStyle w:val="TableText"/>
            </w:pPr>
            <w:r>
              <w:t>A</w:t>
            </w:r>
          </w:p>
        </w:tc>
        <w:tc>
          <w:tcPr>
            <w:tcW w:w="646" w:type="dxa"/>
            <w:shd w:val="clear" w:color="auto" w:fill="FFFFFF" w:themeFill="background1"/>
            <w:vAlign w:val="center"/>
          </w:tcPr>
          <w:p w14:paraId="5A4B990B" w14:textId="77777777" w:rsidR="00C37E4E" w:rsidRPr="005F3E04" w:rsidRDefault="00C37E4E" w:rsidP="00C37E4E">
            <w:pPr>
              <w:pStyle w:val="TableText"/>
            </w:pPr>
            <w:r>
              <w:t>UA</w:t>
            </w:r>
          </w:p>
        </w:tc>
        <w:tc>
          <w:tcPr>
            <w:tcW w:w="695" w:type="dxa"/>
            <w:shd w:val="clear" w:color="auto" w:fill="FFFFFF" w:themeFill="background1"/>
            <w:vAlign w:val="center"/>
          </w:tcPr>
          <w:p w14:paraId="213B271F"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755887DB" w14:textId="77777777" w:rsidR="00C37E4E" w:rsidRPr="005F3E04" w:rsidRDefault="00C37E4E" w:rsidP="00C37E4E">
            <w:pPr>
              <w:pStyle w:val="TableText"/>
            </w:pPr>
          </w:p>
        </w:tc>
        <w:tc>
          <w:tcPr>
            <w:tcW w:w="688" w:type="dxa"/>
            <w:shd w:val="clear" w:color="auto" w:fill="FFFFFF" w:themeFill="background1"/>
            <w:vAlign w:val="center"/>
          </w:tcPr>
          <w:p w14:paraId="6060D438"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7DBA4554" w14:textId="77777777" w:rsidR="00C37E4E" w:rsidRPr="005F3E04" w:rsidRDefault="00C37E4E" w:rsidP="00C37E4E">
            <w:pPr>
              <w:pStyle w:val="TableText"/>
            </w:pPr>
          </w:p>
        </w:tc>
        <w:tc>
          <w:tcPr>
            <w:tcW w:w="663" w:type="dxa"/>
            <w:shd w:val="clear" w:color="auto" w:fill="FFFFFF" w:themeFill="background1"/>
            <w:vAlign w:val="center"/>
          </w:tcPr>
          <w:p w14:paraId="6E029150"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738D962E" w14:textId="77777777" w:rsidR="00C37E4E" w:rsidRPr="005F3E04" w:rsidRDefault="00C37E4E" w:rsidP="00C37E4E">
            <w:pPr>
              <w:jc w:val="center"/>
              <w:rPr>
                <w:rFonts w:ascii="Franklin Gothic Book" w:hAnsi="Franklin Gothic Book"/>
                <w:sz w:val="16"/>
                <w:szCs w:val="16"/>
              </w:rPr>
            </w:pPr>
          </w:p>
        </w:tc>
      </w:tr>
      <w:tr w:rsidR="00C37E4E" w14:paraId="6199C44F" w14:textId="77777777" w:rsidTr="00236A57">
        <w:trPr>
          <w:trHeight w:val="20"/>
          <w:jc w:val="center"/>
        </w:trPr>
        <w:tc>
          <w:tcPr>
            <w:tcW w:w="1016" w:type="dxa"/>
            <w:tcBorders>
              <w:left w:val="nil"/>
              <w:bottom w:val="single" w:sz="4" w:space="0" w:color="auto"/>
            </w:tcBorders>
            <w:shd w:val="clear" w:color="auto" w:fill="FFFFFF" w:themeFill="background1"/>
            <w:vAlign w:val="center"/>
          </w:tcPr>
          <w:p w14:paraId="11CB7584" w14:textId="77777777" w:rsidR="00C37E4E" w:rsidRDefault="00C37E4E" w:rsidP="00C37E4E">
            <w:pPr>
              <w:pStyle w:val="TableText"/>
            </w:pPr>
            <w:r>
              <w:t>Shasta</w:t>
            </w:r>
          </w:p>
        </w:tc>
        <w:tc>
          <w:tcPr>
            <w:tcW w:w="620" w:type="dxa"/>
            <w:tcBorders>
              <w:bottom w:val="single" w:sz="4" w:space="0" w:color="auto"/>
            </w:tcBorders>
            <w:shd w:val="clear" w:color="auto" w:fill="FFFFFF" w:themeFill="background1"/>
            <w:vAlign w:val="center"/>
          </w:tcPr>
          <w:p w14:paraId="45680259" w14:textId="77777777" w:rsidR="00C37E4E" w:rsidRPr="005F3E04" w:rsidRDefault="00C37E4E" w:rsidP="00C37E4E">
            <w:pPr>
              <w:pStyle w:val="TableText"/>
            </w:pPr>
            <w:r>
              <w:t>N</w:t>
            </w:r>
          </w:p>
        </w:tc>
        <w:tc>
          <w:tcPr>
            <w:tcW w:w="665" w:type="dxa"/>
            <w:tcBorders>
              <w:bottom w:val="single" w:sz="4" w:space="0" w:color="auto"/>
            </w:tcBorders>
            <w:shd w:val="clear" w:color="auto" w:fill="FFFFFF" w:themeFill="background1"/>
            <w:vAlign w:val="center"/>
          </w:tcPr>
          <w:p w14:paraId="422EEF6B" w14:textId="77777777" w:rsidR="00C37E4E" w:rsidRPr="005F3E04" w:rsidRDefault="00C37E4E" w:rsidP="00C37E4E">
            <w:pPr>
              <w:pStyle w:val="TableText"/>
            </w:pPr>
            <w:r>
              <w:t>AU</w:t>
            </w:r>
          </w:p>
        </w:tc>
        <w:tc>
          <w:tcPr>
            <w:tcW w:w="600" w:type="dxa"/>
            <w:tcBorders>
              <w:bottom w:val="single" w:sz="4" w:space="0" w:color="auto"/>
            </w:tcBorders>
            <w:shd w:val="clear" w:color="auto" w:fill="FFFFFF" w:themeFill="background1"/>
            <w:vAlign w:val="center"/>
          </w:tcPr>
          <w:p w14:paraId="1DA3A29B" w14:textId="77777777" w:rsidR="00C37E4E" w:rsidRPr="005F3E04" w:rsidRDefault="00C37E4E" w:rsidP="00C37E4E">
            <w:pPr>
              <w:pStyle w:val="TableText"/>
            </w:pPr>
            <w:r>
              <w:t>U</w:t>
            </w:r>
          </w:p>
        </w:tc>
        <w:tc>
          <w:tcPr>
            <w:tcW w:w="600" w:type="dxa"/>
            <w:tcBorders>
              <w:bottom w:val="single" w:sz="4" w:space="0" w:color="auto"/>
            </w:tcBorders>
            <w:shd w:val="clear" w:color="auto" w:fill="FFFFFF" w:themeFill="background1"/>
            <w:vAlign w:val="center"/>
          </w:tcPr>
          <w:p w14:paraId="29A1D9C5" w14:textId="77777777" w:rsidR="00C37E4E" w:rsidRPr="005F3E04" w:rsidRDefault="00C37E4E" w:rsidP="00C37E4E">
            <w:pPr>
              <w:pStyle w:val="TableText"/>
            </w:pPr>
            <w:r>
              <w:t>UA</w:t>
            </w:r>
          </w:p>
        </w:tc>
        <w:tc>
          <w:tcPr>
            <w:tcW w:w="600" w:type="dxa"/>
            <w:tcBorders>
              <w:bottom w:val="single" w:sz="4" w:space="0" w:color="auto"/>
            </w:tcBorders>
            <w:shd w:val="clear" w:color="auto" w:fill="FFFFFF" w:themeFill="background1"/>
            <w:vAlign w:val="center"/>
          </w:tcPr>
          <w:p w14:paraId="412C1CA7"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54541473"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38A15B31"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2134315B"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6A563FA1"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09D3FFF3" w14:textId="77777777" w:rsidR="00C37E4E" w:rsidRPr="005F3E04" w:rsidRDefault="00C37E4E" w:rsidP="00C37E4E">
            <w:pPr>
              <w:pStyle w:val="TableText"/>
            </w:pPr>
            <w:r>
              <w:t>U</w:t>
            </w:r>
          </w:p>
        </w:tc>
        <w:tc>
          <w:tcPr>
            <w:tcW w:w="599" w:type="dxa"/>
            <w:tcBorders>
              <w:bottom w:val="single" w:sz="4" w:space="0" w:color="auto"/>
            </w:tcBorders>
            <w:shd w:val="clear" w:color="auto" w:fill="FFFFFF" w:themeFill="background1"/>
            <w:vAlign w:val="center"/>
          </w:tcPr>
          <w:p w14:paraId="250EB571"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40537150" w14:textId="77777777" w:rsidR="00C37E4E" w:rsidRPr="005F3E04" w:rsidRDefault="00C37E4E" w:rsidP="00C37E4E">
            <w:pPr>
              <w:pStyle w:val="TableText"/>
            </w:pPr>
            <w:r>
              <w:t>UA</w:t>
            </w:r>
          </w:p>
        </w:tc>
        <w:tc>
          <w:tcPr>
            <w:tcW w:w="614" w:type="dxa"/>
            <w:tcBorders>
              <w:bottom w:val="single" w:sz="4" w:space="0" w:color="auto"/>
            </w:tcBorders>
            <w:shd w:val="clear" w:color="auto" w:fill="FFFFFF" w:themeFill="background1"/>
            <w:vAlign w:val="center"/>
          </w:tcPr>
          <w:p w14:paraId="5C2EEBEB" w14:textId="77777777" w:rsidR="00C37E4E" w:rsidRPr="005F3E04" w:rsidRDefault="00C37E4E" w:rsidP="00C37E4E">
            <w:pPr>
              <w:pStyle w:val="TableText"/>
            </w:pPr>
            <w:r>
              <w:t>A</w:t>
            </w:r>
          </w:p>
        </w:tc>
        <w:tc>
          <w:tcPr>
            <w:tcW w:w="646" w:type="dxa"/>
            <w:tcBorders>
              <w:bottom w:val="single" w:sz="4" w:space="0" w:color="auto"/>
            </w:tcBorders>
            <w:shd w:val="clear" w:color="auto" w:fill="FFFFFF" w:themeFill="background1"/>
            <w:vAlign w:val="center"/>
          </w:tcPr>
          <w:p w14:paraId="0F1D78C1" w14:textId="77777777" w:rsidR="00C37E4E" w:rsidRPr="005F3E04" w:rsidRDefault="00C37E4E" w:rsidP="00C37E4E">
            <w:pPr>
              <w:pStyle w:val="TableText"/>
            </w:pPr>
            <w:r>
              <w:t>UA</w:t>
            </w:r>
          </w:p>
        </w:tc>
        <w:tc>
          <w:tcPr>
            <w:tcW w:w="695" w:type="dxa"/>
            <w:tcBorders>
              <w:bottom w:val="single" w:sz="4" w:space="0" w:color="auto"/>
            </w:tcBorders>
            <w:shd w:val="clear" w:color="auto" w:fill="FFFFFF" w:themeFill="background1"/>
            <w:vAlign w:val="center"/>
          </w:tcPr>
          <w:p w14:paraId="78AE4A8B"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516EACCF" w14:textId="77777777" w:rsidR="00C37E4E" w:rsidRPr="005F3E04" w:rsidRDefault="00C37E4E" w:rsidP="00C37E4E">
            <w:pPr>
              <w:pStyle w:val="TableText"/>
            </w:pPr>
          </w:p>
        </w:tc>
        <w:tc>
          <w:tcPr>
            <w:tcW w:w="688" w:type="dxa"/>
            <w:tcBorders>
              <w:bottom w:val="single" w:sz="4" w:space="0" w:color="auto"/>
            </w:tcBorders>
            <w:shd w:val="clear" w:color="auto" w:fill="FFFFFF" w:themeFill="background1"/>
            <w:vAlign w:val="center"/>
          </w:tcPr>
          <w:p w14:paraId="1DE853D9"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74E56CB8" w14:textId="77777777" w:rsidR="00C37E4E" w:rsidRPr="005F3E04" w:rsidRDefault="00C37E4E" w:rsidP="00C37E4E">
            <w:pPr>
              <w:pStyle w:val="TableText"/>
            </w:pPr>
          </w:p>
        </w:tc>
        <w:tc>
          <w:tcPr>
            <w:tcW w:w="663" w:type="dxa"/>
            <w:tcBorders>
              <w:bottom w:val="single" w:sz="4" w:space="0" w:color="auto"/>
            </w:tcBorders>
            <w:shd w:val="clear" w:color="auto" w:fill="FFFFFF" w:themeFill="background1"/>
            <w:vAlign w:val="center"/>
          </w:tcPr>
          <w:p w14:paraId="2088B439"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3776BF68" w14:textId="77777777" w:rsidR="00C37E4E" w:rsidRPr="005F3E04" w:rsidRDefault="00C37E4E" w:rsidP="00C37E4E">
            <w:pPr>
              <w:jc w:val="center"/>
              <w:rPr>
                <w:rFonts w:ascii="Franklin Gothic Book" w:hAnsi="Franklin Gothic Book"/>
                <w:sz w:val="16"/>
                <w:szCs w:val="16"/>
              </w:rPr>
            </w:pPr>
          </w:p>
        </w:tc>
      </w:tr>
      <w:tr w:rsidR="00C37E4E" w14:paraId="45578324" w14:textId="77777777" w:rsidTr="00236A57">
        <w:trPr>
          <w:trHeight w:val="20"/>
          <w:jc w:val="center"/>
        </w:trPr>
        <w:tc>
          <w:tcPr>
            <w:tcW w:w="1016" w:type="dxa"/>
            <w:tcBorders>
              <w:left w:val="nil"/>
            </w:tcBorders>
            <w:shd w:val="clear" w:color="auto" w:fill="FFFFFF" w:themeFill="background1"/>
            <w:vAlign w:val="center"/>
          </w:tcPr>
          <w:p w14:paraId="630CE822" w14:textId="77777777" w:rsidR="00C37E4E" w:rsidRDefault="00C37E4E" w:rsidP="00C37E4E">
            <w:pPr>
              <w:pStyle w:val="TableText"/>
            </w:pPr>
            <w:r>
              <w:t>Sierra</w:t>
            </w:r>
          </w:p>
        </w:tc>
        <w:tc>
          <w:tcPr>
            <w:tcW w:w="620" w:type="dxa"/>
            <w:shd w:val="clear" w:color="auto" w:fill="FFFFFF" w:themeFill="background1"/>
            <w:vAlign w:val="center"/>
          </w:tcPr>
          <w:p w14:paraId="01324D9A" w14:textId="77777777" w:rsidR="00C37E4E" w:rsidRPr="005F3E04" w:rsidRDefault="00C37E4E" w:rsidP="00C37E4E">
            <w:pPr>
              <w:pStyle w:val="TableText"/>
            </w:pPr>
            <w:r>
              <w:t>U</w:t>
            </w:r>
          </w:p>
        </w:tc>
        <w:tc>
          <w:tcPr>
            <w:tcW w:w="665" w:type="dxa"/>
            <w:shd w:val="clear" w:color="auto" w:fill="FFFFFF" w:themeFill="background1"/>
            <w:vAlign w:val="center"/>
          </w:tcPr>
          <w:p w14:paraId="01D7B9FB" w14:textId="77777777" w:rsidR="00C37E4E" w:rsidRPr="005F3E04" w:rsidRDefault="00C37E4E" w:rsidP="00C37E4E">
            <w:pPr>
              <w:pStyle w:val="TableText"/>
            </w:pPr>
            <w:r>
              <w:t>AU</w:t>
            </w:r>
          </w:p>
        </w:tc>
        <w:tc>
          <w:tcPr>
            <w:tcW w:w="600" w:type="dxa"/>
            <w:shd w:val="clear" w:color="auto" w:fill="FFFFFF" w:themeFill="background1"/>
            <w:vAlign w:val="center"/>
          </w:tcPr>
          <w:p w14:paraId="4C068C07" w14:textId="77777777" w:rsidR="00C37E4E" w:rsidRPr="005F3E04" w:rsidRDefault="00C37E4E" w:rsidP="00C37E4E">
            <w:pPr>
              <w:pStyle w:val="TableText"/>
            </w:pPr>
            <w:r>
              <w:t>U</w:t>
            </w:r>
          </w:p>
        </w:tc>
        <w:tc>
          <w:tcPr>
            <w:tcW w:w="600" w:type="dxa"/>
            <w:shd w:val="clear" w:color="auto" w:fill="FFFFFF" w:themeFill="background1"/>
            <w:vAlign w:val="center"/>
          </w:tcPr>
          <w:p w14:paraId="3236D693" w14:textId="77777777" w:rsidR="00C37E4E" w:rsidRPr="005F3E04" w:rsidRDefault="00C37E4E" w:rsidP="00C37E4E">
            <w:pPr>
              <w:pStyle w:val="TableText"/>
            </w:pPr>
            <w:r>
              <w:t>UA</w:t>
            </w:r>
          </w:p>
        </w:tc>
        <w:tc>
          <w:tcPr>
            <w:tcW w:w="600" w:type="dxa"/>
            <w:shd w:val="clear" w:color="auto" w:fill="FFFFFF" w:themeFill="background1"/>
            <w:vAlign w:val="center"/>
          </w:tcPr>
          <w:p w14:paraId="7CD29174" w14:textId="77777777" w:rsidR="00C37E4E" w:rsidRPr="005F3E04" w:rsidRDefault="00C37E4E" w:rsidP="00C37E4E">
            <w:pPr>
              <w:pStyle w:val="TableText"/>
            </w:pPr>
            <w:r>
              <w:t>A</w:t>
            </w:r>
          </w:p>
        </w:tc>
        <w:tc>
          <w:tcPr>
            <w:tcW w:w="600" w:type="dxa"/>
            <w:shd w:val="clear" w:color="auto" w:fill="FFFFFF" w:themeFill="background1"/>
            <w:vAlign w:val="center"/>
          </w:tcPr>
          <w:p w14:paraId="3522F6FE" w14:textId="77777777" w:rsidR="00C37E4E" w:rsidRPr="005F3E04" w:rsidRDefault="00C37E4E" w:rsidP="00C37E4E">
            <w:pPr>
              <w:pStyle w:val="TableText"/>
            </w:pPr>
            <w:r>
              <w:t>UA</w:t>
            </w:r>
          </w:p>
        </w:tc>
        <w:tc>
          <w:tcPr>
            <w:tcW w:w="599" w:type="dxa"/>
            <w:shd w:val="clear" w:color="auto" w:fill="FFFFFF" w:themeFill="background1"/>
            <w:vAlign w:val="center"/>
          </w:tcPr>
          <w:p w14:paraId="196A3ED3" w14:textId="77777777" w:rsidR="00C37E4E" w:rsidRPr="005F3E04" w:rsidRDefault="00C37E4E" w:rsidP="00C37E4E">
            <w:pPr>
              <w:pStyle w:val="TableText"/>
            </w:pPr>
            <w:r>
              <w:t>A</w:t>
            </w:r>
          </w:p>
        </w:tc>
        <w:tc>
          <w:tcPr>
            <w:tcW w:w="599" w:type="dxa"/>
            <w:shd w:val="clear" w:color="auto" w:fill="FFFFFF" w:themeFill="background1"/>
            <w:vAlign w:val="center"/>
          </w:tcPr>
          <w:p w14:paraId="1BF8E23F" w14:textId="77777777" w:rsidR="00C37E4E" w:rsidRPr="005F3E04" w:rsidRDefault="00C37E4E" w:rsidP="00C37E4E">
            <w:pPr>
              <w:pStyle w:val="TableText"/>
            </w:pPr>
            <w:r>
              <w:t>UA</w:t>
            </w:r>
          </w:p>
        </w:tc>
        <w:tc>
          <w:tcPr>
            <w:tcW w:w="599" w:type="dxa"/>
            <w:shd w:val="clear" w:color="auto" w:fill="FFFFFF" w:themeFill="background1"/>
            <w:vAlign w:val="center"/>
          </w:tcPr>
          <w:p w14:paraId="360C4A34" w14:textId="77777777" w:rsidR="00C37E4E" w:rsidRPr="005F3E04" w:rsidRDefault="00C37E4E" w:rsidP="00C37E4E">
            <w:pPr>
              <w:pStyle w:val="TableText"/>
            </w:pPr>
            <w:r>
              <w:t>N</w:t>
            </w:r>
          </w:p>
        </w:tc>
        <w:tc>
          <w:tcPr>
            <w:tcW w:w="599" w:type="dxa"/>
            <w:shd w:val="clear" w:color="auto" w:fill="FFFFFF" w:themeFill="background1"/>
            <w:vAlign w:val="center"/>
          </w:tcPr>
          <w:p w14:paraId="10877307" w14:textId="77777777" w:rsidR="00C37E4E" w:rsidRPr="005F3E04" w:rsidRDefault="00C37E4E" w:rsidP="00C37E4E">
            <w:pPr>
              <w:pStyle w:val="TableText"/>
            </w:pPr>
            <w:r>
              <w:t>U</w:t>
            </w:r>
          </w:p>
        </w:tc>
        <w:tc>
          <w:tcPr>
            <w:tcW w:w="599" w:type="dxa"/>
            <w:shd w:val="clear" w:color="auto" w:fill="FFFFFF" w:themeFill="background1"/>
            <w:vAlign w:val="center"/>
          </w:tcPr>
          <w:p w14:paraId="3754879E" w14:textId="77777777" w:rsidR="00C37E4E" w:rsidRPr="005F3E04" w:rsidRDefault="00C37E4E" w:rsidP="00C37E4E">
            <w:pPr>
              <w:pStyle w:val="TableText"/>
            </w:pPr>
            <w:r>
              <w:t>U</w:t>
            </w:r>
          </w:p>
        </w:tc>
        <w:tc>
          <w:tcPr>
            <w:tcW w:w="599" w:type="dxa"/>
            <w:shd w:val="clear" w:color="auto" w:fill="FFFFFF" w:themeFill="background1"/>
            <w:vAlign w:val="center"/>
          </w:tcPr>
          <w:p w14:paraId="40E39B74" w14:textId="77777777" w:rsidR="00C37E4E" w:rsidRPr="005F3E04" w:rsidRDefault="00C37E4E" w:rsidP="00C37E4E">
            <w:pPr>
              <w:pStyle w:val="TableText"/>
            </w:pPr>
            <w:r>
              <w:t>UA</w:t>
            </w:r>
          </w:p>
        </w:tc>
        <w:tc>
          <w:tcPr>
            <w:tcW w:w="614" w:type="dxa"/>
            <w:shd w:val="clear" w:color="auto" w:fill="FFFFFF" w:themeFill="background1"/>
            <w:vAlign w:val="center"/>
          </w:tcPr>
          <w:p w14:paraId="76CF8FEC" w14:textId="77777777" w:rsidR="00C37E4E" w:rsidRPr="005F3E04" w:rsidRDefault="00C37E4E" w:rsidP="00C37E4E">
            <w:pPr>
              <w:pStyle w:val="TableText"/>
            </w:pPr>
            <w:r>
              <w:t>A</w:t>
            </w:r>
          </w:p>
        </w:tc>
        <w:tc>
          <w:tcPr>
            <w:tcW w:w="646" w:type="dxa"/>
            <w:shd w:val="clear" w:color="auto" w:fill="FFFFFF" w:themeFill="background1"/>
            <w:vAlign w:val="center"/>
          </w:tcPr>
          <w:p w14:paraId="13D14853" w14:textId="77777777" w:rsidR="00C37E4E" w:rsidRPr="005F3E04" w:rsidRDefault="00C37E4E" w:rsidP="00C37E4E">
            <w:pPr>
              <w:pStyle w:val="TableText"/>
            </w:pPr>
            <w:r>
              <w:t>UA</w:t>
            </w:r>
          </w:p>
        </w:tc>
        <w:tc>
          <w:tcPr>
            <w:tcW w:w="695" w:type="dxa"/>
            <w:shd w:val="clear" w:color="auto" w:fill="FFFFFF" w:themeFill="background1"/>
            <w:vAlign w:val="center"/>
          </w:tcPr>
          <w:p w14:paraId="5ED047BB"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775CB7E2" w14:textId="77777777" w:rsidR="00C37E4E" w:rsidRPr="005F3E04" w:rsidRDefault="00C37E4E" w:rsidP="00C37E4E">
            <w:pPr>
              <w:pStyle w:val="TableText"/>
            </w:pPr>
          </w:p>
        </w:tc>
        <w:tc>
          <w:tcPr>
            <w:tcW w:w="688" w:type="dxa"/>
            <w:shd w:val="clear" w:color="auto" w:fill="FFFFFF" w:themeFill="background1"/>
            <w:vAlign w:val="center"/>
          </w:tcPr>
          <w:p w14:paraId="3B0748F8"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21873347" w14:textId="77777777" w:rsidR="00C37E4E" w:rsidRPr="005F3E04" w:rsidRDefault="00C37E4E" w:rsidP="00C37E4E">
            <w:pPr>
              <w:pStyle w:val="TableText"/>
            </w:pPr>
          </w:p>
        </w:tc>
        <w:tc>
          <w:tcPr>
            <w:tcW w:w="663" w:type="dxa"/>
            <w:shd w:val="clear" w:color="auto" w:fill="FFFFFF" w:themeFill="background1"/>
            <w:vAlign w:val="center"/>
          </w:tcPr>
          <w:p w14:paraId="5AC6F4D2"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1DAB07D0" w14:textId="77777777" w:rsidR="00C37E4E" w:rsidRPr="005F3E04" w:rsidRDefault="00C37E4E" w:rsidP="00C37E4E">
            <w:pPr>
              <w:jc w:val="center"/>
              <w:rPr>
                <w:rFonts w:ascii="Franklin Gothic Book" w:hAnsi="Franklin Gothic Book"/>
                <w:sz w:val="16"/>
                <w:szCs w:val="16"/>
              </w:rPr>
            </w:pPr>
          </w:p>
        </w:tc>
      </w:tr>
      <w:tr w:rsidR="00C37E4E" w14:paraId="4F00BFF3" w14:textId="77777777" w:rsidTr="00236A57">
        <w:trPr>
          <w:trHeight w:val="20"/>
          <w:jc w:val="center"/>
        </w:trPr>
        <w:tc>
          <w:tcPr>
            <w:tcW w:w="1016" w:type="dxa"/>
            <w:tcBorders>
              <w:left w:val="nil"/>
              <w:bottom w:val="single" w:sz="4" w:space="0" w:color="auto"/>
            </w:tcBorders>
            <w:shd w:val="clear" w:color="auto" w:fill="FFFFFF" w:themeFill="background1"/>
            <w:vAlign w:val="center"/>
          </w:tcPr>
          <w:p w14:paraId="494EC7FB" w14:textId="77777777" w:rsidR="00C37E4E" w:rsidRDefault="00C37E4E" w:rsidP="00C37E4E">
            <w:pPr>
              <w:pStyle w:val="TableText"/>
            </w:pPr>
            <w:r>
              <w:t>Siskiyou</w:t>
            </w:r>
          </w:p>
        </w:tc>
        <w:tc>
          <w:tcPr>
            <w:tcW w:w="620" w:type="dxa"/>
            <w:tcBorders>
              <w:bottom w:val="single" w:sz="4" w:space="0" w:color="auto"/>
            </w:tcBorders>
            <w:shd w:val="clear" w:color="auto" w:fill="FFFFFF" w:themeFill="background1"/>
            <w:vAlign w:val="center"/>
          </w:tcPr>
          <w:p w14:paraId="6E5AC218" w14:textId="77777777" w:rsidR="00C37E4E" w:rsidRPr="005F3E04" w:rsidRDefault="00C37E4E" w:rsidP="00C37E4E">
            <w:pPr>
              <w:pStyle w:val="TableText"/>
            </w:pPr>
            <w:r>
              <w:t>A</w:t>
            </w:r>
          </w:p>
        </w:tc>
        <w:tc>
          <w:tcPr>
            <w:tcW w:w="665" w:type="dxa"/>
            <w:tcBorders>
              <w:bottom w:val="single" w:sz="4" w:space="0" w:color="auto"/>
            </w:tcBorders>
            <w:shd w:val="clear" w:color="auto" w:fill="FFFFFF" w:themeFill="background1"/>
            <w:vAlign w:val="center"/>
          </w:tcPr>
          <w:p w14:paraId="2AD511B9" w14:textId="77777777" w:rsidR="00C37E4E" w:rsidRPr="005F3E04" w:rsidRDefault="00C37E4E" w:rsidP="00C37E4E">
            <w:pPr>
              <w:pStyle w:val="TableText"/>
            </w:pPr>
            <w:r>
              <w:t>AU</w:t>
            </w:r>
          </w:p>
        </w:tc>
        <w:tc>
          <w:tcPr>
            <w:tcW w:w="600" w:type="dxa"/>
            <w:tcBorders>
              <w:bottom w:val="single" w:sz="4" w:space="0" w:color="auto"/>
            </w:tcBorders>
            <w:shd w:val="clear" w:color="auto" w:fill="FFFFFF" w:themeFill="background1"/>
            <w:vAlign w:val="center"/>
          </w:tcPr>
          <w:p w14:paraId="4B15BB8D" w14:textId="77777777" w:rsidR="00C37E4E" w:rsidRPr="005F3E04" w:rsidRDefault="00C37E4E" w:rsidP="00C37E4E">
            <w:pPr>
              <w:pStyle w:val="TableText"/>
            </w:pPr>
            <w:r>
              <w:t>U</w:t>
            </w:r>
          </w:p>
        </w:tc>
        <w:tc>
          <w:tcPr>
            <w:tcW w:w="600" w:type="dxa"/>
            <w:tcBorders>
              <w:bottom w:val="single" w:sz="4" w:space="0" w:color="auto"/>
            </w:tcBorders>
            <w:shd w:val="clear" w:color="auto" w:fill="FFFFFF" w:themeFill="background1"/>
            <w:vAlign w:val="center"/>
          </w:tcPr>
          <w:p w14:paraId="1BC8E5CB" w14:textId="77777777" w:rsidR="00C37E4E" w:rsidRPr="005F3E04" w:rsidRDefault="00C37E4E" w:rsidP="00C37E4E">
            <w:pPr>
              <w:pStyle w:val="TableText"/>
            </w:pPr>
            <w:r>
              <w:t>UA</w:t>
            </w:r>
          </w:p>
        </w:tc>
        <w:tc>
          <w:tcPr>
            <w:tcW w:w="600" w:type="dxa"/>
            <w:tcBorders>
              <w:bottom w:val="single" w:sz="4" w:space="0" w:color="auto"/>
            </w:tcBorders>
            <w:shd w:val="clear" w:color="auto" w:fill="FFFFFF" w:themeFill="background1"/>
            <w:vAlign w:val="center"/>
          </w:tcPr>
          <w:p w14:paraId="052460DC"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5FA48FAB"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4728725B"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75B7E1BA"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2A5B8027"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13501B15" w14:textId="77777777" w:rsidR="00C37E4E" w:rsidRPr="005F3E04" w:rsidRDefault="00C37E4E" w:rsidP="00C37E4E">
            <w:pPr>
              <w:pStyle w:val="TableText"/>
            </w:pPr>
            <w:r>
              <w:t>U</w:t>
            </w:r>
          </w:p>
        </w:tc>
        <w:tc>
          <w:tcPr>
            <w:tcW w:w="599" w:type="dxa"/>
            <w:tcBorders>
              <w:bottom w:val="single" w:sz="4" w:space="0" w:color="auto"/>
            </w:tcBorders>
            <w:shd w:val="clear" w:color="auto" w:fill="FFFFFF" w:themeFill="background1"/>
            <w:vAlign w:val="center"/>
          </w:tcPr>
          <w:p w14:paraId="032BAFFA"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3E0AB7E7" w14:textId="77777777" w:rsidR="00C37E4E" w:rsidRPr="005F3E04" w:rsidRDefault="00C37E4E" w:rsidP="00C37E4E">
            <w:pPr>
              <w:pStyle w:val="TableText"/>
            </w:pPr>
            <w:r>
              <w:t>UA</w:t>
            </w:r>
          </w:p>
        </w:tc>
        <w:tc>
          <w:tcPr>
            <w:tcW w:w="614" w:type="dxa"/>
            <w:tcBorders>
              <w:bottom w:val="single" w:sz="4" w:space="0" w:color="auto"/>
            </w:tcBorders>
            <w:shd w:val="clear" w:color="auto" w:fill="FFFFFF" w:themeFill="background1"/>
            <w:vAlign w:val="center"/>
          </w:tcPr>
          <w:p w14:paraId="3C3DE798" w14:textId="77777777" w:rsidR="00C37E4E" w:rsidRPr="005F3E04" w:rsidRDefault="00C37E4E" w:rsidP="00C37E4E">
            <w:pPr>
              <w:pStyle w:val="TableText"/>
            </w:pPr>
            <w:r>
              <w:t>A</w:t>
            </w:r>
          </w:p>
        </w:tc>
        <w:tc>
          <w:tcPr>
            <w:tcW w:w="646" w:type="dxa"/>
            <w:tcBorders>
              <w:bottom w:val="single" w:sz="4" w:space="0" w:color="auto"/>
            </w:tcBorders>
            <w:shd w:val="clear" w:color="auto" w:fill="FFFFFF" w:themeFill="background1"/>
            <w:vAlign w:val="center"/>
          </w:tcPr>
          <w:p w14:paraId="2DEA986C" w14:textId="77777777" w:rsidR="00C37E4E" w:rsidRPr="005F3E04" w:rsidRDefault="00C37E4E" w:rsidP="00C37E4E">
            <w:pPr>
              <w:pStyle w:val="TableText"/>
            </w:pPr>
            <w:r>
              <w:t>UA</w:t>
            </w:r>
          </w:p>
        </w:tc>
        <w:tc>
          <w:tcPr>
            <w:tcW w:w="695" w:type="dxa"/>
            <w:tcBorders>
              <w:bottom w:val="single" w:sz="4" w:space="0" w:color="auto"/>
            </w:tcBorders>
            <w:shd w:val="clear" w:color="auto" w:fill="FFFFFF" w:themeFill="background1"/>
            <w:vAlign w:val="center"/>
          </w:tcPr>
          <w:p w14:paraId="1BE637C9"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69F6D79C" w14:textId="77777777" w:rsidR="00C37E4E" w:rsidRPr="005F3E04" w:rsidRDefault="00C37E4E" w:rsidP="00C37E4E">
            <w:pPr>
              <w:pStyle w:val="TableText"/>
            </w:pPr>
          </w:p>
        </w:tc>
        <w:tc>
          <w:tcPr>
            <w:tcW w:w="688" w:type="dxa"/>
            <w:tcBorders>
              <w:bottom w:val="single" w:sz="4" w:space="0" w:color="auto"/>
            </w:tcBorders>
            <w:shd w:val="clear" w:color="auto" w:fill="FFFFFF" w:themeFill="background1"/>
            <w:vAlign w:val="center"/>
          </w:tcPr>
          <w:p w14:paraId="3DBA615A"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32357FD4" w14:textId="77777777" w:rsidR="00C37E4E" w:rsidRPr="005F3E04" w:rsidRDefault="00C37E4E" w:rsidP="00C37E4E">
            <w:pPr>
              <w:pStyle w:val="TableText"/>
            </w:pPr>
          </w:p>
        </w:tc>
        <w:tc>
          <w:tcPr>
            <w:tcW w:w="663" w:type="dxa"/>
            <w:tcBorders>
              <w:bottom w:val="single" w:sz="4" w:space="0" w:color="auto"/>
            </w:tcBorders>
            <w:shd w:val="clear" w:color="auto" w:fill="FFFFFF" w:themeFill="background1"/>
            <w:vAlign w:val="center"/>
          </w:tcPr>
          <w:p w14:paraId="4975C274"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45B1BF32" w14:textId="77777777" w:rsidR="00C37E4E" w:rsidRPr="005F3E04" w:rsidRDefault="00C37E4E" w:rsidP="00C37E4E">
            <w:pPr>
              <w:jc w:val="center"/>
              <w:rPr>
                <w:rFonts w:ascii="Franklin Gothic Book" w:hAnsi="Franklin Gothic Book"/>
                <w:sz w:val="16"/>
                <w:szCs w:val="16"/>
              </w:rPr>
            </w:pPr>
          </w:p>
        </w:tc>
      </w:tr>
      <w:tr w:rsidR="00C37E4E" w14:paraId="0505865B" w14:textId="77777777" w:rsidTr="00236A57">
        <w:trPr>
          <w:trHeight w:val="20"/>
          <w:jc w:val="center"/>
        </w:trPr>
        <w:tc>
          <w:tcPr>
            <w:tcW w:w="1016" w:type="dxa"/>
            <w:tcBorders>
              <w:left w:val="nil"/>
            </w:tcBorders>
            <w:shd w:val="clear" w:color="auto" w:fill="FFFFFF" w:themeFill="background1"/>
            <w:vAlign w:val="center"/>
          </w:tcPr>
          <w:p w14:paraId="6AD09E7F" w14:textId="77777777" w:rsidR="00C37E4E" w:rsidRDefault="00C37E4E" w:rsidP="00C37E4E">
            <w:pPr>
              <w:pStyle w:val="TableText"/>
            </w:pPr>
            <w:r>
              <w:t>Solano</w:t>
            </w:r>
          </w:p>
        </w:tc>
        <w:tc>
          <w:tcPr>
            <w:tcW w:w="620" w:type="dxa"/>
            <w:shd w:val="clear" w:color="auto" w:fill="FFFFFF" w:themeFill="background1"/>
            <w:vAlign w:val="center"/>
          </w:tcPr>
          <w:p w14:paraId="605D6A71" w14:textId="77777777" w:rsidR="00C37E4E" w:rsidRPr="005F3E04" w:rsidRDefault="00C37E4E" w:rsidP="00C37E4E">
            <w:pPr>
              <w:pStyle w:val="TableText"/>
            </w:pPr>
            <w:r>
              <w:t>N</w:t>
            </w:r>
          </w:p>
        </w:tc>
        <w:tc>
          <w:tcPr>
            <w:tcW w:w="665" w:type="dxa"/>
            <w:shd w:val="clear" w:color="auto" w:fill="FFFFFF" w:themeFill="background1"/>
            <w:vAlign w:val="center"/>
          </w:tcPr>
          <w:p w14:paraId="7AC95813" w14:textId="77777777" w:rsidR="00C37E4E" w:rsidRPr="005F3E04" w:rsidRDefault="00C37E4E" w:rsidP="00C37E4E">
            <w:pPr>
              <w:pStyle w:val="TableText"/>
            </w:pPr>
            <w:r>
              <w:t>N</w:t>
            </w:r>
          </w:p>
        </w:tc>
        <w:tc>
          <w:tcPr>
            <w:tcW w:w="600" w:type="dxa"/>
            <w:shd w:val="clear" w:color="auto" w:fill="FFFFFF" w:themeFill="background1"/>
            <w:vAlign w:val="center"/>
          </w:tcPr>
          <w:p w14:paraId="1944C7BE" w14:textId="77777777" w:rsidR="00C37E4E" w:rsidRPr="005F3E04" w:rsidRDefault="00C37E4E" w:rsidP="00C37E4E">
            <w:pPr>
              <w:pStyle w:val="TableText"/>
            </w:pPr>
            <w:r>
              <w:t>A</w:t>
            </w:r>
          </w:p>
        </w:tc>
        <w:tc>
          <w:tcPr>
            <w:tcW w:w="600" w:type="dxa"/>
            <w:shd w:val="clear" w:color="auto" w:fill="FFFFFF" w:themeFill="background1"/>
            <w:vAlign w:val="center"/>
          </w:tcPr>
          <w:p w14:paraId="7EAF7ACB" w14:textId="77777777" w:rsidR="00C37E4E" w:rsidRPr="005F3E04" w:rsidRDefault="00C37E4E" w:rsidP="00C37E4E">
            <w:pPr>
              <w:pStyle w:val="TableText"/>
            </w:pPr>
            <w:r>
              <w:t>UA</w:t>
            </w:r>
          </w:p>
        </w:tc>
        <w:tc>
          <w:tcPr>
            <w:tcW w:w="600" w:type="dxa"/>
            <w:shd w:val="clear" w:color="auto" w:fill="FFFFFF" w:themeFill="background1"/>
            <w:vAlign w:val="center"/>
          </w:tcPr>
          <w:p w14:paraId="2D06B57C" w14:textId="77777777" w:rsidR="00C37E4E" w:rsidRPr="005F3E04" w:rsidRDefault="00C37E4E" w:rsidP="00C37E4E">
            <w:pPr>
              <w:pStyle w:val="TableText"/>
            </w:pPr>
            <w:r>
              <w:t>A</w:t>
            </w:r>
          </w:p>
        </w:tc>
        <w:tc>
          <w:tcPr>
            <w:tcW w:w="600" w:type="dxa"/>
            <w:shd w:val="clear" w:color="auto" w:fill="FFFFFF" w:themeFill="background1"/>
            <w:vAlign w:val="center"/>
          </w:tcPr>
          <w:p w14:paraId="756D13B6" w14:textId="77777777" w:rsidR="00C37E4E" w:rsidRPr="005F3E04" w:rsidRDefault="00C37E4E" w:rsidP="00C37E4E">
            <w:pPr>
              <w:pStyle w:val="TableText"/>
            </w:pPr>
            <w:r>
              <w:t>UA</w:t>
            </w:r>
          </w:p>
        </w:tc>
        <w:tc>
          <w:tcPr>
            <w:tcW w:w="599" w:type="dxa"/>
            <w:shd w:val="clear" w:color="auto" w:fill="FFFFFF" w:themeFill="background1"/>
            <w:vAlign w:val="center"/>
          </w:tcPr>
          <w:p w14:paraId="749A19C3" w14:textId="77777777" w:rsidR="00C37E4E" w:rsidRPr="005F3E04" w:rsidRDefault="00C37E4E" w:rsidP="00C37E4E">
            <w:pPr>
              <w:pStyle w:val="TableText"/>
            </w:pPr>
            <w:r>
              <w:t>A</w:t>
            </w:r>
          </w:p>
        </w:tc>
        <w:tc>
          <w:tcPr>
            <w:tcW w:w="599" w:type="dxa"/>
            <w:shd w:val="clear" w:color="auto" w:fill="FFFFFF" w:themeFill="background1"/>
            <w:vAlign w:val="center"/>
          </w:tcPr>
          <w:p w14:paraId="56DB365D" w14:textId="77777777" w:rsidR="00C37E4E" w:rsidRPr="005F3E04" w:rsidRDefault="00C37E4E" w:rsidP="00C37E4E">
            <w:pPr>
              <w:pStyle w:val="TableText"/>
            </w:pPr>
            <w:r>
              <w:t>UA</w:t>
            </w:r>
          </w:p>
        </w:tc>
        <w:tc>
          <w:tcPr>
            <w:tcW w:w="599" w:type="dxa"/>
            <w:shd w:val="clear" w:color="auto" w:fill="FFFFFF" w:themeFill="background1"/>
            <w:vAlign w:val="center"/>
          </w:tcPr>
          <w:p w14:paraId="32C1769C" w14:textId="77777777" w:rsidR="00C37E4E" w:rsidRPr="005F3E04" w:rsidRDefault="00C37E4E" w:rsidP="00C37E4E">
            <w:pPr>
              <w:pStyle w:val="TableText"/>
            </w:pPr>
            <w:r>
              <w:t>N</w:t>
            </w:r>
          </w:p>
        </w:tc>
        <w:tc>
          <w:tcPr>
            <w:tcW w:w="599" w:type="dxa"/>
            <w:shd w:val="clear" w:color="auto" w:fill="FFFFFF" w:themeFill="background1"/>
            <w:vAlign w:val="center"/>
          </w:tcPr>
          <w:p w14:paraId="42F01CEF" w14:textId="77777777" w:rsidR="00C37E4E" w:rsidRPr="005F3E04" w:rsidRDefault="00C37E4E" w:rsidP="00C37E4E">
            <w:pPr>
              <w:pStyle w:val="TableText"/>
            </w:pPr>
            <w:r>
              <w:t>U</w:t>
            </w:r>
          </w:p>
        </w:tc>
        <w:tc>
          <w:tcPr>
            <w:tcW w:w="599" w:type="dxa"/>
            <w:shd w:val="clear" w:color="auto" w:fill="FFFFFF" w:themeFill="background1"/>
            <w:vAlign w:val="center"/>
          </w:tcPr>
          <w:p w14:paraId="1092C3A2" w14:textId="77777777" w:rsidR="00C37E4E" w:rsidRPr="005F3E04" w:rsidRDefault="00C37E4E" w:rsidP="00C37E4E">
            <w:pPr>
              <w:pStyle w:val="TableText"/>
            </w:pPr>
            <w:r>
              <w:t>N</w:t>
            </w:r>
          </w:p>
        </w:tc>
        <w:tc>
          <w:tcPr>
            <w:tcW w:w="599" w:type="dxa"/>
            <w:shd w:val="clear" w:color="auto" w:fill="FFFFFF" w:themeFill="background1"/>
            <w:vAlign w:val="center"/>
          </w:tcPr>
          <w:p w14:paraId="6967EA47" w14:textId="77777777" w:rsidR="00C37E4E" w:rsidRPr="005F3E04" w:rsidRDefault="00C37E4E" w:rsidP="00C37E4E">
            <w:pPr>
              <w:pStyle w:val="TableText"/>
            </w:pPr>
            <w:r>
              <w:t>N</w:t>
            </w:r>
          </w:p>
        </w:tc>
        <w:tc>
          <w:tcPr>
            <w:tcW w:w="614" w:type="dxa"/>
            <w:shd w:val="clear" w:color="auto" w:fill="FFFFFF" w:themeFill="background1"/>
            <w:vAlign w:val="center"/>
          </w:tcPr>
          <w:p w14:paraId="52938A1F" w14:textId="77777777" w:rsidR="00C37E4E" w:rsidRPr="005F3E04" w:rsidRDefault="00C37E4E" w:rsidP="00C37E4E">
            <w:pPr>
              <w:pStyle w:val="TableText"/>
            </w:pPr>
            <w:r>
              <w:t>A</w:t>
            </w:r>
          </w:p>
        </w:tc>
        <w:tc>
          <w:tcPr>
            <w:tcW w:w="646" w:type="dxa"/>
            <w:shd w:val="clear" w:color="auto" w:fill="FFFFFF" w:themeFill="background1"/>
            <w:vAlign w:val="center"/>
          </w:tcPr>
          <w:p w14:paraId="0126A96C" w14:textId="77777777" w:rsidR="00C37E4E" w:rsidRPr="005F3E04" w:rsidRDefault="00C37E4E" w:rsidP="00C37E4E">
            <w:pPr>
              <w:pStyle w:val="TableText"/>
            </w:pPr>
            <w:r>
              <w:t>UA</w:t>
            </w:r>
          </w:p>
        </w:tc>
        <w:tc>
          <w:tcPr>
            <w:tcW w:w="695" w:type="dxa"/>
            <w:shd w:val="clear" w:color="auto" w:fill="FFFFFF" w:themeFill="background1"/>
            <w:vAlign w:val="center"/>
          </w:tcPr>
          <w:p w14:paraId="433E45C3"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47072627" w14:textId="77777777" w:rsidR="00C37E4E" w:rsidRPr="005F3E04" w:rsidRDefault="00C37E4E" w:rsidP="00C37E4E">
            <w:pPr>
              <w:pStyle w:val="TableText"/>
            </w:pPr>
          </w:p>
        </w:tc>
        <w:tc>
          <w:tcPr>
            <w:tcW w:w="688" w:type="dxa"/>
            <w:shd w:val="clear" w:color="auto" w:fill="FFFFFF" w:themeFill="background1"/>
            <w:vAlign w:val="center"/>
          </w:tcPr>
          <w:p w14:paraId="784F8313"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1D647919" w14:textId="77777777" w:rsidR="00C37E4E" w:rsidRPr="005F3E04" w:rsidRDefault="00C37E4E" w:rsidP="00C37E4E">
            <w:pPr>
              <w:pStyle w:val="TableText"/>
            </w:pPr>
          </w:p>
        </w:tc>
        <w:tc>
          <w:tcPr>
            <w:tcW w:w="663" w:type="dxa"/>
            <w:shd w:val="clear" w:color="auto" w:fill="FFFFFF" w:themeFill="background1"/>
            <w:vAlign w:val="center"/>
          </w:tcPr>
          <w:p w14:paraId="32867E0A"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6C9E03D2" w14:textId="77777777" w:rsidR="00C37E4E" w:rsidRPr="005F3E04" w:rsidRDefault="00C37E4E" w:rsidP="00C37E4E">
            <w:pPr>
              <w:jc w:val="center"/>
              <w:rPr>
                <w:rFonts w:ascii="Franklin Gothic Book" w:hAnsi="Franklin Gothic Book"/>
                <w:sz w:val="16"/>
                <w:szCs w:val="16"/>
              </w:rPr>
            </w:pPr>
          </w:p>
        </w:tc>
      </w:tr>
      <w:tr w:rsidR="00C37E4E" w14:paraId="7C7DAC6B" w14:textId="77777777" w:rsidTr="00236A57">
        <w:trPr>
          <w:trHeight w:val="20"/>
          <w:jc w:val="center"/>
        </w:trPr>
        <w:tc>
          <w:tcPr>
            <w:tcW w:w="1016" w:type="dxa"/>
            <w:tcBorders>
              <w:left w:val="nil"/>
              <w:bottom w:val="single" w:sz="4" w:space="0" w:color="auto"/>
            </w:tcBorders>
            <w:shd w:val="clear" w:color="auto" w:fill="FFFFFF" w:themeFill="background1"/>
            <w:vAlign w:val="center"/>
          </w:tcPr>
          <w:p w14:paraId="3FFFF64C" w14:textId="77777777" w:rsidR="00C37E4E" w:rsidRPr="00B227EE" w:rsidRDefault="00C37E4E" w:rsidP="00C37E4E">
            <w:pPr>
              <w:pStyle w:val="TableText"/>
              <w:rPr>
                <w:vertAlign w:val="superscript"/>
              </w:rPr>
            </w:pPr>
            <w:r>
              <w:t>Sonoma</w:t>
            </w:r>
            <w:r>
              <w:rPr>
                <w:vertAlign w:val="superscript"/>
              </w:rPr>
              <w:t>8</w:t>
            </w:r>
          </w:p>
        </w:tc>
        <w:tc>
          <w:tcPr>
            <w:tcW w:w="620" w:type="dxa"/>
            <w:tcBorders>
              <w:bottom w:val="single" w:sz="4" w:space="0" w:color="auto"/>
            </w:tcBorders>
            <w:shd w:val="clear" w:color="auto" w:fill="FFFFFF" w:themeFill="background1"/>
            <w:vAlign w:val="center"/>
          </w:tcPr>
          <w:p w14:paraId="5998A603" w14:textId="77777777" w:rsidR="00C37E4E" w:rsidRPr="005F3E04" w:rsidRDefault="00C37E4E" w:rsidP="00C37E4E">
            <w:pPr>
              <w:pStyle w:val="TableText"/>
            </w:pPr>
            <w:r>
              <w:t>A/N</w:t>
            </w:r>
          </w:p>
        </w:tc>
        <w:tc>
          <w:tcPr>
            <w:tcW w:w="665" w:type="dxa"/>
            <w:tcBorders>
              <w:bottom w:val="single" w:sz="4" w:space="0" w:color="auto"/>
            </w:tcBorders>
            <w:shd w:val="clear" w:color="auto" w:fill="FFFFFF" w:themeFill="background1"/>
            <w:vAlign w:val="center"/>
          </w:tcPr>
          <w:p w14:paraId="5025AA37" w14:textId="77777777" w:rsidR="00C37E4E" w:rsidRPr="005F3E04" w:rsidRDefault="00C37E4E" w:rsidP="00C37E4E">
            <w:pPr>
              <w:pStyle w:val="TableText"/>
            </w:pPr>
            <w:r>
              <w:t>N/AU</w:t>
            </w:r>
          </w:p>
        </w:tc>
        <w:tc>
          <w:tcPr>
            <w:tcW w:w="600" w:type="dxa"/>
            <w:tcBorders>
              <w:bottom w:val="single" w:sz="4" w:space="0" w:color="auto"/>
            </w:tcBorders>
            <w:shd w:val="clear" w:color="auto" w:fill="FFFFFF" w:themeFill="background1"/>
            <w:vAlign w:val="center"/>
          </w:tcPr>
          <w:p w14:paraId="4FFFD3C0"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246B4970" w14:textId="77777777" w:rsidR="00C37E4E" w:rsidRPr="005F3E04" w:rsidRDefault="00C37E4E" w:rsidP="00C37E4E">
            <w:pPr>
              <w:pStyle w:val="TableText"/>
            </w:pPr>
            <w:r>
              <w:t>UA</w:t>
            </w:r>
          </w:p>
        </w:tc>
        <w:tc>
          <w:tcPr>
            <w:tcW w:w="600" w:type="dxa"/>
            <w:tcBorders>
              <w:bottom w:val="single" w:sz="4" w:space="0" w:color="auto"/>
            </w:tcBorders>
            <w:shd w:val="clear" w:color="auto" w:fill="FFFFFF" w:themeFill="background1"/>
            <w:vAlign w:val="center"/>
          </w:tcPr>
          <w:p w14:paraId="42ED1B9D"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1D492C48"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1B347C42"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478FA8FF"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6D53213D" w14:textId="77777777" w:rsidR="00C37E4E" w:rsidRPr="005F3E04" w:rsidRDefault="00C37E4E" w:rsidP="00C37E4E">
            <w:pPr>
              <w:pStyle w:val="TableText"/>
            </w:pPr>
            <w:r>
              <w:t>A/N</w:t>
            </w:r>
          </w:p>
        </w:tc>
        <w:tc>
          <w:tcPr>
            <w:tcW w:w="599" w:type="dxa"/>
            <w:tcBorders>
              <w:bottom w:val="single" w:sz="4" w:space="0" w:color="auto"/>
            </w:tcBorders>
            <w:shd w:val="clear" w:color="auto" w:fill="FFFFFF" w:themeFill="background1"/>
            <w:vAlign w:val="center"/>
          </w:tcPr>
          <w:p w14:paraId="292F22DD" w14:textId="77777777" w:rsidR="00C37E4E" w:rsidRPr="005F3E04" w:rsidRDefault="00C37E4E" w:rsidP="00C37E4E">
            <w:pPr>
              <w:pStyle w:val="TableText"/>
            </w:pPr>
            <w:r>
              <w:t>U</w:t>
            </w:r>
          </w:p>
        </w:tc>
        <w:tc>
          <w:tcPr>
            <w:tcW w:w="599" w:type="dxa"/>
            <w:tcBorders>
              <w:bottom w:val="single" w:sz="4" w:space="0" w:color="auto"/>
            </w:tcBorders>
            <w:shd w:val="clear" w:color="auto" w:fill="FFFFFF" w:themeFill="background1"/>
            <w:vAlign w:val="center"/>
          </w:tcPr>
          <w:p w14:paraId="10593BF3" w14:textId="77777777" w:rsidR="00C37E4E" w:rsidRPr="005F3E04" w:rsidRDefault="00C37E4E" w:rsidP="00C37E4E">
            <w:pPr>
              <w:pStyle w:val="TableText"/>
            </w:pPr>
            <w:r>
              <w:t>A/N</w:t>
            </w:r>
          </w:p>
        </w:tc>
        <w:tc>
          <w:tcPr>
            <w:tcW w:w="599" w:type="dxa"/>
            <w:tcBorders>
              <w:bottom w:val="single" w:sz="4" w:space="0" w:color="auto"/>
            </w:tcBorders>
            <w:shd w:val="clear" w:color="auto" w:fill="FFFFFF" w:themeFill="background1"/>
            <w:vAlign w:val="center"/>
          </w:tcPr>
          <w:p w14:paraId="4A5D8D94" w14:textId="77777777" w:rsidR="00C37E4E" w:rsidRPr="005F3E04" w:rsidRDefault="00C37E4E" w:rsidP="00C37E4E">
            <w:pPr>
              <w:pStyle w:val="TableText"/>
            </w:pPr>
            <w:r>
              <w:t>N/UA</w:t>
            </w:r>
          </w:p>
        </w:tc>
        <w:tc>
          <w:tcPr>
            <w:tcW w:w="614" w:type="dxa"/>
            <w:tcBorders>
              <w:bottom w:val="single" w:sz="4" w:space="0" w:color="auto"/>
            </w:tcBorders>
            <w:shd w:val="clear" w:color="auto" w:fill="FFFFFF" w:themeFill="background1"/>
            <w:vAlign w:val="center"/>
          </w:tcPr>
          <w:p w14:paraId="020D385E" w14:textId="77777777" w:rsidR="00C37E4E" w:rsidRPr="005F3E04" w:rsidRDefault="00C37E4E" w:rsidP="00C37E4E">
            <w:pPr>
              <w:pStyle w:val="TableText"/>
            </w:pPr>
            <w:r>
              <w:t>A</w:t>
            </w:r>
          </w:p>
        </w:tc>
        <w:tc>
          <w:tcPr>
            <w:tcW w:w="646" w:type="dxa"/>
            <w:tcBorders>
              <w:bottom w:val="single" w:sz="4" w:space="0" w:color="auto"/>
            </w:tcBorders>
            <w:shd w:val="clear" w:color="auto" w:fill="FFFFFF" w:themeFill="background1"/>
            <w:vAlign w:val="center"/>
          </w:tcPr>
          <w:p w14:paraId="50381A35" w14:textId="77777777" w:rsidR="00C37E4E" w:rsidRPr="005F3E04" w:rsidRDefault="00C37E4E" w:rsidP="00C37E4E">
            <w:pPr>
              <w:pStyle w:val="TableText"/>
            </w:pPr>
            <w:r>
              <w:t>UA</w:t>
            </w:r>
          </w:p>
        </w:tc>
        <w:tc>
          <w:tcPr>
            <w:tcW w:w="695" w:type="dxa"/>
            <w:tcBorders>
              <w:bottom w:val="single" w:sz="4" w:space="0" w:color="auto"/>
            </w:tcBorders>
            <w:shd w:val="clear" w:color="auto" w:fill="FFFFFF" w:themeFill="background1"/>
            <w:vAlign w:val="center"/>
          </w:tcPr>
          <w:p w14:paraId="1352359B"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53DF3753" w14:textId="77777777" w:rsidR="00C37E4E" w:rsidRPr="005F3E04" w:rsidRDefault="00C37E4E" w:rsidP="00C37E4E">
            <w:pPr>
              <w:pStyle w:val="TableText"/>
            </w:pPr>
          </w:p>
        </w:tc>
        <w:tc>
          <w:tcPr>
            <w:tcW w:w="688" w:type="dxa"/>
            <w:tcBorders>
              <w:bottom w:val="single" w:sz="4" w:space="0" w:color="auto"/>
            </w:tcBorders>
            <w:shd w:val="clear" w:color="auto" w:fill="FFFFFF" w:themeFill="background1"/>
            <w:vAlign w:val="center"/>
          </w:tcPr>
          <w:p w14:paraId="355A57F3"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65ECD539" w14:textId="77777777" w:rsidR="00C37E4E" w:rsidRPr="005F3E04" w:rsidRDefault="00C37E4E" w:rsidP="00C37E4E">
            <w:pPr>
              <w:pStyle w:val="TableText"/>
            </w:pPr>
          </w:p>
        </w:tc>
        <w:tc>
          <w:tcPr>
            <w:tcW w:w="663" w:type="dxa"/>
            <w:tcBorders>
              <w:bottom w:val="single" w:sz="4" w:space="0" w:color="auto"/>
            </w:tcBorders>
            <w:shd w:val="clear" w:color="auto" w:fill="FFFFFF" w:themeFill="background1"/>
            <w:vAlign w:val="center"/>
          </w:tcPr>
          <w:p w14:paraId="49BCE4A4"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6E9C47DC" w14:textId="77777777" w:rsidR="00C37E4E" w:rsidRPr="005F3E04" w:rsidRDefault="00C37E4E" w:rsidP="00C37E4E">
            <w:pPr>
              <w:jc w:val="center"/>
              <w:rPr>
                <w:rFonts w:ascii="Franklin Gothic Book" w:hAnsi="Franklin Gothic Book"/>
                <w:sz w:val="16"/>
                <w:szCs w:val="16"/>
              </w:rPr>
            </w:pPr>
          </w:p>
        </w:tc>
      </w:tr>
      <w:tr w:rsidR="00C37E4E" w14:paraId="25D36EB2" w14:textId="77777777" w:rsidTr="00236A57">
        <w:trPr>
          <w:trHeight w:val="20"/>
          <w:jc w:val="center"/>
        </w:trPr>
        <w:tc>
          <w:tcPr>
            <w:tcW w:w="1016" w:type="dxa"/>
            <w:tcBorders>
              <w:left w:val="nil"/>
            </w:tcBorders>
            <w:shd w:val="clear" w:color="auto" w:fill="FFFFFF" w:themeFill="background1"/>
            <w:vAlign w:val="center"/>
          </w:tcPr>
          <w:p w14:paraId="7C4C7B7B" w14:textId="77777777" w:rsidR="00C37E4E" w:rsidRDefault="00C37E4E" w:rsidP="00C37E4E">
            <w:pPr>
              <w:pStyle w:val="TableText"/>
            </w:pPr>
            <w:r>
              <w:t>Stanislaus</w:t>
            </w:r>
          </w:p>
        </w:tc>
        <w:tc>
          <w:tcPr>
            <w:tcW w:w="620" w:type="dxa"/>
            <w:shd w:val="clear" w:color="auto" w:fill="FFFFFF" w:themeFill="background1"/>
            <w:vAlign w:val="center"/>
          </w:tcPr>
          <w:p w14:paraId="1D2A0C35" w14:textId="77777777" w:rsidR="00C37E4E" w:rsidRPr="005F3E04" w:rsidRDefault="00C37E4E" w:rsidP="00C37E4E">
            <w:pPr>
              <w:pStyle w:val="TableText"/>
            </w:pPr>
            <w:r>
              <w:t>N</w:t>
            </w:r>
          </w:p>
        </w:tc>
        <w:tc>
          <w:tcPr>
            <w:tcW w:w="665" w:type="dxa"/>
            <w:shd w:val="clear" w:color="auto" w:fill="FFFFFF" w:themeFill="background1"/>
            <w:vAlign w:val="center"/>
          </w:tcPr>
          <w:p w14:paraId="7122FDBB" w14:textId="77777777" w:rsidR="00C37E4E" w:rsidRPr="005F3E04" w:rsidRDefault="00C37E4E" w:rsidP="00C37E4E">
            <w:pPr>
              <w:pStyle w:val="TableText"/>
            </w:pPr>
            <w:r>
              <w:t>N</w:t>
            </w:r>
          </w:p>
        </w:tc>
        <w:tc>
          <w:tcPr>
            <w:tcW w:w="600" w:type="dxa"/>
            <w:shd w:val="clear" w:color="auto" w:fill="FFFFFF" w:themeFill="background1"/>
            <w:vAlign w:val="center"/>
          </w:tcPr>
          <w:p w14:paraId="666CDCC7" w14:textId="77777777" w:rsidR="00C37E4E" w:rsidRPr="005F3E04" w:rsidRDefault="00C37E4E" w:rsidP="00C37E4E">
            <w:pPr>
              <w:pStyle w:val="TableText"/>
            </w:pPr>
            <w:r>
              <w:t>A</w:t>
            </w:r>
          </w:p>
        </w:tc>
        <w:tc>
          <w:tcPr>
            <w:tcW w:w="600" w:type="dxa"/>
            <w:shd w:val="clear" w:color="auto" w:fill="FFFFFF" w:themeFill="background1"/>
            <w:vAlign w:val="center"/>
          </w:tcPr>
          <w:p w14:paraId="795EA338" w14:textId="77777777" w:rsidR="00C37E4E" w:rsidRPr="005F3E04" w:rsidRDefault="00C37E4E" w:rsidP="00C37E4E">
            <w:pPr>
              <w:pStyle w:val="TableText"/>
            </w:pPr>
            <w:r>
              <w:t>UA</w:t>
            </w:r>
          </w:p>
        </w:tc>
        <w:tc>
          <w:tcPr>
            <w:tcW w:w="600" w:type="dxa"/>
            <w:shd w:val="clear" w:color="auto" w:fill="FFFFFF" w:themeFill="background1"/>
            <w:vAlign w:val="center"/>
          </w:tcPr>
          <w:p w14:paraId="3EA88EE2" w14:textId="77777777" w:rsidR="00C37E4E" w:rsidRPr="005F3E04" w:rsidRDefault="00C37E4E" w:rsidP="00C37E4E">
            <w:pPr>
              <w:pStyle w:val="TableText"/>
            </w:pPr>
            <w:r>
              <w:t>A</w:t>
            </w:r>
          </w:p>
        </w:tc>
        <w:tc>
          <w:tcPr>
            <w:tcW w:w="600" w:type="dxa"/>
            <w:shd w:val="clear" w:color="auto" w:fill="FFFFFF" w:themeFill="background1"/>
            <w:vAlign w:val="center"/>
          </w:tcPr>
          <w:p w14:paraId="637E5189" w14:textId="77777777" w:rsidR="00C37E4E" w:rsidRPr="005F3E04" w:rsidRDefault="00C37E4E" w:rsidP="00C37E4E">
            <w:pPr>
              <w:pStyle w:val="TableText"/>
            </w:pPr>
            <w:r>
              <w:t>UA</w:t>
            </w:r>
          </w:p>
        </w:tc>
        <w:tc>
          <w:tcPr>
            <w:tcW w:w="599" w:type="dxa"/>
            <w:shd w:val="clear" w:color="auto" w:fill="FFFFFF" w:themeFill="background1"/>
            <w:vAlign w:val="center"/>
          </w:tcPr>
          <w:p w14:paraId="000AE205" w14:textId="77777777" w:rsidR="00C37E4E" w:rsidRPr="005F3E04" w:rsidRDefault="00C37E4E" w:rsidP="00C37E4E">
            <w:pPr>
              <w:pStyle w:val="TableText"/>
            </w:pPr>
            <w:r>
              <w:t>A</w:t>
            </w:r>
          </w:p>
        </w:tc>
        <w:tc>
          <w:tcPr>
            <w:tcW w:w="599" w:type="dxa"/>
            <w:shd w:val="clear" w:color="auto" w:fill="FFFFFF" w:themeFill="background1"/>
            <w:vAlign w:val="center"/>
          </w:tcPr>
          <w:p w14:paraId="3C8D86D9" w14:textId="77777777" w:rsidR="00C37E4E" w:rsidRPr="005F3E04" w:rsidRDefault="00C37E4E" w:rsidP="00C37E4E">
            <w:pPr>
              <w:pStyle w:val="TableText"/>
            </w:pPr>
            <w:r>
              <w:t>UA</w:t>
            </w:r>
          </w:p>
        </w:tc>
        <w:tc>
          <w:tcPr>
            <w:tcW w:w="599" w:type="dxa"/>
            <w:shd w:val="clear" w:color="auto" w:fill="FFFFFF" w:themeFill="background1"/>
            <w:vAlign w:val="center"/>
          </w:tcPr>
          <w:p w14:paraId="1C7B130B" w14:textId="77777777" w:rsidR="00C37E4E" w:rsidRPr="005F3E04" w:rsidRDefault="00C37E4E" w:rsidP="00C37E4E">
            <w:pPr>
              <w:pStyle w:val="TableText"/>
            </w:pPr>
            <w:r>
              <w:t>N</w:t>
            </w:r>
          </w:p>
        </w:tc>
        <w:tc>
          <w:tcPr>
            <w:tcW w:w="599" w:type="dxa"/>
            <w:shd w:val="clear" w:color="auto" w:fill="FFFFFF" w:themeFill="background1"/>
            <w:vAlign w:val="center"/>
          </w:tcPr>
          <w:p w14:paraId="389656CD" w14:textId="77777777" w:rsidR="00C37E4E" w:rsidRPr="005F3E04" w:rsidRDefault="00C37E4E" w:rsidP="00C37E4E">
            <w:pPr>
              <w:pStyle w:val="TableText"/>
            </w:pPr>
            <w:r>
              <w:t>A</w:t>
            </w:r>
          </w:p>
        </w:tc>
        <w:tc>
          <w:tcPr>
            <w:tcW w:w="599" w:type="dxa"/>
            <w:shd w:val="clear" w:color="auto" w:fill="FFFFFF" w:themeFill="background1"/>
            <w:vAlign w:val="center"/>
          </w:tcPr>
          <w:p w14:paraId="7A8CCD16" w14:textId="77777777" w:rsidR="00C37E4E" w:rsidRPr="005F3E04" w:rsidRDefault="00C37E4E" w:rsidP="00C37E4E">
            <w:pPr>
              <w:pStyle w:val="TableText"/>
            </w:pPr>
            <w:r>
              <w:t>N</w:t>
            </w:r>
          </w:p>
        </w:tc>
        <w:tc>
          <w:tcPr>
            <w:tcW w:w="599" w:type="dxa"/>
            <w:shd w:val="clear" w:color="auto" w:fill="FFFFFF" w:themeFill="background1"/>
            <w:vAlign w:val="center"/>
          </w:tcPr>
          <w:p w14:paraId="06A4C44D" w14:textId="77777777" w:rsidR="00C37E4E" w:rsidRPr="005F3E04" w:rsidRDefault="00C37E4E" w:rsidP="00C37E4E">
            <w:pPr>
              <w:pStyle w:val="TableText"/>
            </w:pPr>
            <w:r>
              <w:t>N</w:t>
            </w:r>
          </w:p>
        </w:tc>
        <w:tc>
          <w:tcPr>
            <w:tcW w:w="614" w:type="dxa"/>
            <w:shd w:val="clear" w:color="auto" w:fill="FFFFFF" w:themeFill="background1"/>
            <w:vAlign w:val="center"/>
          </w:tcPr>
          <w:p w14:paraId="7A0B6276" w14:textId="77777777" w:rsidR="00C37E4E" w:rsidRPr="005F3E04" w:rsidRDefault="00C37E4E" w:rsidP="00C37E4E">
            <w:pPr>
              <w:pStyle w:val="TableText"/>
            </w:pPr>
            <w:r>
              <w:t>A</w:t>
            </w:r>
          </w:p>
        </w:tc>
        <w:tc>
          <w:tcPr>
            <w:tcW w:w="646" w:type="dxa"/>
            <w:shd w:val="clear" w:color="auto" w:fill="FFFFFF" w:themeFill="background1"/>
            <w:vAlign w:val="center"/>
          </w:tcPr>
          <w:p w14:paraId="21CD3451" w14:textId="77777777" w:rsidR="00C37E4E" w:rsidRPr="005F3E04" w:rsidRDefault="00C37E4E" w:rsidP="00C37E4E">
            <w:pPr>
              <w:pStyle w:val="TableText"/>
            </w:pPr>
            <w:r>
              <w:t>UA</w:t>
            </w:r>
          </w:p>
        </w:tc>
        <w:tc>
          <w:tcPr>
            <w:tcW w:w="695" w:type="dxa"/>
            <w:shd w:val="clear" w:color="auto" w:fill="FFFFFF" w:themeFill="background1"/>
            <w:vAlign w:val="center"/>
          </w:tcPr>
          <w:p w14:paraId="585CCD2F"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7B386208" w14:textId="77777777" w:rsidR="00C37E4E" w:rsidRPr="005F3E04" w:rsidRDefault="00C37E4E" w:rsidP="00C37E4E">
            <w:pPr>
              <w:pStyle w:val="TableText"/>
            </w:pPr>
          </w:p>
        </w:tc>
        <w:tc>
          <w:tcPr>
            <w:tcW w:w="688" w:type="dxa"/>
            <w:shd w:val="clear" w:color="auto" w:fill="FFFFFF" w:themeFill="background1"/>
            <w:vAlign w:val="center"/>
          </w:tcPr>
          <w:p w14:paraId="3D15C491"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0722CBAA" w14:textId="77777777" w:rsidR="00C37E4E" w:rsidRPr="005F3E04" w:rsidRDefault="00C37E4E" w:rsidP="00C37E4E">
            <w:pPr>
              <w:pStyle w:val="TableText"/>
            </w:pPr>
          </w:p>
        </w:tc>
        <w:tc>
          <w:tcPr>
            <w:tcW w:w="663" w:type="dxa"/>
            <w:shd w:val="clear" w:color="auto" w:fill="FFFFFF" w:themeFill="background1"/>
            <w:vAlign w:val="center"/>
          </w:tcPr>
          <w:p w14:paraId="5CEBFC31"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6436CFEC" w14:textId="77777777" w:rsidR="00C37E4E" w:rsidRPr="005F3E04" w:rsidRDefault="00C37E4E" w:rsidP="00C37E4E">
            <w:pPr>
              <w:jc w:val="center"/>
              <w:rPr>
                <w:rFonts w:ascii="Franklin Gothic Book" w:hAnsi="Franklin Gothic Book"/>
                <w:sz w:val="16"/>
                <w:szCs w:val="16"/>
              </w:rPr>
            </w:pPr>
          </w:p>
        </w:tc>
      </w:tr>
      <w:tr w:rsidR="00C37E4E" w14:paraId="78D65537" w14:textId="77777777" w:rsidTr="00236A57">
        <w:trPr>
          <w:trHeight w:val="20"/>
          <w:jc w:val="center"/>
        </w:trPr>
        <w:tc>
          <w:tcPr>
            <w:tcW w:w="1016" w:type="dxa"/>
            <w:tcBorders>
              <w:left w:val="nil"/>
              <w:bottom w:val="single" w:sz="4" w:space="0" w:color="auto"/>
            </w:tcBorders>
            <w:shd w:val="clear" w:color="auto" w:fill="FFFFFF" w:themeFill="background1"/>
            <w:vAlign w:val="center"/>
          </w:tcPr>
          <w:p w14:paraId="3B4A73F6" w14:textId="77777777" w:rsidR="00C37E4E" w:rsidRDefault="00C37E4E" w:rsidP="00C37E4E">
            <w:pPr>
              <w:pStyle w:val="TableText"/>
            </w:pPr>
            <w:r>
              <w:t>Sutter</w:t>
            </w:r>
          </w:p>
        </w:tc>
        <w:tc>
          <w:tcPr>
            <w:tcW w:w="620" w:type="dxa"/>
            <w:tcBorders>
              <w:bottom w:val="single" w:sz="4" w:space="0" w:color="auto"/>
            </w:tcBorders>
            <w:shd w:val="clear" w:color="auto" w:fill="FFFFFF" w:themeFill="background1"/>
            <w:vAlign w:val="center"/>
          </w:tcPr>
          <w:p w14:paraId="324F8148" w14:textId="77777777" w:rsidR="00C37E4E" w:rsidRPr="005F3E04" w:rsidRDefault="00C37E4E" w:rsidP="00C37E4E">
            <w:pPr>
              <w:pStyle w:val="TableText"/>
            </w:pPr>
            <w:r>
              <w:t>N</w:t>
            </w:r>
          </w:p>
        </w:tc>
        <w:tc>
          <w:tcPr>
            <w:tcW w:w="665" w:type="dxa"/>
            <w:tcBorders>
              <w:bottom w:val="single" w:sz="4" w:space="0" w:color="auto"/>
            </w:tcBorders>
            <w:shd w:val="clear" w:color="auto" w:fill="FFFFFF" w:themeFill="background1"/>
            <w:vAlign w:val="center"/>
          </w:tcPr>
          <w:p w14:paraId="2F1F63A0" w14:textId="77777777" w:rsidR="00C37E4E" w:rsidRPr="005F3E04" w:rsidRDefault="00C37E4E" w:rsidP="00C37E4E">
            <w:pPr>
              <w:pStyle w:val="TableText"/>
            </w:pPr>
            <w:r>
              <w:t>AU</w:t>
            </w:r>
          </w:p>
        </w:tc>
        <w:tc>
          <w:tcPr>
            <w:tcW w:w="600" w:type="dxa"/>
            <w:tcBorders>
              <w:bottom w:val="single" w:sz="4" w:space="0" w:color="auto"/>
            </w:tcBorders>
            <w:shd w:val="clear" w:color="auto" w:fill="FFFFFF" w:themeFill="background1"/>
            <w:vAlign w:val="center"/>
          </w:tcPr>
          <w:p w14:paraId="623DBB01"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753BF2F2" w14:textId="77777777" w:rsidR="00C37E4E" w:rsidRPr="005F3E04" w:rsidRDefault="00C37E4E" w:rsidP="00C37E4E">
            <w:pPr>
              <w:pStyle w:val="TableText"/>
            </w:pPr>
            <w:r>
              <w:t>UA</w:t>
            </w:r>
          </w:p>
        </w:tc>
        <w:tc>
          <w:tcPr>
            <w:tcW w:w="600" w:type="dxa"/>
            <w:tcBorders>
              <w:bottom w:val="single" w:sz="4" w:space="0" w:color="auto"/>
            </w:tcBorders>
            <w:shd w:val="clear" w:color="auto" w:fill="FFFFFF" w:themeFill="background1"/>
            <w:vAlign w:val="center"/>
          </w:tcPr>
          <w:p w14:paraId="17E42919"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27096F3D"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2FFD31C1"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1F6A949A"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56D3A977" w14:textId="77777777" w:rsidR="00C37E4E" w:rsidRPr="005F3E04" w:rsidRDefault="00C37E4E" w:rsidP="00C37E4E">
            <w:pPr>
              <w:pStyle w:val="TableText"/>
            </w:pPr>
            <w:r>
              <w:t>N</w:t>
            </w:r>
          </w:p>
        </w:tc>
        <w:tc>
          <w:tcPr>
            <w:tcW w:w="599" w:type="dxa"/>
            <w:tcBorders>
              <w:bottom w:val="single" w:sz="4" w:space="0" w:color="auto"/>
            </w:tcBorders>
            <w:shd w:val="clear" w:color="auto" w:fill="FFFFFF" w:themeFill="background1"/>
            <w:vAlign w:val="center"/>
          </w:tcPr>
          <w:p w14:paraId="11192C0D" w14:textId="77777777" w:rsidR="00C37E4E" w:rsidRPr="005F3E04" w:rsidRDefault="00C37E4E" w:rsidP="00C37E4E">
            <w:pPr>
              <w:pStyle w:val="TableText"/>
            </w:pPr>
            <w:r>
              <w:t>U</w:t>
            </w:r>
          </w:p>
        </w:tc>
        <w:tc>
          <w:tcPr>
            <w:tcW w:w="599" w:type="dxa"/>
            <w:tcBorders>
              <w:bottom w:val="single" w:sz="4" w:space="0" w:color="auto"/>
            </w:tcBorders>
            <w:shd w:val="clear" w:color="auto" w:fill="FFFFFF" w:themeFill="background1"/>
            <w:vAlign w:val="center"/>
          </w:tcPr>
          <w:p w14:paraId="0DBB9ED4"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71C8F604" w14:textId="77777777" w:rsidR="00C37E4E" w:rsidRPr="005F3E04" w:rsidRDefault="00C37E4E" w:rsidP="00C37E4E">
            <w:pPr>
              <w:pStyle w:val="TableText"/>
            </w:pPr>
            <w:r>
              <w:t>UA</w:t>
            </w:r>
          </w:p>
        </w:tc>
        <w:tc>
          <w:tcPr>
            <w:tcW w:w="614" w:type="dxa"/>
            <w:tcBorders>
              <w:bottom w:val="single" w:sz="4" w:space="0" w:color="auto"/>
            </w:tcBorders>
            <w:shd w:val="clear" w:color="auto" w:fill="FFFFFF" w:themeFill="background1"/>
            <w:vAlign w:val="center"/>
          </w:tcPr>
          <w:p w14:paraId="4592F0D6" w14:textId="77777777" w:rsidR="00C37E4E" w:rsidRPr="005F3E04" w:rsidRDefault="00C37E4E" w:rsidP="00C37E4E">
            <w:pPr>
              <w:pStyle w:val="TableText"/>
            </w:pPr>
            <w:r>
              <w:t>A</w:t>
            </w:r>
          </w:p>
        </w:tc>
        <w:tc>
          <w:tcPr>
            <w:tcW w:w="646" w:type="dxa"/>
            <w:tcBorders>
              <w:bottom w:val="single" w:sz="4" w:space="0" w:color="auto"/>
            </w:tcBorders>
            <w:shd w:val="clear" w:color="auto" w:fill="FFFFFF" w:themeFill="background1"/>
            <w:vAlign w:val="center"/>
          </w:tcPr>
          <w:p w14:paraId="312E2579" w14:textId="77777777" w:rsidR="00C37E4E" w:rsidRPr="005F3E04" w:rsidRDefault="00C37E4E" w:rsidP="00C37E4E">
            <w:pPr>
              <w:pStyle w:val="TableText"/>
            </w:pPr>
            <w:r>
              <w:t>UA</w:t>
            </w:r>
          </w:p>
        </w:tc>
        <w:tc>
          <w:tcPr>
            <w:tcW w:w="695" w:type="dxa"/>
            <w:tcBorders>
              <w:bottom w:val="single" w:sz="4" w:space="0" w:color="auto"/>
            </w:tcBorders>
            <w:shd w:val="clear" w:color="auto" w:fill="FFFFFF" w:themeFill="background1"/>
            <w:vAlign w:val="center"/>
          </w:tcPr>
          <w:p w14:paraId="526063BB"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56DECF6E" w14:textId="77777777" w:rsidR="00C37E4E" w:rsidRPr="005F3E04" w:rsidRDefault="00C37E4E" w:rsidP="00C37E4E">
            <w:pPr>
              <w:pStyle w:val="TableText"/>
            </w:pPr>
          </w:p>
        </w:tc>
        <w:tc>
          <w:tcPr>
            <w:tcW w:w="688" w:type="dxa"/>
            <w:tcBorders>
              <w:bottom w:val="single" w:sz="4" w:space="0" w:color="auto"/>
            </w:tcBorders>
            <w:shd w:val="clear" w:color="auto" w:fill="FFFFFF" w:themeFill="background1"/>
            <w:vAlign w:val="center"/>
          </w:tcPr>
          <w:p w14:paraId="3CC88847"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7420D30C" w14:textId="77777777" w:rsidR="00C37E4E" w:rsidRPr="005F3E04" w:rsidRDefault="00C37E4E" w:rsidP="00C37E4E">
            <w:pPr>
              <w:pStyle w:val="TableText"/>
            </w:pPr>
          </w:p>
        </w:tc>
        <w:tc>
          <w:tcPr>
            <w:tcW w:w="663" w:type="dxa"/>
            <w:tcBorders>
              <w:bottom w:val="single" w:sz="4" w:space="0" w:color="auto"/>
            </w:tcBorders>
            <w:shd w:val="clear" w:color="auto" w:fill="FFFFFF" w:themeFill="background1"/>
            <w:vAlign w:val="center"/>
          </w:tcPr>
          <w:p w14:paraId="2A4D6999"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76D8DE55" w14:textId="77777777" w:rsidR="00C37E4E" w:rsidRPr="005F3E04" w:rsidRDefault="00C37E4E" w:rsidP="00C37E4E">
            <w:pPr>
              <w:jc w:val="center"/>
              <w:rPr>
                <w:rFonts w:ascii="Franklin Gothic Book" w:hAnsi="Franklin Gothic Book"/>
                <w:sz w:val="16"/>
                <w:szCs w:val="16"/>
              </w:rPr>
            </w:pPr>
          </w:p>
        </w:tc>
      </w:tr>
      <w:tr w:rsidR="00C37E4E" w14:paraId="5A9D2845" w14:textId="77777777" w:rsidTr="00236A57">
        <w:trPr>
          <w:trHeight w:val="20"/>
          <w:jc w:val="center"/>
        </w:trPr>
        <w:tc>
          <w:tcPr>
            <w:tcW w:w="1016" w:type="dxa"/>
            <w:tcBorders>
              <w:left w:val="nil"/>
            </w:tcBorders>
            <w:shd w:val="clear" w:color="auto" w:fill="FFFFFF" w:themeFill="background1"/>
            <w:vAlign w:val="center"/>
          </w:tcPr>
          <w:p w14:paraId="51902660" w14:textId="77777777" w:rsidR="00C37E4E" w:rsidRDefault="00C37E4E" w:rsidP="00C37E4E">
            <w:pPr>
              <w:pStyle w:val="TableText"/>
            </w:pPr>
            <w:r>
              <w:t>Tehama</w:t>
            </w:r>
          </w:p>
        </w:tc>
        <w:tc>
          <w:tcPr>
            <w:tcW w:w="620" w:type="dxa"/>
            <w:shd w:val="clear" w:color="auto" w:fill="FFFFFF" w:themeFill="background1"/>
            <w:vAlign w:val="center"/>
          </w:tcPr>
          <w:p w14:paraId="221D1368" w14:textId="77777777" w:rsidR="00C37E4E" w:rsidRPr="005F3E04" w:rsidRDefault="00C37E4E" w:rsidP="00C37E4E">
            <w:pPr>
              <w:pStyle w:val="TableText"/>
            </w:pPr>
            <w:r>
              <w:t>N</w:t>
            </w:r>
          </w:p>
        </w:tc>
        <w:tc>
          <w:tcPr>
            <w:tcW w:w="665" w:type="dxa"/>
            <w:shd w:val="clear" w:color="auto" w:fill="FFFFFF" w:themeFill="background1"/>
            <w:vAlign w:val="center"/>
          </w:tcPr>
          <w:p w14:paraId="507E5126" w14:textId="77777777" w:rsidR="00C37E4E" w:rsidRPr="005F3E04" w:rsidRDefault="00C37E4E" w:rsidP="00C37E4E">
            <w:pPr>
              <w:pStyle w:val="TableText"/>
            </w:pPr>
            <w:r>
              <w:t>AU</w:t>
            </w:r>
          </w:p>
        </w:tc>
        <w:tc>
          <w:tcPr>
            <w:tcW w:w="600" w:type="dxa"/>
            <w:shd w:val="clear" w:color="auto" w:fill="FFFFFF" w:themeFill="background1"/>
            <w:vAlign w:val="center"/>
          </w:tcPr>
          <w:p w14:paraId="18FC0CE1" w14:textId="77777777" w:rsidR="00C37E4E" w:rsidRPr="005F3E04" w:rsidRDefault="00C37E4E" w:rsidP="00C37E4E">
            <w:pPr>
              <w:pStyle w:val="TableText"/>
            </w:pPr>
            <w:r>
              <w:t>U</w:t>
            </w:r>
          </w:p>
        </w:tc>
        <w:tc>
          <w:tcPr>
            <w:tcW w:w="600" w:type="dxa"/>
            <w:shd w:val="clear" w:color="auto" w:fill="FFFFFF" w:themeFill="background1"/>
            <w:vAlign w:val="center"/>
          </w:tcPr>
          <w:p w14:paraId="1886C0B3" w14:textId="77777777" w:rsidR="00C37E4E" w:rsidRPr="005F3E04" w:rsidRDefault="00C37E4E" w:rsidP="00C37E4E">
            <w:pPr>
              <w:pStyle w:val="TableText"/>
            </w:pPr>
            <w:r>
              <w:t>UA</w:t>
            </w:r>
          </w:p>
        </w:tc>
        <w:tc>
          <w:tcPr>
            <w:tcW w:w="600" w:type="dxa"/>
            <w:shd w:val="clear" w:color="auto" w:fill="FFFFFF" w:themeFill="background1"/>
            <w:vAlign w:val="center"/>
          </w:tcPr>
          <w:p w14:paraId="049B45E8" w14:textId="77777777" w:rsidR="00C37E4E" w:rsidRPr="005F3E04" w:rsidRDefault="00C37E4E" w:rsidP="00C37E4E">
            <w:pPr>
              <w:pStyle w:val="TableText"/>
            </w:pPr>
            <w:r>
              <w:t>A</w:t>
            </w:r>
          </w:p>
        </w:tc>
        <w:tc>
          <w:tcPr>
            <w:tcW w:w="600" w:type="dxa"/>
            <w:shd w:val="clear" w:color="auto" w:fill="FFFFFF" w:themeFill="background1"/>
            <w:vAlign w:val="center"/>
          </w:tcPr>
          <w:p w14:paraId="53D59592" w14:textId="77777777" w:rsidR="00C37E4E" w:rsidRPr="005F3E04" w:rsidRDefault="00C37E4E" w:rsidP="00C37E4E">
            <w:pPr>
              <w:pStyle w:val="TableText"/>
            </w:pPr>
            <w:r>
              <w:t>UA</w:t>
            </w:r>
          </w:p>
        </w:tc>
        <w:tc>
          <w:tcPr>
            <w:tcW w:w="599" w:type="dxa"/>
            <w:shd w:val="clear" w:color="auto" w:fill="FFFFFF" w:themeFill="background1"/>
            <w:vAlign w:val="center"/>
          </w:tcPr>
          <w:p w14:paraId="43D7D609" w14:textId="77777777" w:rsidR="00C37E4E" w:rsidRPr="005F3E04" w:rsidRDefault="00C37E4E" w:rsidP="00C37E4E">
            <w:pPr>
              <w:pStyle w:val="TableText"/>
            </w:pPr>
            <w:r>
              <w:t>A</w:t>
            </w:r>
          </w:p>
        </w:tc>
        <w:tc>
          <w:tcPr>
            <w:tcW w:w="599" w:type="dxa"/>
            <w:shd w:val="clear" w:color="auto" w:fill="FFFFFF" w:themeFill="background1"/>
            <w:vAlign w:val="center"/>
          </w:tcPr>
          <w:p w14:paraId="4A3AE27F" w14:textId="77777777" w:rsidR="00C37E4E" w:rsidRPr="005F3E04" w:rsidRDefault="00C37E4E" w:rsidP="00C37E4E">
            <w:pPr>
              <w:pStyle w:val="TableText"/>
            </w:pPr>
            <w:r>
              <w:t>UA</w:t>
            </w:r>
          </w:p>
        </w:tc>
        <w:tc>
          <w:tcPr>
            <w:tcW w:w="599" w:type="dxa"/>
            <w:shd w:val="clear" w:color="auto" w:fill="FFFFFF" w:themeFill="background1"/>
            <w:vAlign w:val="center"/>
          </w:tcPr>
          <w:p w14:paraId="50100A10" w14:textId="77777777" w:rsidR="00C37E4E" w:rsidRPr="005F3E04" w:rsidRDefault="00C37E4E" w:rsidP="00C37E4E">
            <w:pPr>
              <w:pStyle w:val="TableText"/>
            </w:pPr>
            <w:r>
              <w:t>N</w:t>
            </w:r>
          </w:p>
        </w:tc>
        <w:tc>
          <w:tcPr>
            <w:tcW w:w="599" w:type="dxa"/>
            <w:shd w:val="clear" w:color="auto" w:fill="FFFFFF" w:themeFill="background1"/>
            <w:vAlign w:val="center"/>
          </w:tcPr>
          <w:p w14:paraId="125EDF2F" w14:textId="77777777" w:rsidR="00C37E4E" w:rsidRPr="005F3E04" w:rsidRDefault="00C37E4E" w:rsidP="00C37E4E">
            <w:pPr>
              <w:pStyle w:val="TableText"/>
            </w:pPr>
            <w:r>
              <w:t>U</w:t>
            </w:r>
          </w:p>
        </w:tc>
        <w:tc>
          <w:tcPr>
            <w:tcW w:w="599" w:type="dxa"/>
            <w:shd w:val="clear" w:color="auto" w:fill="FFFFFF" w:themeFill="background1"/>
            <w:vAlign w:val="center"/>
          </w:tcPr>
          <w:p w14:paraId="5CA4B99B" w14:textId="77777777" w:rsidR="00C37E4E" w:rsidRPr="005F3E04" w:rsidRDefault="00C37E4E" w:rsidP="00C37E4E">
            <w:pPr>
              <w:pStyle w:val="TableText"/>
            </w:pPr>
            <w:r>
              <w:t>U</w:t>
            </w:r>
          </w:p>
        </w:tc>
        <w:tc>
          <w:tcPr>
            <w:tcW w:w="599" w:type="dxa"/>
            <w:shd w:val="clear" w:color="auto" w:fill="FFFFFF" w:themeFill="background1"/>
            <w:vAlign w:val="center"/>
          </w:tcPr>
          <w:p w14:paraId="36715D9B" w14:textId="77777777" w:rsidR="00C37E4E" w:rsidRPr="005F3E04" w:rsidRDefault="00C37E4E" w:rsidP="00C37E4E">
            <w:pPr>
              <w:pStyle w:val="TableText"/>
            </w:pPr>
            <w:r>
              <w:t>UA</w:t>
            </w:r>
          </w:p>
        </w:tc>
        <w:tc>
          <w:tcPr>
            <w:tcW w:w="614" w:type="dxa"/>
            <w:shd w:val="clear" w:color="auto" w:fill="FFFFFF" w:themeFill="background1"/>
            <w:vAlign w:val="center"/>
          </w:tcPr>
          <w:p w14:paraId="3620C52C" w14:textId="77777777" w:rsidR="00C37E4E" w:rsidRPr="005F3E04" w:rsidRDefault="00C37E4E" w:rsidP="00C37E4E">
            <w:pPr>
              <w:pStyle w:val="TableText"/>
            </w:pPr>
            <w:r>
              <w:t>A</w:t>
            </w:r>
          </w:p>
        </w:tc>
        <w:tc>
          <w:tcPr>
            <w:tcW w:w="646" w:type="dxa"/>
            <w:shd w:val="clear" w:color="auto" w:fill="FFFFFF" w:themeFill="background1"/>
            <w:vAlign w:val="center"/>
          </w:tcPr>
          <w:p w14:paraId="2238F5DD" w14:textId="77777777" w:rsidR="00C37E4E" w:rsidRPr="005F3E04" w:rsidRDefault="00C37E4E" w:rsidP="00C37E4E">
            <w:pPr>
              <w:pStyle w:val="TableText"/>
            </w:pPr>
            <w:r>
              <w:t>UA</w:t>
            </w:r>
          </w:p>
        </w:tc>
        <w:tc>
          <w:tcPr>
            <w:tcW w:w="695" w:type="dxa"/>
            <w:shd w:val="clear" w:color="auto" w:fill="FFFFFF" w:themeFill="background1"/>
            <w:vAlign w:val="center"/>
          </w:tcPr>
          <w:p w14:paraId="7E3CE0B2"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0084FC76" w14:textId="77777777" w:rsidR="00C37E4E" w:rsidRPr="005F3E04" w:rsidRDefault="00C37E4E" w:rsidP="00C37E4E">
            <w:pPr>
              <w:pStyle w:val="TableText"/>
            </w:pPr>
          </w:p>
        </w:tc>
        <w:tc>
          <w:tcPr>
            <w:tcW w:w="688" w:type="dxa"/>
            <w:shd w:val="clear" w:color="auto" w:fill="FFFFFF" w:themeFill="background1"/>
            <w:vAlign w:val="center"/>
          </w:tcPr>
          <w:p w14:paraId="08D5EEA5"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1230F721" w14:textId="77777777" w:rsidR="00C37E4E" w:rsidRPr="005F3E04" w:rsidRDefault="00C37E4E" w:rsidP="00C37E4E">
            <w:pPr>
              <w:pStyle w:val="TableText"/>
            </w:pPr>
          </w:p>
        </w:tc>
        <w:tc>
          <w:tcPr>
            <w:tcW w:w="663" w:type="dxa"/>
            <w:shd w:val="clear" w:color="auto" w:fill="FFFFFF" w:themeFill="background1"/>
            <w:vAlign w:val="center"/>
          </w:tcPr>
          <w:p w14:paraId="7B855B07"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46022047" w14:textId="77777777" w:rsidR="00C37E4E" w:rsidRPr="005F3E04" w:rsidRDefault="00C37E4E" w:rsidP="00C37E4E">
            <w:pPr>
              <w:jc w:val="center"/>
              <w:rPr>
                <w:rFonts w:ascii="Franklin Gothic Book" w:hAnsi="Franklin Gothic Book"/>
                <w:sz w:val="16"/>
                <w:szCs w:val="16"/>
              </w:rPr>
            </w:pPr>
          </w:p>
        </w:tc>
      </w:tr>
      <w:tr w:rsidR="00C37E4E" w14:paraId="5B55B909" w14:textId="77777777" w:rsidTr="00236A57">
        <w:trPr>
          <w:trHeight w:val="20"/>
          <w:jc w:val="center"/>
        </w:trPr>
        <w:tc>
          <w:tcPr>
            <w:tcW w:w="1016" w:type="dxa"/>
            <w:tcBorders>
              <w:left w:val="nil"/>
              <w:bottom w:val="single" w:sz="4" w:space="0" w:color="auto"/>
            </w:tcBorders>
            <w:shd w:val="clear" w:color="auto" w:fill="FFFFFF" w:themeFill="background1"/>
            <w:vAlign w:val="center"/>
          </w:tcPr>
          <w:p w14:paraId="5A1ECF28" w14:textId="77777777" w:rsidR="00C37E4E" w:rsidRDefault="00C37E4E" w:rsidP="00C37E4E">
            <w:pPr>
              <w:pStyle w:val="TableText"/>
            </w:pPr>
            <w:r>
              <w:t>Trinity</w:t>
            </w:r>
          </w:p>
        </w:tc>
        <w:tc>
          <w:tcPr>
            <w:tcW w:w="620" w:type="dxa"/>
            <w:tcBorders>
              <w:bottom w:val="single" w:sz="4" w:space="0" w:color="auto"/>
            </w:tcBorders>
            <w:shd w:val="clear" w:color="auto" w:fill="FFFFFF" w:themeFill="background1"/>
            <w:vAlign w:val="center"/>
          </w:tcPr>
          <w:p w14:paraId="6AFE278A" w14:textId="77777777" w:rsidR="00C37E4E" w:rsidRPr="005F3E04" w:rsidRDefault="00C37E4E" w:rsidP="00C37E4E">
            <w:pPr>
              <w:pStyle w:val="TableText"/>
            </w:pPr>
            <w:r>
              <w:t>A</w:t>
            </w:r>
          </w:p>
        </w:tc>
        <w:tc>
          <w:tcPr>
            <w:tcW w:w="665" w:type="dxa"/>
            <w:tcBorders>
              <w:bottom w:val="single" w:sz="4" w:space="0" w:color="auto"/>
            </w:tcBorders>
            <w:shd w:val="clear" w:color="auto" w:fill="FFFFFF" w:themeFill="background1"/>
            <w:vAlign w:val="center"/>
          </w:tcPr>
          <w:p w14:paraId="333FDC8F" w14:textId="77777777" w:rsidR="00C37E4E" w:rsidRPr="005F3E04" w:rsidRDefault="00C37E4E" w:rsidP="00C37E4E">
            <w:pPr>
              <w:pStyle w:val="TableText"/>
            </w:pPr>
            <w:r>
              <w:t>AU</w:t>
            </w:r>
          </w:p>
        </w:tc>
        <w:tc>
          <w:tcPr>
            <w:tcW w:w="600" w:type="dxa"/>
            <w:tcBorders>
              <w:bottom w:val="single" w:sz="4" w:space="0" w:color="auto"/>
            </w:tcBorders>
            <w:shd w:val="clear" w:color="auto" w:fill="FFFFFF" w:themeFill="background1"/>
            <w:vAlign w:val="center"/>
          </w:tcPr>
          <w:p w14:paraId="33FD2481" w14:textId="77777777" w:rsidR="00C37E4E" w:rsidRPr="005F3E04" w:rsidRDefault="00C37E4E" w:rsidP="00C37E4E">
            <w:pPr>
              <w:pStyle w:val="TableText"/>
            </w:pPr>
            <w:r>
              <w:t>U</w:t>
            </w:r>
          </w:p>
        </w:tc>
        <w:tc>
          <w:tcPr>
            <w:tcW w:w="600" w:type="dxa"/>
            <w:tcBorders>
              <w:bottom w:val="single" w:sz="4" w:space="0" w:color="auto"/>
            </w:tcBorders>
            <w:shd w:val="clear" w:color="auto" w:fill="FFFFFF" w:themeFill="background1"/>
            <w:vAlign w:val="center"/>
          </w:tcPr>
          <w:p w14:paraId="116E3871" w14:textId="77777777" w:rsidR="00C37E4E" w:rsidRPr="005F3E04" w:rsidRDefault="00C37E4E" w:rsidP="00C37E4E">
            <w:pPr>
              <w:pStyle w:val="TableText"/>
            </w:pPr>
            <w:r>
              <w:t>UA</w:t>
            </w:r>
          </w:p>
        </w:tc>
        <w:tc>
          <w:tcPr>
            <w:tcW w:w="600" w:type="dxa"/>
            <w:tcBorders>
              <w:bottom w:val="single" w:sz="4" w:space="0" w:color="auto"/>
            </w:tcBorders>
            <w:shd w:val="clear" w:color="auto" w:fill="FFFFFF" w:themeFill="background1"/>
            <w:vAlign w:val="center"/>
          </w:tcPr>
          <w:p w14:paraId="4C77F6C8"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3143252F"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77F63D55"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3C9BEE19"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450A179D"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2F38B668" w14:textId="77777777" w:rsidR="00C37E4E" w:rsidRPr="005F3E04" w:rsidRDefault="00C37E4E" w:rsidP="00C37E4E">
            <w:pPr>
              <w:pStyle w:val="TableText"/>
            </w:pPr>
            <w:r>
              <w:t>U</w:t>
            </w:r>
          </w:p>
        </w:tc>
        <w:tc>
          <w:tcPr>
            <w:tcW w:w="599" w:type="dxa"/>
            <w:tcBorders>
              <w:bottom w:val="single" w:sz="4" w:space="0" w:color="auto"/>
            </w:tcBorders>
            <w:shd w:val="clear" w:color="auto" w:fill="FFFFFF" w:themeFill="background1"/>
            <w:vAlign w:val="center"/>
          </w:tcPr>
          <w:p w14:paraId="2DBA7B7D"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66203DBA" w14:textId="77777777" w:rsidR="00C37E4E" w:rsidRPr="005F3E04" w:rsidRDefault="00C37E4E" w:rsidP="00C37E4E">
            <w:pPr>
              <w:pStyle w:val="TableText"/>
            </w:pPr>
            <w:r>
              <w:t>UA</w:t>
            </w:r>
          </w:p>
        </w:tc>
        <w:tc>
          <w:tcPr>
            <w:tcW w:w="614" w:type="dxa"/>
            <w:tcBorders>
              <w:bottom w:val="single" w:sz="4" w:space="0" w:color="auto"/>
            </w:tcBorders>
            <w:shd w:val="clear" w:color="auto" w:fill="FFFFFF" w:themeFill="background1"/>
            <w:vAlign w:val="center"/>
          </w:tcPr>
          <w:p w14:paraId="7DED082B" w14:textId="77777777" w:rsidR="00C37E4E" w:rsidRPr="005F3E04" w:rsidRDefault="00C37E4E" w:rsidP="00C37E4E">
            <w:pPr>
              <w:pStyle w:val="TableText"/>
            </w:pPr>
            <w:r>
              <w:t>A</w:t>
            </w:r>
          </w:p>
        </w:tc>
        <w:tc>
          <w:tcPr>
            <w:tcW w:w="646" w:type="dxa"/>
            <w:tcBorders>
              <w:bottom w:val="single" w:sz="4" w:space="0" w:color="auto"/>
            </w:tcBorders>
            <w:shd w:val="clear" w:color="auto" w:fill="FFFFFF" w:themeFill="background1"/>
            <w:vAlign w:val="center"/>
          </w:tcPr>
          <w:p w14:paraId="095F66A4" w14:textId="77777777" w:rsidR="00C37E4E" w:rsidRPr="005F3E04" w:rsidRDefault="00C37E4E" w:rsidP="00C37E4E">
            <w:pPr>
              <w:pStyle w:val="TableText"/>
            </w:pPr>
            <w:r>
              <w:t>UA</w:t>
            </w:r>
          </w:p>
        </w:tc>
        <w:tc>
          <w:tcPr>
            <w:tcW w:w="695" w:type="dxa"/>
            <w:tcBorders>
              <w:bottom w:val="single" w:sz="4" w:space="0" w:color="auto"/>
            </w:tcBorders>
            <w:shd w:val="clear" w:color="auto" w:fill="FFFFFF" w:themeFill="background1"/>
            <w:vAlign w:val="center"/>
          </w:tcPr>
          <w:p w14:paraId="2BF14F5C"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637E5596" w14:textId="77777777" w:rsidR="00C37E4E" w:rsidRPr="005F3E04" w:rsidRDefault="00C37E4E" w:rsidP="00C37E4E">
            <w:pPr>
              <w:pStyle w:val="TableText"/>
            </w:pPr>
          </w:p>
        </w:tc>
        <w:tc>
          <w:tcPr>
            <w:tcW w:w="688" w:type="dxa"/>
            <w:tcBorders>
              <w:bottom w:val="single" w:sz="4" w:space="0" w:color="auto"/>
            </w:tcBorders>
            <w:shd w:val="clear" w:color="auto" w:fill="FFFFFF" w:themeFill="background1"/>
            <w:vAlign w:val="center"/>
          </w:tcPr>
          <w:p w14:paraId="00A63B2E"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04390578" w14:textId="77777777" w:rsidR="00C37E4E" w:rsidRPr="005F3E04" w:rsidRDefault="00C37E4E" w:rsidP="00C37E4E">
            <w:pPr>
              <w:pStyle w:val="TableText"/>
            </w:pPr>
          </w:p>
        </w:tc>
        <w:tc>
          <w:tcPr>
            <w:tcW w:w="663" w:type="dxa"/>
            <w:tcBorders>
              <w:bottom w:val="single" w:sz="4" w:space="0" w:color="auto"/>
            </w:tcBorders>
            <w:shd w:val="clear" w:color="auto" w:fill="FFFFFF" w:themeFill="background1"/>
            <w:vAlign w:val="center"/>
          </w:tcPr>
          <w:p w14:paraId="1A937116"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25662993" w14:textId="77777777" w:rsidR="00C37E4E" w:rsidRPr="005F3E04" w:rsidRDefault="00C37E4E" w:rsidP="00C37E4E">
            <w:pPr>
              <w:jc w:val="center"/>
              <w:rPr>
                <w:rFonts w:ascii="Franklin Gothic Book" w:hAnsi="Franklin Gothic Book"/>
                <w:sz w:val="16"/>
                <w:szCs w:val="16"/>
              </w:rPr>
            </w:pPr>
          </w:p>
        </w:tc>
      </w:tr>
      <w:tr w:rsidR="00C37E4E" w14:paraId="388075A7" w14:textId="77777777" w:rsidTr="00EA652D">
        <w:trPr>
          <w:trHeight w:val="20"/>
          <w:jc w:val="center"/>
        </w:trPr>
        <w:tc>
          <w:tcPr>
            <w:tcW w:w="1016" w:type="dxa"/>
            <w:tcBorders>
              <w:left w:val="nil"/>
            </w:tcBorders>
            <w:shd w:val="clear" w:color="auto" w:fill="FFFFFF" w:themeFill="background1"/>
            <w:vAlign w:val="center"/>
          </w:tcPr>
          <w:p w14:paraId="02A86903" w14:textId="77777777" w:rsidR="00C37E4E" w:rsidRDefault="00C37E4E" w:rsidP="00C37E4E">
            <w:pPr>
              <w:pStyle w:val="TableText"/>
            </w:pPr>
            <w:r>
              <w:t>Tulare</w:t>
            </w:r>
          </w:p>
        </w:tc>
        <w:tc>
          <w:tcPr>
            <w:tcW w:w="620" w:type="dxa"/>
            <w:shd w:val="clear" w:color="auto" w:fill="FFFFFF" w:themeFill="background1"/>
            <w:vAlign w:val="center"/>
          </w:tcPr>
          <w:p w14:paraId="11D14A4C" w14:textId="77777777" w:rsidR="00C37E4E" w:rsidRPr="005F3E04" w:rsidRDefault="00C37E4E" w:rsidP="00C37E4E">
            <w:pPr>
              <w:pStyle w:val="TableText"/>
            </w:pPr>
            <w:r>
              <w:t>N</w:t>
            </w:r>
          </w:p>
        </w:tc>
        <w:tc>
          <w:tcPr>
            <w:tcW w:w="665" w:type="dxa"/>
            <w:shd w:val="clear" w:color="auto" w:fill="FFFFFF" w:themeFill="background1"/>
            <w:vAlign w:val="center"/>
          </w:tcPr>
          <w:p w14:paraId="251BED8D" w14:textId="77777777" w:rsidR="00C37E4E" w:rsidRPr="005F3E04" w:rsidRDefault="00C37E4E" w:rsidP="00C37E4E">
            <w:pPr>
              <w:pStyle w:val="TableText"/>
            </w:pPr>
            <w:r>
              <w:t>N</w:t>
            </w:r>
          </w:p>
        </w:tc>
        <w:tc>
          <w:tcPr>
            <w:tcW w:w="600" w:type="dxa"/>
            <w:shd w:val="clear" w:color="auto" w:fill="FFFFFF" w:themeFill="background1"/>
            <w:vAlign w:val="center"/>
          </w:tcPr>
          <w:p w14:paraId="3B74FD95" w14:textId="77777777" w:rsidR="00C37E4E" w:rsidRPr="005F3E04" w:rsidRDefault="00C37E4E" w:rsidP="00C37E4E">
            <w:pPr>
              <w:pStyle w:val="TableText"/>
            </w:pPr>
            <w:r>
              <w:t>A</w:t>
            </w:r>
          </w:p>
        </w:tc>
        <w:tc>
          <w:tcPr>
            <w:tcW w:w="600" w:type="dxa"/>
            <w:shd w:val="clear" w:color="auto" w:fill="FFFFFF" w:themeFill="background1"/>
            <w:vAlign w:val="center"/>
          </w:tcPr>
          <w:p w14:paraId="12312249" w14:textId="77777777" w:rsidR="00C37E4E" w:rsidRPr="005F3E04" w:rsidRDefault="00C37E4E" w:rsidP="00C37E4E">
            <w:pPr>
              <w:pStyle w:val="TableText"/>
            </w:pPr>
            <w:r>
              <w:t>UA</w:t>
            </w:r>
          </w:p>
        </w:tc>
        <w:tc>
          <w:tcPr>
            <w:tcW w:w="600" w:type="dxa"/>
            <w:shd w:val="clear" w:color="auto" w:fill="FFFFFF" w:themeFill="background1"/>
            <w:vAlign w:val="center"/>
          </w:tcPr>
          <w:p w14:paraId="01FD063E" w14:textId="77777777" w:rsidR="00C37E4E" w:rsidRPr="005F3E04" w:rsidRDefault="00C37E4E" w:rsidP="00C37E4E">
            <w:pPr>
              <w:pStyle w:val="TableText"/>
            </w:pPr>
            <w:r>
              <w:t>A</w:t>
            </w:r>
          </w:p>
        </w:tc>
        <w:tc>
          <w:tcPr>
            <w:tcW w:w="600" w:type="dxa"/>
            <w:shd w:val="clear" w:color="auto" w:fill="FFFFFF" w:themeFill="background1"/>
            <w:vAlign w:val="center"/>
          </w:tcPr>
          <w:p w14:paraId="62E52315" w14:textId="77777777" w:rsidR="00C37E4E" w:rsidRPr="005F3E04" w:rsidRDefault="00C37E4E" w:rsidP="00C37E4E">
            <w:pPr>
              <w:pStyle w:val="TableText"/>
            </w:pPr>
            <w:r>
              <w:t>UA</w:t>
            </w:r>
          </w:p>
        </w:tc>
        <w:tc>
          <w:tcPr>
            <w:tcW w:w="599" w:type="dxa"/>
            <w:shd w:val="clear" w:color="auto" w:fill="FFFFFF" w:themeFill="background1"/>
            <w:vAlign w:val="center"/>
          </w:tcPr>
          <w:p w14:paraId="0B7FBD11" w14:textId="77777777" w:rsidR="00C37E4E" w:rsidRPr="005F3E04" w:rsidRDefault="00C37E4E" w:rsidP="00C37E4E">
            <w:pPr>
              <w:pStyle w:val="TableText"/>
            </w:pPr>
            <w:r>
              <w:t>A</w:t>
            </w:r>
          </w:p>
        </w:tc>
        <w:tc>
          <w:tcPr>
            <w:tcW w:w="599" w:type="dxa"/>
            <w:shd w:val="clear" w:color="auto" w:fill="FFFFFF" w:themeFill="background1"/>
            <w:vAlign w:val="center"/>
          </w:tcPr>
          <w:p w14:paraId="3E84F6E3" w14:textId="77777777" w:rsidR="00C37E4E" w:rsidRPr="005F3E04" w:rsidRDefault="00C37E4E" w:rsidP="00C37E4E">
            <w:pPr>
              <w:pStyle w:val="TableText"/>
            </w:pPr>
            <w:r>
              <w:t>UA</w:t>
            </w:r>
          </w:p>
        </w:tc>
        <w:tc>
          <w:tcPr>
            <w:tcW w:w="599" w:type="dxa"/>
            <w:shd w:val="clear" w:color="auto" w:fill="FFFFFF" w:themeFill="background1"/>
            <w:vAlign w:val="center"/>
          </w:tcPr>
          <w:p w14:paraId="0E0047C5" w14:textId="77777777" w:rsidR="00C37E4E" w:rsidRPr="005F3E04" w:rsidRDefault="00C37E4E" w:rsidP="00C37E4E">
            <w:pPr>
              <w:pStyle w:val="TableText"/>
            </w:pPr>
            <w:r>
              <w:t>N</w:t>
            </w:r>
          </w:p>
        </w:tc>
        <w:tc>
          <w:tcPr>
            <w:tcW w:w="599" w:type="dxa"/>
            <w:shd w:val="clear" w:color="auto" w:fill="FFFFFF" w:themeFill="background1"/>
            <w:vAlign w:val="center"/>
          </w:tcPr>
          <w:p w14:paraId="3BCE1A39" w14:textId="77777777" w:rsidR="00C37E4E" w:rsidRPr="005F3E04" w:rsidRDefault="00C37E4E" w:rsidP="00C37E4E">
            <w:pPr>
              <w:pStyle w:val="TableText"/>
            </w:pPr>
            <w:r>
              <w:t>A</w:t>
            </w:r>
          </w:p>
        </w:tc>
        <w:tc>
          <w:tcPr>
            <w:tcW w:w="599" w:type="dxa"/>
            <w:shd w:val="clear" w:color="auto" w:fill="FFFFFF" w:themeFill="background1"/>
            <w:vAlign w:val="center"/>
          </w:tcPr>
          <w:p w14:paraId="6CD0C563" w14:textId="77777777" w:rsidR="00C37E4E" w:rsidRPr="005F3E04" w:rsidRDefault="00C37E4E" w:rsidP="00C37E4E">
            <w:pPr>
              <w:pStyle w:val="TableText"/>
            </w:pPr>
            <w:r>
              <w:t>N</w:t>
            </w:r>
          </w:p>
        </w:tc>
        <w:tc>
          <w:tcPr>
            <w:tcW w:w="599" w:type="dxa"/>
            <w:shd w:val="clear" w:color="auto" w:fill="FFFFFF" w:themeFill="background1"/>
            <w:vAlign w:val="center"/>
          </w:tcPr>
          <w:p w14:paraId="20314826" w14:textId="77777777" w:rsidR="00C37E4E" w:rsidRPr="005F3E04" w:rsidRDefault="00C37E4E" w:rsidP="00C37E4E">
            <w:pPr>
              <w:pStyle w:val="TableText"/>
            </w:pPr>
            <w:r>
              <w:t>N</w:t>
            </w:r>
          </w:p>
        </w:tc>
        <w:tc>
          <w:tcPr>
            <w:tcW w:w="614" w:type="dxa"/>
            <w:shd w:val="clear" w:color="auto" w:fill="FFFFFF" w:themeFill="background1"/>
            <w:vAlign w:val="center"/>
          </w:tcPr>
          <w:p w14:paraId="1DA9A3E9" w14:textId="77777777" w:rsidR="00C37E4E" w:rsidRPr="005F3E04" w:rsidRDefault="00C37E4E" w:rsidP="00C37E4E">
            <w:pPr>
              <w:pStyle w:val="TableText"/>
            </w:pPr>
            <w:r>
              <w:t>A</w:t>
            </w:r>
          </w:p>
        </w:tc>
        <w:tc>
          <w:tcPr>
            <w:tcW w:w="646" w:type="dxa"/>
            <w:shd w:val="clear" w:color="auto" w:fill="FFFFFF" w:themeFill="background1"/>
            <w:vAlign w:val="center"/>
          </w:tcPr>
          <w:p w14:paraId="1001EDC6" w14:textId="77777777" w:rsidR="00C37E4E" w:rsidRPr="005F3E04" w:rsidRDefault="00C37E4E" w:rsidP="00C37E4E">
            <w:pPr>
              <w:pStyle w:val="TableText"/>
            </w:pPr>
            <w:r>
              <w:t>UA</w:t>
            </w:r>
          </w:p>
        </w:tc>
        <w:tc>
          <w:tcPr>
            <w:tcW w:w="695" w:type="dxa"/>
            <w:shd w:val="clear" w:color="auto" w:fill="FFFFFF" w:themeFill="background1"/>
            <w:vAlign w:val="center"/>
          </w:tcPr>
          <w:p w14:paraId="350B8D63" w14:textId="77777777" w:rsidR="00C37E4E" w:rsidRPr="005F3E04" w:rsidRDefault="00C37E4E" w:rsidP="00C37E4E">
            <w:pPr>
              <w:pStyle w:val="TableText"/>
            </w:pPr>
            <w:r>
              <w:t>A</w:t>
            </w:r>
          </w:p>
        </w:tc>
        <w:tc>
          <w:tcPr>
            <w:tcW w:w="680" w:type="dxa"/>
            <w:tcBorders>
              <w:top w:val="nil"/>
              <w:bottom w:val="single" w:sz="4" w:space="0" w:color="auto"/>
            </w:tcBorders>
            <w:shd w:val="clear" w:color="auto" w:fill="FFFFFF" w:themeFill="background1"/>
          </w:tcPr>
          <w:p w14:paraId="173BDB3F" w14:textId="77777777" w:rsidR="00C37E4E" w:rsidRPr="005F3E04" w:rsidRDefault="00C37E4E" w:rsidP="00C37E4E">
            <w:pPr>
              <w:pStyle w:val="TableText"/>
            </w:pPr>
          </w:p>
        </w:tc>
        <w:tc>
          <w:tcPr>
            <w:tcW w:w="688" w:type="dxa"/>
            <w:tcBorders>
              <w:bottom w:val="single" w:sz="4" w:space="0" w:color="auto"/>
            </w:tcBorders>
            <w:shd w:val="clear" w:color="auto" w:fill="FFFFFF" w:themeFill="background1"/>
            <w:vAlign w:val="center"/>
          </w:tcPr>
          <w:p w14:paraId="6E56AFEA" w14:textId="77777777" w:rsidR="00C37E4E" w:rsidRPr="005F3E04" w:rsidRDefault="00C37E4E" w:rsidP="00C37E4E">
            <w:pPr>
              <w:pStyle w:val="TableText"/>
            </w:pPr>
            <w:r>
              <w:t>U</w:t>
            </w:r>
          </w:p>
        </w:tc>
        <w:tc>
          <w:tcPr>
            <w:tcW w:w="688" w:type="dxa"/>
            <w:tcBorders>
              <w:top w:val="nil"/>
              <w:bottom w:val="single" w:sz="4" w:space="0" w:color="auto"/>
            </w:tcBorders>
            <w:shd w:val="clear" w:color="auto" w:fill="FFFFFF" w:themeFill="background1"/>
          </w:tcPr>
          <w:p w14:paraId="0EA78E69" w14:textId="77777777" w:rsidR="00C37E4E" w:rsidRPr="005F3E04" w:rsidRDefault="00C37E4E" w:rsidP="00C37E4E">
            <w:pPr>
              <w:pStyle w:val="TableText"/>
            </w:pPr>
          </w:p>
        </w:tc>
        <w:tc>
          <w:tcPr>
            <w:tcW w:w="663" w:type="dxa"/>
            <w:tcBorders>
              <w:bottom w:val="single" w:sz="4" w:space="0" w:color="auto"/>
            </w:tcBorders>
            <w:shd w:val="clear" w:color="auto" w:fill="FFFFFF" w:themeFill="background1"/>
            <w:vAlign w:val="center"/>
          </w:tcPr>
          <w:p w14:paraId="4D0F02EC" w14:textId="77777777" w:rsidR="00C37E4E" w:rsidRPr="005F3E04" w:rsidRDefault="00C37E4E" w:rsidP="00C37E4E">
            <w:pPr>
              <w:pStyle w:val="TableText"/>
            </w:pPr>
            <w:r>
              <w:t>U</w:t>
            </w:r>
          </w:p>
        </w:tc>
        <w:tc>
          <w:tcPr>
            <w:tcW w:w="712" w:type="dxa"/>
            <w:tcBorders>
              <w:top w:val="nil"/>
              <w:bottom w:val="single" w:sz="4" w:space="0" w:color="auto"/>
              <w:right w:val="nil"/>
            </w:tcBorders>
            <w:shd w:val="clear" w:color="auto" w:fill="FFFFFF" w:themeFill="background1"/>
          </w:tcPr>
          <w:p w14:paraId="53EFFB17" w14:textId="77777777" w:rsidR="00C37E4E" w:rsidRPr="005F3E04" w:rsidRDefault="00C37E4E" w:rsidP="00C37E4E">
            <w:pPr>
              <w:jc w:val="center"/>
              <w:rPr>
                <w:rFonts w:ascii="Franklin Gothic Book" w:hAnsi="Franklin Gothic Book"/>
                <w:sz w:val="16"/>
                <w:szCs w:val="16"/>
              </w:rPr>
            </w:pPr>
          </w:p>
        </w:tc>
      </w:tr>
      <w:tr w:rsidR="00C37E4E" w14:paraId="67FF091A" w14:textId="77777777" w:rsidTr="00EA652D">
        <w:trPr>
          <w:trHeight w:val="20"/>
          <w:jc w:val="center"/>
        </w:trPr>
        <w:tc>
          <w:tcPr>
            <w:tcW w:w="1016" w:type="dxa"/>
            <w:tcBorders>
              <w:left w:val="nil"/>
              <w:bottom w:val="single" w:sz="4" w:space="0" w:color="auto"/>
            </w:tcBorders>
            <w:shd w:val="clear" w:color="auto" w:fill="FFFFFF" w:themeFill="background1"/>
            <w:vAlign w:val="center"/>
          </w:tcPr>
          <w:p w14:paraId="332E4868" w14:textId="77777777" w:rsidR="00C37E4E" w:rsidRDefault="00C37E4E" w:rsidP="00C37E4E">
            <w:pPr>
              <w:pStyle w:val="TableText"/>
            </w:pPr>
            <w:r>
              <w:lastRenderedPageBreak/>
              <w:t>Tuolumne</w:t>
            </w:r>
          </w:p>
        </w:tc>
        <w:tc>
          <w:tcPr>
            <w:tcW w:w="620" w:type="dxa"/>
            <w:tcBorders>
              <w:bottom w:val="single" w:sz="4" w:space="0" w:color="auto"/>
            </w:tcBorders>
            <w:shd w:val="clear" w:color="auto" w:fill="FFFFFF" w:themeFill="background1"/>
            <w:vAlign w:val="center"/>
          </w:tcPr>
          <w:p w14:paraId="119C953A" w14:textId="77777777" w:rsidR="00C37E4E" w:rsidRPr="005F3E04" w:rsidRDefault="00C37E4E" w:rsidP="00C37E4E">
            <w:pPr>
              <w:pStyle w:val="TableText"/>
            </w:pPr>
            <w:r>
              <w:t>N</w:t>
            </w:r>
          </w:p>
        </w:tc>
        <w:tc>
          <w:tcPr>
            <w:tcW w:w="665" w:type="dxa"/>
            <w:tcBorders>
              <w:bottom w:val="single" w:sz="4" w:space="0" w:color="auto"/>
            </w:tcBorders>
            <w:shd w:val="clear" w:color="auto" w:fill="FFFFFF" w:themeFill="background1"/>
            <w:vAlign w:val="center"/>
          </w:tcPr>
          <w:p w14:paraId="3F158493" w14:textId="77777777" w:rsidR="00C37E4E" w:rsidRPr="005F3E04" w:rsidRDefault="00C37E4E" w:rsidP="00C37E4E">
            <w:pPr>
              <w:pStyle w:val="TableText"/>
            </w:pPr>
            <w:r>
              <w:t>N</w:t>
            </w:r>
          </w:p>
        </w:tc>
        <w:tc>
          <w:tcPr>
            <w:tcW w:w="600" w:type="dxa"/>
            <w:tcBorders>
              <w:bottom w:val="single" w:sz="4" w:space="0" w:color="auto"/>
            </w:tcBorders>
            <w:shd w:val="clear" w:color="auto" w:fill="FFFFFF" w:themeFill="background1"/>
            <w:vAlign w:val="center"/>
          </w:tcPr>
          <w:p w14:paraId="378BBF37"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07336339" w14:textId="77777777" w:rsidR="00C37E4E" w:rsidRPr="005F3E04" w:rsidRDefault="00C37E4E" w:rsidP="00C37E4E">
            <w:pPr>
              <w:pStyle w:val="TableText"/>
            </w:pPr>
            <w:r>
              <w:t>UA</w:t>
            </w:r>
          </w:p>
        </w:tc>
        <w:tc>
          <w:tcPr>
            <w:tcW w:w="600" w:type="dxa"/>
            <w:tcBorders>
              <w:bottom w:val="single" w:sz="4" w:space="0" w:color="auto"/>
            </w:tcBorders>
            <w:shd w:val="clear" w:color="auto" w:fill="FFFFFF" w:themeFill="background1"/>
            <w:vAlign w:val="center"/>
          </w:tcPr>
          <w:p w14:paraId="597224B3"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0AF6BA34"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365201D5"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031D10EA"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0D1E8DE5" w14:textId="77777777" w:rsidR="00C37E4E" w:rsidRPr="005F3E04" w:rsidRDefault="00C37E4E" w:rsidP="00C37E4E">
            <w:pPr>
              <w:pStyle w:val="TableText"/>
            </w:pPr>
            <w:r>
              <w:t>U</w:t>
            </w:r>
          </w:p>
        </w:tc>
        <w:tc>
          <w:tcPr>
            <w:tcW w:w="599" w:type="dxa"/>
            <w:tcBorders>
              <w:bottom w:val="single" w:sz="4" w:space="0" w:color="auto"/>
            </w:tcBorders>
            <w:shd w:val="clear" w:color="auto" w:fill="FFFFFF" w:themeFill="background1"/>
            <w:vAlign w:val="center"/>
          </w:tcPr>
          <w:p w14:paraId="68363619" w14:textId="77777777" w:rsidR="00C37E4E" w:rsidRPr="005F3E04" w:rsidRDefault="00C37E4E" w:rsidP="00C37E4E">
            <w:pPr>
              <w:pStyle w:val="TableText"/>
            </w:pPr>
            <w:r>
              <w:t>U</w:t>
            </w:r>
          </w:p>
        </w:tc>
        <w:tc>
          <w:tcPr>
            <w:tcW w:w="599" w:type="dxa"/>
            <w:tcBorders>
              <w:bottom w:val="single" w:sz="4" w:space="0" w:color="auto"/>
            </w:tcBorders>
            <w:shd w:val="clear" w:color="auto" w:fill="FFFFFF" w:themeFill="background1"/>
            <w:vAlign w:val="center"/>
          </w:tcPr>
          <w:p w14:paraId="02C65EDA" w14:textId="77777777" w:rsidR="00C37E4E" w:rsidRPr="005F3E04" w:rsidRDefault="00C37E4E" w:rsidP="00C37E4E">
            <w:pPr>
              <w:pStyle w:val="TableText"/>
            </w:pPr>
            <w:r>
              <w:t>U</w:t>
            </w:r>
          </w:p>
        </w:tc>
        <w:tc>
          <w:tcPr>
            <w:tcW w:w="599" w:type="dxa"/>
            <w:tcBorders>
              <w:bottom w:val="single" w:sz="4" w:space="0" w:color="auto"/>
            </w:tcBorders>
            <w:shd w:val="clear" w:color="auto" w:fill="FFFFFF" w:themeFill="background1"/>
            <w:vAlign w:val="center"/>
          </w:tcPr>
          <w:p w14:paraId="0F318C78" w14:textId="77777777" w:rsidR="00C37E4E" w:rsidRPr="005F3E04" w:rsidRDefault="00C37E4E" w:rsidP="00C37E4E">
            <w:pPr>
              <w:pStyle w:val="TableText"/>
            </w:pPr>
            <w:r>
              <w:t>UA</w:t>
            </w:r>
          </w:p>
        </w:tc>
        <w:tc>
          <w:tcPr>
            <w:tcW w:w="614" w:type="dxa"/>
            <w:tcBorders>
              <w:bottom w:val="single" w:sz="4" w:space="0" w:color="auto"/>
            </w:tcBorders>
            <w:shd w:val="clear" w:color="auto" w:fill="FFFFFF" w:themeFill="background1"/>
            <w:vAlign w:val="center"/>
          </w:tcPr>
          <w:p w14:paraId="7AE67EB5" w14:textId="77777777" w:rsidR="00C37E4E" w:rsidRPr="005F3E04" w:rsidRDefault="00C37E4E" w:rsidP="00C37E4E">
            <w:pPr>
              <w:pStyle w:val="TableText"/>
            </w:pPr>
            <w:r>
              <w:t>A</w:t>
            </w:r>
          </w:p>
        </w:tc>
        <w:tc>
          <w:tcPr>
            <w:tcW w:w="646" w:type="dxa"/>
            <w:tcBorders>
              <w:bottom w:val="single" w:sz="4" w:space="0" w:color="auto"/>
            </w:tcBorders>
            <w:shd w:val="clear" w:color="auto" w:fill="FFFFFF" w:themeFill="background1"/>
            <w:vAlign w:val="center"/>
          </w:tcPr>
          <w:p w14:paraId="7797CF8D" w14:textId="77777777" w:rsidR="00C37E4E" w:rsidRPr="005F3E04" w:rsidRDefault="00C37E4E" w:rsidP="00C37E4E">
            <w:pPr>
              <w:pStyle w:val="TableText"/>
            </w:pPr>
            <w:r>
              <w:t>UA</w:t>
            </w:r>
          </w:p>
        </w:tc>
        <w:tc>
          <w:tcPr>
            <w:tcW w:w="695" w:type="dxa"/>
            <w:tcBorders>
              <w:bottom w:val="single" w:sz="4" w:space="0" w:color="auto"/>
            </w:tcBorders>
            <w:shd w:val="clear" w:color="auto" w:fill="FFFFFF" w:themeFill="background1"/>
            <w:vAlign w:val="center"/>
          </w:tcPr>
          <w:p w14:paraId="16024059" w14:textId="77777777" w:rsidR="00C37E4E" w:rsidRPr="005F3E04" w:rsidRDefault="00C37E4E" w:rsidP="00C37E4E">
            <w:pPr>
              <w:pStyle w:val="TableText"/>
            </w:pPr>
            <w:r>
              <w:t>A</w:t>
            </w:r>
          </w:p>
        </w:tc>
        <w:tc>
          <w:tcPr>
            <w:tcW w:w="680" w:type="dxa"/>
            <w:tcBorders>
              <w:top w:val="single" w:sz="4" w:space="0" w:color="auto"/>
              <w:bottom w:val="nil"/>
            </w:tcBorders>
            <w:shd w:val="clear" w:color="auto" w:fill="FFFFFF" w:themeFill="background1"/>
          </w:tcPr>
          <w:p w14:paraId="6F6B4E00" w14:textId="77777777" w:rsidR="00C37E4E" w:rsidRPr="005F3E04" w:rsidRDefault="00C37E4E" w:rsidP="00C37E4E">
            <w:pPr>
              <w:pStyle w:val="TableText"/>
            </w:pPr>
          </w:p>
        </w:tc>
        <w:tc>
          <w:tcPr>
            <w:tcW w:w="688" w:type="dxa"/>
            <w:tcBorders>
              <w:top w:val="single" w:sz="4" w:space="0" w:color="auto"/>
              <w:bottom w:val="single" w:sz="4" w:space="0" w:color="auto"/>
            </w:tcBorders>
            <w:shd w:val="clear" w:color="auto" w:fill="FFFFFF" w:themeFill="background1"/>
            <w:vAlign w:val="center"/>
          </w:tcPr>
          <w:p w14:paraId="029C54A2" w14:textId="77777777" w:rsidR="00C37E4E" w:rsidRPr="005F3E04" w:rsidRDefault="00C37E4E" w:rsidP="00C37E4E">
            <w:pPr>
              <w:pStyle w:val="TableText"/>
            </w:pPr>
            <w:r>
              <w:t>U</w:t>
            </w:r>
          </w:p>
        </w:tc>
        <w:tc>
          <w:tcPr>
            <w:tcW w:w="688" w:type="dxa"/>
            <w:tcBorders>
              <w:top w:val="single" w:sz="4" w:space="0" w:color="auto"/>
              <w:bottom w:val="nil"/>
            </w:tcBorders>
            <w:shd w:val="clear" w:color="auto" w:fill="FFFFFF" w:themeFill="background1"/>
          </w:tcPr>
          <w:p w14:paraId="42677D6E" w14:textId="77777777" w:rsidR="00C37E4E" w:rsidRPr="005F3E04" w:rsidRDefault="00C37E4E" w:rsidP="00C37E4E">
            <w:pPr>
              <w:pStyle w:val="TableText"/>
            </w:pPr>
          </w:p>
        </w:tc>
        <w:tc>
          <w:tcPr>
            <w:tcW w:w="663" w:type="dxa"/>
            <w:tcBorders>
              <w:top w:val="single" w:sz="4" w:space="0" w:color="auto"/>
              <w:bottom w:val="single" w:sz="4" w:space="0" w:color="auto"/>
            </w:tcBorders>
            <w:shd w:val="clear" w:color="auto" w:fill="FFFFFF" w:themeFill="background1"/>
            <w:vAlign w:val="center"/>
          </w:tcPr>
          <w:p w14:paraId="1743AFBF" w14:textId="77777777" w:rsidR="00C37E4E" w:rsidRPr="005F3E04" w:rsidRDefault="00C37E4E" w:rsidP="00C37E4E">
            <w:pPr>
              <w:pStyle w:val="TableText"/>
            </w:pPr>
            <w:r>
              <w:t>U</w:t>
            </w:r>
          </w:p>
        </w:tc>
        <w:tc>
          <w:tcPr>
            <w:tcW w:w="712" w:type="dxa"/>
            <w:tcBorders>
              <w:top w:val="single" w:sz="4" w:space="0" w:color="auto"/>
              <w:bottom w:val="nil"/>
              <w:right w:val="nil"/>
            </w:tcBorders>
            <w:shd w:val="clear" w:color="auto" w:fill="FFFFFF" w:themeFill="background1"/>
          </w:tcPr>
          <w:p w14:paraId="1AB9E125" w14:textId="77777777" w:rsidR="00C37E4E" w:rsidRPr="005F3E04" w:rsidRDefault="00C37E4E" w:rsidP="00C37E4E">
            <w:pPr>
              <w:jc w:val="center"/>
              <w:rPr>
                <w:rFonts w:ascii="Franklin Gothic Book" w:hAnsi="Franklin Gothic Book"/>
                <w:sz w:val="16"/>
                <w:szCs w:val="16"/>
              </w:rPr>
            </w:pPr>
          </w:p>
        </w:tc>
      </w:tr>
      <w:tr w:rsidR="00C37E4E" w14:paraId="5BDFB3EF" w14:textId="77777777" w:rsidTr="00236A57">
        <w:trPr>
          <w:trHeight w:val="20"/>
          <w:jc w:val="center"/>
        </w:trPr>
        <w:tc>
          <w:tcPr>
            <w:tcW w:w="1016" w:type="dxa"/>
            <w:tcBorders>
              <w:left w:val="nil"/>
            </w:tcBorders>
            <w:shd w:val="clear" w:color="auto" w:fill="FFFFFF" w:themeFill="background1"/>
            <w:vAlign w:val="center"/>
          </w:tcPr>
          <w:p w14:paraId="3E0D2148" w14:textId="77777777" w:rsidR="00C37E4E" w:rsidRDefault="00C37E4E" w:rsidP="00C37E4E">
            <w:pPr>
              <w:pStyle w:val="TableText"/>
            </w:pPr>
            <w:r>
              <w:t>Ventura</w:t>
            </w:r>
          </w:p>
        </w:tc>
        <w:tc>
          <w:tcPr>
            <w:tcW w:w="620" w:type="dxa"/>
            <w:shd w:val="clear" w:color="auto" w:fill="FFFFFF" w:themeFill="background1"/>
            <w:vAlign w:val="center"/>
          </w:tcPr>
          <w:p w14:paraId="18C2A425" w14:textId="77777777" w:rsidR="00C37E4E" w:rsidRPr="005F3E04" w:rsidRDefault="00C37E4E" w:rsidP="00C37E4E">
            <w:pPr>
              <w:pStyle w:val="TableText"/>
            </w:pPr>
            <w:r>
              <w:t>N</w:t>
            </w:r>
          </w:p>
        </w:tc>
        <w:tc>
          <w:tcPr>
            <w:tcW w:w="665" w:type="dxa"/>
            <w:shd w:val="clear" w:color="auto" w:fill="FFFFFF" w:themeFill="background1"/>
            <w:vAlign w:val="center"/>
          </w:tcPr>
          <w:p w14:paraId="7E1FE2E0" w14:textId="77777777" w:rsidR="00C37E4E" w:rsidRPr="005F3E04" w:rsidRDefault="00C37E4E" w:rsidP="00C37E4E">
            <w:pPr>
              <w:pStyle w:val="TableText"/>
            </w:pPr>
            <w:r>
              <w:t>N</w:t>
            </w:r>
          </w:p>
        </w:tc>
        <w:tc>
          <w:tcPr>
            <w:tcW w:w="600" w:type="dxa"/>
            <w:shd w:val="clear" w:color="auto" w:fill="FFFFFF" w:themeFill="background1"/>
            <w:vAlign w:val="center"/>
          </w:tcPr>
          <w:p w14:paraId="284F9780" w14:textId="77777777" w:rsidR="00C37E4E" w:rsidRPr="005F3E04" w:rsidRDefault="00C37E4E" w:rsidP="00C37E4E">
            <w:pPr>
              <w:pStyle w:val="TableText"/>
            </w:pPr>
            <w:r>
              <w:t>A</w:t>
            </w:r>
          </w:p>
        </w:tc>
        <w:tc>
          <w:tcPr>
            <w:tcW w:w="600" w:type="dxa"/>
            <w:shd w:val="clear" w:color="auto" w:fill="FFFFFF" w:themeFill="background1"/>
            <w:vAlign w:val="center"/>
          </w:tcPr>
          <w:p w14:paraId="1073C12D" w14:textId="77777777" w:rsidR="00C37E4E" w:rsidRPr="005F3E04" w:rsidRDefault="00C37E4E" w:rsidP="00C37E4E">
            <w:pPr>
              <w:pStyle w:val="TableText"/>
            </w:pPr>
            <w:r>
              <w:t>UA</w:t>
            </w:r>
          </w:p>
        </w:tc>
        <w:tc>
          <w:tcPr>
            <w:tcW w:w="600" w:type="dxa"/>
            <w:shd w:val="clear" w:color="auto" w:fill="FFFFFF" w:themeFill="background1"/>
            <w:vAlign w:val="center"/>
          </w:tcPr>
          <w:p w14:paraId="43C68D40" w14:textId="77777777" w:rsidR="00C37E4E" w:rsidRPr="005F3E04" w:rsidRDefault="00C37E4E" w:rsidP="00C37E4E">
            <w:pPr>
              <w:pStyle w:val="TableText"/>
            </w:pPr>
            <w:r>
              <w:t>A</w:t>
            </w:r>
          </w:p>
        </w:tc>
        <w:tc>
          <w:tcPr>
            <w:tcW w:w="600" w:type="dxa"/>
            <w:shd w:val="clear" w:color="auto" w:fill="FFFFFF" w:themeFill="background1"/>
            <w:vAlign w:val="center"/>
          </w:tcPr>
          <w:p w14:paraId="3325A90B" w14:textId="77777777" w:rsidR="00C37E4E" w:rsidRPr="005F3E04" w:rsidRDefault="00C37E4E" w:rsidP="00C37E4E">
            <w:pPr>
              <w:pStyle w:val="TableText"/>
            </w:pPr>
            <w:r>
              <w:t>UA</w:t>
            </w:r>
          </w:p>
        </w:tc>
        <w:tc>
          <w:tcPr>
            <w:tcW w:w="599" w:type="dxa"/>
            <w:shd w:val="clear" w:color="auto" w:fill="FFFFFF" w:themeFill="background1"/>
            <w:vAlign w:val="center"/>
          </w:tcPr>
          <w:p w14:paraId="46D2C7D6" w14:textId="77777777" w:rsidR="00C37E4E" w:rsidRPr="005F3E04" w:rsidRDefault="00C37E4E" w:rsidP="00C37E4E">
            <w:pPr>
              <w:pStyle w:val="TableText"/>
            </w:pPr>
            <w:r>
              <w:t>A</w:t>
            </w:r>
          </w:p>
        </w:tc>
        <w:tc>
          <w:tcPr>
            <w:tcW w:w="599" w:type="dxa"/>
            <w:shd w:val="clear" w:color="auto" w:fill="FFFFFF" w:themeFill="background1"/>
            <w:vAlign w:val="center"/>
          </w:tcPr>
          <w:p w14:paraId="1F494977" w14:textId="77777777" w:rsidR="00C37E4E" w:rsidRPr="005F3E04" w:rsidRDefault="00C37E4E" w:rsidP="00C37E4E">
            <w:pPr>
              <w:pStyle w:val="TableText"/>
            </w:pPr>
            <w:r>
              <w:t>UA</w:t>
            </w:r>
          </w:p>
        </w:tc>
        <w:tc>
          <w:tcPr>
            <w:tcW w:w="599" w:type="dxa"/>
            <w:shd w:val="clear" w:color="auto" w:fill="FFFFFF" w:themeFill="background1"/>
            <w:vAlign w:val="center"/>
          </w:tcPr>
          <w:p w14:paraId="59942336" w14:textId="77777777" w:rsidR="00C37E4E" w:rsidRPr="005F3E04" w:rsidRDefault="00C37E4E" w:rsidP="00C37E4E">
            <w:pPr>
              <w:pStyle w:val="TableText"/>
            </w:pPr>
            <w:r>
              <w:t>N</w:t>
            </w:r>
          </w:p>
        </w:tc>
        <w:tc>
          <w:tcPr>
            <w:tcW w:w="599" w:type="dxa"/>
            <w:shd w:val="clear" w:color="auto" w:fill="FFFFFF" w:themeFill="background1"/>
            <w:vAlign w:val="center"/>
          </w:tcPr>
          <w:p w14:paraId="2317A550" w14:textId="77777777" w:rsidR="00C37E4E" w:rsidRPr="005F3E04" w:rsidRDefault="00C37E4E" w:rsidP="00C37E4E">
            <w:pPr>
              <w:pStyle w:val="TableText"/>
            </w:pPr>
            <w:r>
              <w:t>U</w:t>
            </w:r>
          </w:p>
        </w:tc>
        <w:tc>
          <w:tcPr>
            <w:tcW w:w="599" w:type="dxa"/>
            <w:shd w:val="clear" w:color="auto" w:fill="FFFFFF" w:themeFill="background1"/>
            <w:vAlign w:val="center"/>
          </w:tcPr>
          <w:p w14:paraId="5D2DA79B" w14:textId="77777777" w:rsidR="00C37E4E" w:rsidRPr="005F3E04" w:rsidRDefault="00C37E4E" w:rsidP="00C37E4E">
            <w:pPr>
              <w:pStyle w:val="TableText"/>
            </w:pPr>
            <w:r>
              <w:t>A</w:t>
            </w:r>
          </w:p>
        </w:tc>
        <w:tc>
          <w:tcPr>
            <w:tcW w:w="599" w:type="dxa"/>
            <w:shd w:val="clear" w:color="auto" w:fill="FFFFFF" w:themeFill="background1"/>
            <w:vAlign w:val="center"/>
          </w:tcPr>
          <w:p w14:paraId="3B83D254" w14:textId="77777777" w:rsidR="00C37E4E" w:rsidRPr="005F3E04" w:rsidRDefault="00C37E4E" w:rsidP="00C37E4E">
            <w:pPr>
              <w:pStyle w:val="TableText"/>
            </w:pPr>
            <w:r>
              <w:t>UA</w:t>
            </w:r>
          </w:p>
        </w:tc>
        <w:tc>
          <w:tcPr>
            <w:tcW w:w="614" w:type="dxa"/>
            <w:shd w:val="clear" w:color="auto" w:fill="FFFFFF" w:themeFill="background1"/>
            <w:vAlign w:val="center"/>
          </w:tcPr>
          <w:p w14:paraId="4B28C55E" w14:textId="77777777" w:rsidR="00C37E4E" w:rsidRPr="005F3E04" w:rsidRDefault="00C37E4E" w:rsidP="00C37E4E">
            <w:pPr>
              <w:pStyle w:val="TableText"/>
            </w:pPr>
            <w:r>
              <w:t>A</w:t>
            </w:r>
          </w:p>
        </w:tc>
        <w:tc>
          <w:tcPr>
            <w:tcW w:w="646" w:type="dxa"/>
            <w:shd w:val="clear" w:color="auto" w:fill="FFFFFF" w:themeFill="background1"/>
            <w:vAlign w:val="center"/>
          </w:tcPr>
          <w:p w14:paraId="762893B7" w14:textId="77777777" w:rsidR="00C37E4E" w:rsidRPr="005F3E04" w:rsidRDefault="00C37E4E" w:rsidP="00C37E4E">
            <w:pPr>
              <w:pStyle w:val="TableText"/>
            </w:pPr>
            <w:r>
              <w:t>UA</w:t>
            </w:r>
          </w:p>
        </w:tc>
        <w:tc>
          <w:tcPr>
            <w:tcW w:w="695" w:type="dxa"/>
            <w:shd w:val="clear" w:color="auto" w:fill="FFFFFF" w:themeFill="background1"/>
            <w:vAlign w:val="center"/>
          </w:tcPr>
          <w:p w14:paraId="0DB7DB41"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vAlign w:val="center"/>
          </w:tcPr>
          <w:p w14:paraId="6163052F" w14:textId="77777777" w:rsidR="00C37E4E" w:rsidRPr="00714A72" w:rsidRDefault="00C37E4E" w:rsidP="00C37E4E">
            <w:pPr>
              <w:jc w:val="center"/>
              <w:rPr>
                <w:sz w:val="14"/>
                <w:szCs w:val="16"/>
              </w:rPr>
            </w:pPr>
            <w:r w:rsidRPr="001E4207">
              <w:rPr>
                <w:sz w:val="14"/>
                <w:szCs w:val="16"/>
              </w:rPr>
              <w:t>No Federal Standard</w:t>
            </w:r>
          </w:p>
        </w:tc>
        <w:tc>
          <w:tcPr>
            <w:tcW w:w="688" w:type="dxa"/>
            <w:shd w:val="clear" w:color="auto" w:fill="FFFFFF" w:themeFill="background1"/>
            <w:vAlign w:val="center"/>
          </w:tcPr>
          <w:p w14:paraId="2ECABB3C"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vAlign w:val="center"/>
          </w:tcPr>
          <w:p w14:paraId="327DBA80" w14:textId="77777777" w:rsidR="00C37E4E" w:rsidRPr="00714A72" w:rsidRDefault="00C37E4E" w:rsidP="00C37E4E">
            <w:pPr>
              <w:jc w:val="center"/>
              <w:rPr>
                <w:sz w:val="14"/>
                <w:szCs w:val="16"/>
              </w:rPr>
            </w:pPr>
            <w:r w:rsidRPr="001E4207">
              <w:rPr>
                <w:sz w:val="14"/>
                <w:szCs w:val="16"/>
              </w:rPr>
              <w:t>No Federal Standard</w:t>
            </w:r>
          </w:p>
        </w:tc>
        <w:tc>
          <w:tcPr>
            <w:tcW w:w="663" w:type="dxa"/>
            <w:shd w:val="clear" w:color="auto" w:fill="FFFFFF" w:themeFill="background1"/>
            <w:vAlign w:val="center"/>
          </w:tcPr>
          <w:p w14:paraId="1C6881D7"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vAlign w:val="center"/>
          </w:tcPr>
          <w:p w14:paraId="7049D790" w14:textId="77777777" w:rsidR="00C37E4E" w:rsidRPr="005F3E04" w:rsidRDefault="00C37E4E" w:rsidP="00C37E4E">
            <w:pPr>
              <w:jc w:val="center"/>
              <w:rPr>
                <w:rFonts w:ascii="Franklin Gothic Book" w:hAnsi="Franklin Gothic Book"/>
                <w:sz w:val="16"/>
                <w:szCs w:val="16"/>
              </w:rPr>
            </w:pPr>
            <w:r w:rsidRPr="001E4207">
              <w:rPr>
                <w:sz w:val="14"/>
                <w:szCs w:val="16"/>
              </w:rPr>
              <w:t>No Federal Standard</w:t>
            </w:r>
          </w:p>
        </w:tc>
      </w:tr>
      <w:tr w:rsidR="00C37E4E" w14:paraId="5DFD777E" w14:textId="77777777" w:rsidTr="00236A57">
        <w:trPr>
          <w:trHeight w:val="20"/>
          <w:jc w:val="center"/>
        </w:trPr>
        <w:tc>
          <w:tcPr>
            <w:tcW w:w="1016" w:type="dxa"/>
            <w:tcBorders>
              <w:left w:val="nil"/>
              <w:bottom w:val="single" w:sz="4" w:space="0" w:color="auto"/>
            </w:tcBorders>
            <w:shd w:val="clear" w:color="auto" w:fill="FFFFFF" w:themeFill="background1"/>
            <w:vAlign w:val="center"/>
          </w:tcPr>
          <w:p w14:paraId="3006C525" w14:textId="77777777" w:rsidR="00C37E4E" w:rsidRDefault="00C37E4E" w:rsidP="00C37E4E">
            <w:pPr>
              <w:pStyle w:val="TableText"/>
            </w:pPr>
            <w:r>
              <w:t>Yolo</w:t>
            </w:r>
          </w:p>
        </w:tc>
        <w:tc>
          <w:tcPr>
            <w:tcW w:w="620" w:type="dxa"/>
            <w:tcBorders>
              <w:bottom w:val="single" w:sz="4" w:space="0" w:color="auto"/>
            </w:tcBorders>
            <w:shd w:val="clear" w:color="auto" w:fill="FFFFFF" w:themeFill="background1"/>
            <w:vAlign w:val="center"/>
          </w:tcPr>
          <w:p w14:paraId="0EC5F6CF" w14:textId="77777777" w:rsidR="00C37E4E" w:rsidRPr="005F3E04" w:rsidRDefault="00C37E4E" w:rsidP="00C37E4E">
            <w:pPr>
              <w:pStyle w:val="TableText"/>
            </w:pPr>
            <w:r>
              <w:t>N</w:t>
            </w:r>
          </w:p>
        </w:tc>
        <w:tc>
          <w:tcPr>
            <w:tcW w:w="665" w:type="dxa"/>
            <w:tcBorders>
              <w:bottom w:val="single" w:sz="4" w:space="0" w:color="auto"/>
            </w:tcBorders>
            <w:shd w:val="clear" w:color="auto" w:fill="FFFFFF" w:themeFill="background1"/>
            <w:vAlign w:val="center"/>
          </w:tcPr>
          <w:p w14:paraId="5B9A18EC" w14:textId="77777777" w:rsidR="00C37E4E" w:rsidRPr="005F3E04" w:rsidRDefault="00C37E4E" w:rsidP="00C37E4E">
            <w:pPr>
              <w:pStyle w:val="TableText"/>
            </w:pPr>
            <w:r>
              <w:t>N</w:t>
            </w:r>
          </w:p>
        </w:tc>
        <w:tc>
          <w:tcPr>
            <w:tcW w:w="600" w:type="dxa"/>
            <w:tcBorders>
              <w:bottom w:val="single" w:sz="4" w:space="0" w:color="auto"/>
            </w:tcBorders>
            <w:shd w:val="clear" w:color="auto" w:fill="FFFFFF" w:themeFill="background1"/>
            <w:vAlign w:val="center"/>
          </w:tcPr>
          <w:p w14:paraId="41BAF8A4"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3CE17C6D" w14:textId="77777777" w:rsidR="00C37E4E" w:rsidRPr="005F3E04" w:rsidRDefault="00C37E4E" w:rsidP="00C37E4E">
            <w:pPr>
              <w:pStyle w:val="TableText"/>
            </w:pPr>
            <w:r>
              <w:t>UA</w:t>
            </w:r>
          </w:p>
        </w:tc>
        <w:tc>
          <w:tcPr>
            <w:tcW w:w="600" w:type="dxa"/>
            <w:tcBorders>
              <w:bottom w:val="single" w:sz="4" w:space="0" w:color="auto"/>
            </w:tcBorders>
            <w:shd w:val="clear" w:color="auto" w:fill="FFFFFF" w:themeFill="background1"/>
            <w:vAlign w:val="center"/>
          </w:tcPr>
          <w:p w14:paraId="316F3B10" w14:textId="77777777" w:rsidR="00C37E4E" w:rsidRPr="005F3E04" w:rsidRDefault="00C37E4E" w:rsidP="00C37E4E">
            <w:pPr>
              <w:pStyle w:val="TableText"/>
            </w:pPr>
            <w:r>
              <w:t>A</w:t>
            </w:r>
          </w:p>
        </w:tc>
        <w:tc>
          <w:tcPr>
            <w:tcW w:w="600" w:type="dxa"/>
            <w:tcBorders>
              <w:bottom w:val="single" w:sz="4" w:space="0" w:color="auto"/>
            </w:tcBorders>
            <w:shd w:val="clear" w:color="auto" w:fill="FFFFFF" w:themeFill="background1"/>
            <w:vAlign w:val="center"/>
          </w:tcPr>
          <w:p w14:paraId="1339AA02"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263BD65C" w14:textId="77777777" w:rsidR="00C37E4E" w:rsidRPr="005F3E04" w:rsidRDefault="00C37E4E" w:rsidP="00C37E4E">
            <w:pPr>
              <w:pStyle w:val="TableText"/>
            </w:pPr>
            <w:r>
              <w:t>A</w:t>
            </w:r>
          </w:p>
        </w:tc>
        <w:tc>
          <w:tcPr>
            <w:tcW w:w="599" w:type="dxa"/>
            <w:tcBorders>
              <w:bottom w:val="single" w:sz="4" w:space="0" w:color="auto"/>
            </w:tcBorders>
            <w:shd w:val="clear" w:color="auto" w:fill="FFFFFF" w:themeFill="background1"/>
            <w:vAlign w:val="center"/>
          </w:tcPr>
          <w:p w14:paraId="609B53C6" w14:textId="77777777" w:rsidR="00C37E4E" w:rsidRPr="005F3E04" w:rsidRDefault="00C37E4E" w:rsidP="00C37E4E">
            <w:pPr>
              <w:pStyle w:val="TableText"/>
            </w:pPr>
            <w:r>
              <w:t>UA</w:t>
            </w:r>
          </w:p>
        </w:tc>
        <w:tc>
          <w:tcPr>
            <w:tcW w:w="599" w:type="dxa"/>
            <w:tcBorders>
              <w:bottom w:val="single" w:sz="4" w:space="0" w:color="auto"/>
            </w:tcBorders>
            <w:shd w:val="clear" w:color="auto" w:fill="FFFFFF" w:themeFill="background1"/>
            <w:vAlign w:val="center"/>
          </w:tcPr>
          <w:p w14:paraId="41E9B04A" w14:textId="77777777" w:rsidR="00C37E4E" w:rsidRPr="005F3E04" w:rsidRDefault="00C37E4E" w:rsidP="00C37E4E">
            <w:pPr>
              <w:pStyle w:val="TableText"/>
            </w:pPr>
            <w:r>
              <w:t>N</w:t>
            </w:r>
          </w:p>
        </w:tc>
        <w:tc>
          <w:tcPr>
            <w:tcW w:w="599" w:type="dxa"/>
            <w:tcBorders>
              <w:bottom w:val="single" w:sz="4" w:space="0" w:color="auto"/>
            </w:tcBorders>
            <w:shd w:val="clear" w:color="auto" w:fill="FFFFFF" w:themeFill="background1"/>
            <w:vAlign w:val="center"/>
          </w:tcPr>
          <w:p w14:paraId="3D1CED29" w14:textId="77777777" w:rsidR="00C37E4E" w:rsidRPr="005F3E04" w:rsidRDefault="00C37E4E" w:rsidP="00C37E4E">
            <w:pPr>
              <w:pStyle w:val="TableText"/>
            </w:pPr>
            <w:r>
              <w:t>U</w:t>
            </w:r>
          </w:p>
        </w:tc>
        <w:tc>
          <w:tcPr>
            <w:tcW w:w="599" w:type="dxa"/>
            <w:tcBorders>
              <w:bottom w:val="single" w:sz="4" w:space="0" w:color="auto"/>
            </w:tcBorders>
            <w:shd w:val="clear" w:color="auto" w:fill="FFFFFF" w:themeFill="background1"/>
            <w:vAlign w:val="center"/>
          </w:tcPr>
          <w:p w14:paraId="19C3156A" w14:textId="77777777" w:rsidR="00C37E4E" w:rsidRPr="005F3E04" w:rsidRDefault="00C37E4E" w:rsidP="00C37E4E">
            <w:pPr>
              <w:pStyle w:val="TableText"/>
            </w:pPr>
            <w:r>
              <w:t>U</w:t>
            </w:r>
          </w:p>
        </w:tc>
        <w:tc>
          <w:tcPr>
            <w:tcW w:w="599" w:type="dxa"/>
            <w:tcBorders>
              <w:bottom w:val="single" w:sz="4" w:space="0" w:color="auto"/>
            </w:tcBorders>
            <w:shd w:val="clear" w:color="auto" w:fill="FFFFFF" w:themeFill="background1"/>
            <w:vAlign w:val="center"/>
          </w:tcPr>
          <w:p w14:paraId="6C193CFA" w14:textId="77777777" w:rsidR="00C37E4E" w:rsidRPr="005F3E04" w:rsidRDefault="00C37E4E" w:rsidP="00C37E4E">
            <w:pPr>
              <w:pStyle w:val="TableText"/>
            </w:pPr>
            <w:r>
              <w:t>N</w:t>
            </w:r>
          </w:p>
        </w:tc>
        <w:tc>
          <w:tcPr>
            <w:tcW w:w="614" w:type="dxa"/>
            <w:tcBorders>
              <w:bottom w:val="single" w:sz="4" w:space="0" w:color="auto"/>
            </w:tcBorders>
            <w:shd w:val="clear" w:color="auto" w:fill="FFFFFF" w:themeFill="background1"/>
            <w:vAlign w:val="center"/>
          </w:tcPr>
          <w:p w14:paraId="1F4528E0" w14:textId="77777777" w:rsidR="00C37E4E" w:rsidRPr="005F3E04" w:rsidRDefault="00C37E4E" w:rsidP="00C37E4E">
            <w:pPr>
              <w:pStyle w:val="TableText"/>
            </w:pPr>
            <w:r>
              <w:t>A</w:t>
            </w:r>
          </w:p>
        </w:tc>
        <w:tc>
          <w:tcPr>
            <w:tcW w:w="646" w:type="dxa"/>
            <w:tcBorders>
              <w:bottom w:val="single" w:sz="4" w:space="0" w:color="auto"/>
            </w:tcBorders>
            <w:shd w:val="clear" w:color="auto" w:fill="FFFFFF" w:themeFill="background1"/>
            <w:vAlign w:val="center"/>
          </w:tcPr>
          <w:p w14:paraId="3B3DDC23" w14:textId="77777777" w:rsidR="00C37E4E" w:rsidRPr="005F3E04" w:rsidRDefault="00C37E4E" w:rsidP="00C37E4E">
            <w:pPr>
              <w:pStyle w:val="TableText"/>
            </w:pPr>
            <w:r>
              <w:t>UA</w:t>
            </w:r>
          </w:p>
        </w:tc>
        <w:tc>
          <w:tcPr>
            <w:tcW w:w="695" w:type="dxa"/>
            <w:tcBorders>
              <w:bottom w:val="single" w:sz="4" w:space="0" w:color="auto"/>
            </w:tcBorders>
            <w:shd w:val="clear" w:color="auto" w:fill="FFFFFF" w:themeFill="background1"/>
            <w:vAlign w:val="center"/>
          </w:tcPr>
          <w:p w14:paraId="4F32FE7C" w14:textId="77777777" w:rsidR="00C37E4E" w:rsidRPr="005F3E04" w:rsidRDefault="00C37E4E" w:rsidP="00C37E4E">
            <w:pPr>
              <w:pStyle w:val="TableText"/>
            </w:pPr>
            <w:r>
              <w:t>A</w:t>
            </w:r>
          </w:p>
        </w:tc>
        <w:tc>
          <w:tcPr>
            <w:tcW w:w="680" w:type="dxa"/>
            <w:tcBorders>
              <w:top w:val="nil"/>
              <w:bottom w:val="nil"/>
            </w:tcBorders>
            <w:shd w:val="clear" w:color="auto" w:fill="FFFFFF" w:themeFill="background1"/>
          </w:tcPr>
          <w:p w14:paraId="7259B7BB" w14:textId="77777777" w:rsidR="00C37E4E" w:rsidRPr="005F3E04" w:rsidRDefault="00C37E4E" w:rsidP="00C37E4E">
            <w:pPr>
              <w:pStyle w:val="TableText"/>
            </w:pPr>
          </w:p>
        </w:tc>
        <w:tc>
          <w:tcPr>
            <w:tcW w:w="688" w:type="dxa"/>
            <w:tcBorders>
              <w:bottom w:val="single" w:sz="4" w:space="0" w:color="auto"/>
            </w:tcBorders>
            <w:shd w:val="clear" w:color="auto" w:fill="FFFFFF" w:themeFill="background1"/>
            <w:vAlign w:val="center"/>
          </w:tcPr>
          <w:p w14:paraId="76EA7538" w14:textId="77777777" w:rsidR="00C37E4E" w:rsidRPr="005F3E04" w:rsidRDefault="00C37E4E" w:rsidP="00C37E4E">
            <w:pPr>
              <w:pStyle w:val="TableText"/>
            </w:pPr>
            <w:r>
              <w:t>U</w:t>
            </w:r>
          </w:p>
        </w:tc>
        <w:tc>
          <w:tcPr>
            <w:tcW w:w="688" w:type="dxa"/>
            <w:tcBorders>
              <w:top w:val="nil"/>
              <w:bottom w:val="nil"/>
            </w:tcBorders>
            <w:shd w:val="clear" w:color="auto" w:fill="FFFFFF" w:themeFill="background1"/>
          </w:tcPr>
          <w:p w14:paraId="1B9FE1F4" w14:textId="77777777" w:rsidR="00C37E4E" w:rsidRPr="005F3E04" w:rsidRDefault="00C37E4E" w:rsidP="00C37E4E">
            <w:pPr>
              <w:pStyle w:val="TableText"/>
            </w:pPr>
          </w:p>
        </w:tc>
        <w:tc>
          <w:tcPr>
            <w:tcW w:w="663" w:type="dxa"/>
            <w:tcBorders>
              <w:bottom w:val="single" w:sz="4" w:space="0" w:color="auto"/>
            </w:tcBorders>
            <w:shd w:val="clear" w:color="auto" w:fill="FFFFFF" w:themeFill="background1"/>
            <w:vAlign w:val="center"/>
          </w:tcPr>
          <w:p w14:paraId="5FAC03D0" w14:textId="77777777" w:rsidR="00C37E4E" w:rsidRPr="005F3E04" w:rsidRDefault="00C37E4E" w:rsidP="00C37E4E">
            <w:pPr>
              <w:pStyle w:val="TableText"/>
            </w:pPr>
            <w:r>
              <w:t>U</w:t>
            </w:r>
          </w:p>
        </w:tc>
        <w:tc>
          <w:tcPr>
            <w:tcW w:w="712" w:type="dxa"/>
            <w:tcBorders>
              <w:top w:val="nil"/>
              <w:bottom w:val="nil"/>
              <w:right w:val="nil"/>
            </w:tcBorders>
            <w:shd w:val="clear" w:color="auto" w:fill="FFFFFF" w:themeFill="background1"/>
          </w:tcPr>
          <w:p w14:paraId="651B28EA" w14:textId="77777777" w:rsidR="00C37E4E" w:rsidRPr="005F3E04" w:rsidRDefault="00C37E4E" w:rsidP="00C37E4E">
            <w:pPr>
              <w:jc w:val="center"/>
              <w:rPr>
                <w:rFonts w:ascii="Franklin Gothic Book" w:hAnsi="Franklin Gothic Book"/>
                <w:sz w:val="16"/>
                <w:szCs w:val="16"/>
              </w:rPr>
            </w:pPr>
          </w:p>
        </w:tc>
      </w:tr>
      <w:tr w:rsidR="00C37E4E" w14:paraId="6EFCE28B" w14:textId="77777777" w:rsidTr="00236A57">
        <w:trPr>
          <w:trHeight w:val="20"/>
          <w:jc w:val="center"/>
        </w:trPr>
        <w:tc>
          <w:tcPr>
            <w:tcW w:w="1016" w:type="dxa"/>
            <w:tcBorders>
              <w:left w:val="nil"/>
            </w:tcBorders>
            <w:shd w:val="clear" w:color="auto" w:fill="FFFFFF" w:themeFill="background1"/>
            <w:vAlign w:val="center"/>
          </w:tcPr>
          <w:p w14:paraId="5FDDF87C" w14:textId="77777777" w:rsidR="00C37E4E" w:rsidRDefault="00C37E4E" w:rsidP="00C37E4E">
            <w:pPr>
              <w:pStyle w:val="TableText"/>
            </w:pPr>
            <w:r>
              <w:t>Yuba</w:t>
            </w:r>
          </w:p>
        </w:tc>
        <w:tc>
          <w:tcPr>
            <w:tcW w:w="620" w:type="dxa"/>
            <w:shd w:val="clear" w:color="auto" w:fill="FFFFFF" w:themeFill="background1"/>
            <w:vAlign w:val="center"/>
          </w:tcPr>
          <w:p w14:paraId="61929379" w14:textId="77777777" w:rsidR="00C37E4E" w:rsidRPr="005F3E04" w:rsidRDefault="00C37E4E" w:rsidP="00C37E4E">
            <w:pPr>
              <w:pStyle w:val="TableText"/>
            </w:pPr>
            <w:r>
              <w:t>N</w:t>
            </w:r>
          </w:p>
        </w:tc>
        <w:tc>
          <w:tcPr>
            <w:tcW w:w="665" w:type="dxa"/>
            <w:shd w:val="clear" w:color="auto" w:fill="FFFFFF" w:themeFill="background1"/>
            <w:vAlign w:val="center"/>
          </w:tcPr>
          <w:p w14:paraId="4F306E69" w14:textId="77777777" w:rsidR="00C37E4E" w:rsidRPr="005F3E04" w:rsidRDefault="00C37E4E" w:rsidP="00C37E4E">
            <w:pPr>
              <w:pStyle w:val="TableText"/>
            </w:pPr>
            <w:r>
              <w:t>AU</w:t>
            </w:r>
          </w:p>
        </w:tc>
        <w:tc>
          <w:tcPr>
            <w:tcW w:w="600" w:type="dxa"/>
            <w:shd w:val="clear" w:color="auto" w:fill="FFFFFF" w:themeFill="background1"/>
            <w:vAlign w:val="center"/>
          </w:tcPr>
          <w:p w14:paraId="100889BD" w14:textId="77777777" w:rsidR="00C37E4E" w:rsidRPr="005F3E04" w:rsidRDefault="00C37E4E" w:rsidP="00C37E4E">
            <w:pPr>
              <w:pStyle w:val="TableText"/>
            </w:pPr>
            <w:r>
              <w:t>U</w:t>
            </w:r>
          </w:p>
        </w:tc>
        <w:tc>
          <w:tcPr>
            <w:tcW w:w="600" w:type="dxa"/>
            <w:shd w:val="clear" w:color="auto" w:fill="FFFFFF" w:themeFill="background1"/>
            <w:vAlign w:val="center"/>
          </w:tcPr>
          <w:p w14:paraId="3298D81A" w14:textId="77777777" w:rsidR="00C37E4E" w:rsidRPr="005F3E04" w:rsidRDefault="00C37E4E" w:rsidP="00C37E4E">
            <w:pPr>
              <w:pStyle w:val="TableText"/>
            </w:pPr>
            <w:r>
              <w:t>UA</w:t>
            </w:r>
          </w:p>
        </w:tc>
        <w:tc>
          <w:tcPr>
            <w:tcW w:w="600" w:type="dxa"/>
            <w:shd w:val="clear" w:color="auto" w:fill="FFFFFF" w:themeFill="background1"/>
            <w:vAlign w:val="center"/>
          </w:tcPr>
          <w:p w14:paraId="2CA71904" w14:textId="77777777" w:rsidR="00C37E4E" w:rsidRPr="005F3E04" w:rsidRDefault="00C37E4E" w:rsidP="00C37E4E">
            <w:pPr>
              <w:pStyle w:val="TableText"/>
            </w:pPr>
            <w:r>
              <w:t>A</w:t>
            </w:r>
          </w:p>
        </w:tc>
        <w:tc>
          <w:tcPr>
            <w:tcW w:w="600" w:type="dxa"/>
            <w:shd w:val="clear" w:color="auto" w:fill="FFFFFF" w:themeFill="background1"/>
            <w:vAlign w:val="center"/>
          </w:tcPr>
          <w:p w14:paraId="21777171" w14:textId="77777777" w:rsidR="00C37E4E" w:rsidRPr="005F3E04" w:rsidRDefault="00C37E4E" w:rsidP="00C37E4E">
            <w:pPr>
              <w:pStyle w:val="TableText"/>
            </w:pPr>
            <w:r>
              <w:t>UA</w:t>
            </w:r>
          </w:p>
        </w:tc>
        <w:tc>
          <w:tcPr>
            <w:tcW w:w="599" w:type="dxa"/>
            <w:shd w:val="clear" w:color="auto" w:fill="FFFFFF" w:themeFill="background1"/>
            <w:vAlign w:val="center"/>
          </w:tcPr>
          <w:p w14:paraId="7E47BE5C" w14:textId="77777777" w:rsidR="00C37E4E" w:rsidRPr="005F3E04" w:rsidRDefault="00C37E4E" w:rsidP="00C37E4E">
            <w:pPr>
              <w:pStyle w:val="TableText"/>
            </w:pPr>
            <w:r>
              <w:t>A</w:t>
            </w:r>
          </w:p>
        </w:tc>
        <w:tc>
          <w:tcPr>
            <w:tcW w:w="599" w:type="dxa"/>
            <w:shd w:val="clear" w:color="auto" w:fill="FFFFFF" w:themeFill="background1"/>
            <w:vAlign w:val="center"/>
          </w:tcPr>
          <w:p w14:paraId="215EC61C" w14:textId="77777777" w:rsidR="00C37E4E" w:rsidRPr="005F3E04" w:rsidRDefault="00C37E4E" w:rsidP="00C37E4E">
            <w:pPr>
              <w:pStyle w:val="TableText"/>
            </w:pPr>
            <w:r>
              <w:t>UA</w:t>
            </w:r>
          </w:p>
        </w:tc>
        <w:tc>
          <w:tcPr>
            <w:tcW w:w="599" w:type="dxa"/>
            <w:shd w:val="clear" w:color="auto" w:fill="FFFFFF" w:themeFill="background1"/>
            <w:vAlign w:val="center"/>
          </w:tcPr>
          <w:p w14:paraId="4BE2EF39" w14:textId="77777777" w:rsidR="00C37E4E" w:rsidRPr="005F3E04" w:rsidRDefault="00C37E4E" w:rsidP="00C37E4E">
            <w:pPr>
              <w:pStyle w:val="TableText"/>
            </w:pPr>
            <w:r>
              <w:t>N</w:t>
            </w:r>
          </w:p>
        </w:tc>
        <w:tc>
          <w:tcPr>
            <w:tcW w:w="599" w:type="dxa"/>
            <w:shd w:val="clear" w:color="auto" w:fill="FFFFFF" w:themeFill="background1"/>
            <w:vAlign w:val="center"/>
          </w:tcPr>
          <w:p w14:paraId="5C002962" w14:textId="77777777" w:rsidR="00C37E4E" w:rsidRPr="005F3E04" w:rsidRDefault="00C37E4E" w:rsidP="00C37E4E">
            <w:pPr>
              <w:pStyle w:val="TableText"/>
            </w:pPr>
            <w:r>
              <w:t>U</w:t>
            </w:r>
          </w:p>
        </w:tc>
        <w:tc>
          <w:tcPr>
            <w:tcW w:w="599" w:type="dxa"/>
            <w:shd w:val="clear" w:color="auto" w:fill="FFFFFF" w:themeFill="background1"/>
            <w:vAlign w:val="center"/>
          </w:tcPr>
          <w:p w14:paraId="0D407FFA" w14:textId="77777777" w:rsidR="00C37E4E" w:rsidRPr="005F3E04" w:rsidRDefault="00C37E4E" w:rsidP="00C37E4E">
            <w:pPr>
              <w:pStyle w:val="TableText"/>
            </w:pPr>
            <w:r>
              <w:t>A</w:t>
            </w:r>
          </w:p>
        </w:tc>
        <w:tc>
          <w:tcPr>
            <w:tcW w:w="599" w:type="dxa"/>
            <w:shd w:val="clear" w:color="auto" w:fill="FFFFFF" w:themeFill="background1"/>
            <w:vAlign w:val="center"/>
          </w:tcPr>
          <w:p w14:paraId="7E7A5875" w14:textId="77777777" w:rsidR="00C37E4E" w:rsidRPr="005F3E04" w:rsidRDefault="00C37E4E" w:rsidP="00C37E4E">
            <w:pPr>
              <w:pStyle w:val="TableText"/>
            </w:pPr>
            <w:r>
              <w:t>UA</w:t>
            </w:r>
          </w:p>
        </w:tc>
        <w:tc>
          <w:tcPr>
            <w:tcW w:w="614" w:type="dxa"/>
            <w:shd w:val="clear" w:color="auto" w:fill="FFFFFF" w:themeFill="background1"/>
            <w:vAlign w:val="center"/>
          </w:tcPr>
          <w:p w14:paraId="36A07B03" w14:textId="77777777" w:rsidR="00C37E4E" w:rsidRPr="005F3E04" w:rsidRDefault="00C37E4E" w:rsidP="00C37E4E">
            <w:pPr>
              <w:pStyle w:val="TableText"/>
            </w:pPr>
            <w:r>
              <w:t>A</w:t>
            </w:r>
          </w:p>
        </w:tc>
        <w:tc>
          <w:tcPr>
            <w:tcW w:w="646" w:type="dxa"/>
            <w:shd w:val="clear" w:color="auto" w:fill="FFFFFF" w:themeFill="background1"/>
            <w:vAlign w:val="center"/>
          </w:tcPr>
          <w:p w14:paraId="459BFB54" w14:textId="77777777" w:rsidR="00C37E4E" w:rsidRPr="005F3E04" w:rsidRDefault="00C37E4E" w:rsidP="00C37E4E">
            <w:pPr>
              <w:pStyle w:val="TableText"/>
            </w:pPr>
            <w:r>
              <w:t>UA</w:t>
            </w:r>
          </w:p>
        </w:tc>
        <w:tc>
          <w:tcPr>
            <w:tcW w:w="695" w:type="dxa"/>
            <w:shd w:val="clear" w:color="auto" w:fill="FFFFFF" w:themeFill="background1"/>
            <w:vAlign w:val="center"/>
          </w:tcPr>
          <w:p w14:paraId="0C05AC2C" w14:textId="77777777" w:rsidR="00C37E4E" w:rsidRPr="005F3E04" w:rsidRDefault="00C37E4E" w:rsidP="00C37E4E">
            <w:pPr>
              <w:pStyle w:val="TableText"/>
            </w:pPr>
            <w:r>
              <w:t>A</w:t>
            </w:r>
          </w:p>
        </w:tc>
        <w:tc>
          <w:tcPr>
            <w:tcW w:w="680" w:type="dxa"/>
            <w:tcBorders>
              <w:top w:val="nil"/>
            </w:tcBorders>
            <w:shd w:val="clear" w:color="auto" w:fill="FFFFFF" w:themeFill="background1"/>
          </w:tcPr>
          <w:p w14:paraId="50AAC19D" w14:textId="77777777" w:rsidR="00C37E4E" w:rsidRPr="005F3E04" w:rsidRDefault="00C37E4E" w:rsidP="00C37E4E">
            <w:pPr>
              <w:pStyle w:val="TableText"/>
            </w:pPr>
          </w:p>
        </w:tc>
        <w:tc>
          <w:tcPr>
            <w:tcW w:w="688" w:type="dxa"/>
            <w:shd w:val="clear" w:color="auto" w:fill="FFFFFF" w:themeFill="background1"/>
            <w:vAlign w:val="center"/>
          </w:tcPr>
          <w:p w14:paraId="41D295A0" w14:textId="77777777" w:rsidR="00C37E4E" w:rsidRPr="005F3E04" w:rsidRDefault="00C37E4E" w:rsidP="00C37E4E">
            <w:pPr>
              <w:pStyle w:val="TableText"/>
            </w:pPr>
            <w:r>
              <w:t>U</w:t>
            </w:r>
          </w:p>
        </w:tc>
        <w:tc>
          <w:tcPr>
            <w:tcW w:w="688" w:type="dxa"/>
            <w:tcBorders>
              <w:top w:val="nil"/>
            </w:tcBorders>
            <w:shd w:val="clear" w:color="auto" w:fill="FFFFFF" w:themeFill="background1"/>
          </w:tcPr>
          <w:p w14:paraId="46C3030D" w14:textId="77777777" w:rsidR="00C37E4E" w:rsidRPr="005F3E04" w:rsidRDefault="00C37E4E" w:rsidP="00C37E4E">
            <w:pPr>
              <w:pStyle w:val="TableText"/>
            </w:pPr>
          </w:p>
        </w:tc>
        <w:tc>
          <w:tcPr>
            <w:tcW w:w="663" w:type="dxa"/>
            <w:shd w:val="clear" w:color="auto" w:fill="FFFFFF" w:themeFill="background1"/>
            <w:vAlign w:val="center"/>
          </w:tcPr>
          <w:p w14:paraId="4258E117" w14:textId="77777777" w:rsidR="00C37E4E" w:rsidRPr="005F3E04" w:rsidRDefault="00C37E4E" w:rsidP="00C37E4E">
            <w:pPr>
              <w:pStyle w:val="TableText"/>
            </w:pPr>
            <w:r>
              <w:t>U</w:t>
            </w:r>
          </w:p>
        </w:tc>
        <w:tc>
          <w:tcPr>
            <w:tcW w:w="712" w:type="dxa"/>
            <w:tcBorders>
              <w:top w:val="nil"/>
              <w:right w:val="nil"/>
            </w:tcBorders>
            <w:shd w:val="clear" w:color="auto" w:fill="FFFFFF" w:themeFill="background1"/>
          </w:tcPr>
          <w:p w14:paraId="66C00140" w14:textId="77777777" w:rsidR="00C37E4E" w:rsidRPr="005F3E04" w:rsidRDefault="00C37E4E" w:rsidP="00C37E4E">
            <w:pPr>
              <w:jc w:val="center"/>
              <w:rPr>
                <w:rFonts w:ascii="Franklin Gothic Book" w:hAnsi="Franklin Gothic Book"/>
                <w:sz w:val="16"/>
                <w:szCs w:val="16"/>
              </w:rPr>
            </w:pPr>
          </w:p>
        </w:tc>
      </w:tr>
    </w:tbl>
    <w:p w14:paraId="3BDAA698" w14:textId="77777777" w:rsidR="00C37E4E" w:rsidRDefault="00C37E4E" w:rsidP="00C37E4E">
      <w:pPr>
        <w:pStyle w:val="TableSource"/>
      </w:pPr>
      <w:r>
        <w:t xml:space="preserve">Notes: </w:t>
      </w:r>
      <w:r w:rsidRPr="00097857">
        <w:t>NO</w:t>
      </w:r>
      <w:r>
        <w:rPr>
          <w:vertAlign w:val="subscript"/>
        </w:rPr>
        <w:t>2</w:t>
      </w:r>
      <w:r w:rsidRPr="00097857">
        <w:t xml:space="preserve"> = nitrogen</w:t>
      </w:r>
      <w:r>
        <w:t xml:space="preserve"> dioxide; SO</w:t>
      </w:r>
      <w:r>
        <w:rPr>
          <w:vertAlign w:val="subscript"/>
        </w:rPr>
        <w:t>2</w:t>
      </w:r>
      <w:r>
        <w:t xml:space="preserve"> = sulfur dioxide; PM</w:t>
      </w:r>
      <w:r>
        <w:rPr>
          <w:vertAlign w:val="subscript"/>
        </w:rPr>
        <w:t>10</w:t>
      </w:r>
      <w:r>
        <w:t xml:space="preserve"> = respirable particulate matter; PM</w:t>
      </w:r>
      <w:r>
        <w:rPr>
          <w:vertAlign w:val="subscript"/>
        </w:rPr>
        <w:t>2.5</w:t>
      </w:r>
      <w:r>
        <w:t xml:space="preserve"> = fine particulate matter; CAAQS = California ambient air quality standards; NAAQS = national ambient air quality standards; A=Attainment, N=Nonattainment, N-T=Nonattainment/Transitional, U=Unclassified (CAAQS), UA=Unclassified/Attainment (NAAQS)</w:t>
      </w:r>
    </w:p>
    <w:p w14:paraId="4E35DFC6" w14:textId="06245746" w:rsidR="00C37E4E" w:rsidRPr="004012CD" w:rsidRDefault="00C37E4E" w:rsidP="00335804">
      <w:pPr>
        <w:pStyle w:val="TableSource"/>
        <w:ind w:left="180" w:hanging="180"/>
      </w:pPr>
      <w:r>
        <w:rPr>
          <w:vertAlign w:val="superscript"/>
        </w:rPr>
        <w:t>1</w:t>
      </w:r>
      <w:r w:rsidR="00335804">
        <w:rPr>
          <w:vertAlign w:val="superscript"/>
        </w:rPr>
        <w:t>.</w:t>
      </w:r>
      <w:r w:rsidR="00335804">
        <w:rPr>
          <w:vertAlign w:val="superscript"/>
        </w:rPr>
        <w:tab/>
      </w:r>
      <w:r>
        <w:t>The eastern portion of El Dorado County (Lake Tahoe Air Basin) is in attainment for the CAAQS and NAAQS for ozone, PM</w:t>
      </w:r>
      <w:r>
        <w:rPr>
          <w:vertAlign w:val="subscript"/>
        </w:rPr>
        <w:t>2.5</w:t>
      </w:r>
      <w:r>
        <w:t>, and PM</w:t>
      </w:r>
      <w:r>
        <w:rPr>
          <w:vertAlign w:val="subscript"/>
        </w:rPr>
        <w:t>10</w:t>
      </w:r>
      <w:r>
        <w:t>; however, the western portion (Mountain Counties Air Basin) is in nonattainment for ozone and unclassified for PM</w:t>
      </w:r>
      <w:r>
        <w:rPr>
          <w:vertAlign w:val="subscript"/>
        </w:rPr>
        <w:t>10</w:t>
      </w:r>
      <w:r>
        <w:t>. A fraction of the County located in the Mountain Counties Air Basin is also in nonattainment for the PM</w:t>
      </w:r>
      <w:r>
        <w:rPr>
          <w:vertAlign w:val="subscript"/>
        </w:rPr>
        <w:t>2.5</w:t>
      </w:r>
      <w:r>
        <w:t xml:space="preserve"> NAAQS. </w:t>
      </w:r>
    </w:p>
    <w:p w14:paraId="03D67E82" w14:textId="1E31F681" w:rsidR="00C37E4E" w:rsidRPr="00C12FF2" w:rsidRDefault="00C37E4E" w:rsidP="00335804">
      <w:pPr>
        <w:pStyle w:val="TableSource"/>
        <w:ind w:left="180" w:hanging="180"/>
      </w:pPr>
      <w:r>
        <w:rPr>
          <w:vertAlign w:val="superscript"/>
        </w:rPr>
        <w:t>2</w:t>
      </w:r>
      <w:r w:rsidR="00335804">
        <w:rPr>
          <w:vertAlign w:val="superscript"/>
        </w:rPr>
        <w:t>.</w:t>
      </w:r>
      <w:r w:rsidR="00335804">
        <w:tab/>
      </w:r>
      <w:r>
        <w:t>Owen’s Valley in Inyo County is designated as nonattainment for the PM</w:t>
      </w:r>
      <w:r>
        <w:rPr>
          <w:vertAlign w:val="subscript"/>
        </w:rPr>
        <w:t>10</w:t>
      </w:r>
      <w:r>
        <w:t xml:space="preserve"> NAAQS, the </w:t>
      </w:r>
      <w:proofErr w:type="spellStart"/>
      <w:r>
        <w:t>Coso</w:t>
      </w:r>
      <w:proofErr w:type="spellEnd"/>
      <w:r>
        <w:t xml:space="preserve"> Junction portion of Inyo County is in attainment for the PM</w:t>
      </w:r>
      <w:r>
        <w:rPr>
          <w:vertAlign w:val="subscript"/>
        </w:rPr>
        <w:t>10</w:t>
      </w:r>
      <w:r>
        <w:t xml:space="preserve"> NAAQS, and the remainder of Inyo County is unclassified. </w:t>
      </w:r>
    </w:p>
    <w:p w14:paraId="56BFF0F4" w14:textId="556EE5B9" w:rsidR="00C37E4E" w:rsidRPr="002D5496" w:rsidRDefault="00C37E4E" w:rsidP="00335804">
      <w:pPr>
        <w:pStyle w:val="TableSource"/>
        <w:ind w:left="180" w:hanging="180"/>
      </w:pPr>
      <w:r>
        <w:rPr>
          <w:vertAlign w:val="superscript"/>
        </w:rPr>
        <w:t>3</w:t>
      </w:r>
      <w:r w:rsidR="00335804">
        <w:rPr>
          <w:vertAlign w:val="superscript"/>
        </w:rPr>
        <w:t>.</w:t>
      </w:r>
      <w:r w:rsidR="00335804">
        <w:rPr>
          <w:vertAlign w:val="superscript"/>
        </w:rPr>
        <w:tab/>
      </w:r>
      <w:r>
        <w:t>The eastern portion of Kern County (Mojave Air Basin) is unclassified for the CAAQS for PM</w:t>
      </w:r>
      <w:r>
        <w:rPr>
          <w:vertAlign w:val="subscript"/>
        </w:rPr>
        <w:t>2.5</w:t>
      </w:r>
      <w:r>
        <w:t>; however, the western portion (San Joaquin Valley Air Basin) is in nonattainment. The Mojave Air Basin portion is both classified as nonattainment and unclassified for the PM</w:t>
      </w:r>
      <w:r>
        <w:rPr>
          <w:vertAlign w:val="subscript"/>
        </w:rPr>
        <w:t>10</w:t>
      </w:r>
      <w:r>
        <w:t xml:space="preserve"> NAAQS and the San Joaquin Valley Air Basin is in attainment for the PM</w:t>
      </w:r>
      <w:r>
        <w:rPr>
          <w:vertAlign w:val="subscript"/>
        </w:rPr>
        <w:t>10</w:t>
      </w:r>
      <w:r>
        <w:t xml:space="preserve"> and PM</w:t>
      </w:r>
      <w:r>
        <w:rPr>
          <w:vertAlign w:val="subscript"/>
        </w:rPr>
        <w:t>2.5</w:t>
      </w:r>
      <w:r>
        <w:t xml:space="preserve"> NAAQS.</w:t>
      </w:r>
    </w:p>
    <w:p w14:paraId="1C8BB588" w14:textId="0499D9C9" w:rsidR="00C37E4E" w:rsidRPr="003F43D2" w:rsidRDefault="00C37E4E" w:rsidP="00335804">
      <w:pPr>
        <w:pStyle w:val="TableSource"/>
        <w:ind w:left="180" w:hanging="180"/>
      </w:pPr>
      <w:r>
        <w:rPr>
          <w:vertAlign w:val="superscript"/>
        </w:rPr>
        <w:t>4</w:t>
      </w:r>
      <w:r w:rsidR="00335804">
        <w:rPr>
          <w:vertAlign w:val="superscript"/>
        </w:rPr>
        <w:t>.</w:t>
      </w:r>
      <w:r w:rsidR="00335804">
        <w:rPr>
          <w:vertAlign w:val="superscript"/>
        </w:rPr>
        <w:tab/>
      </w:r>
      <w:r>
        <w:t>The northern portion of Los Angeles County (Mojave Air Basin) is unclassified and unclassified/attainment for the PM</w:t>
      </w:r>
      <w:r>
        <w:rPr>
          <w:vertAlign w:val="subscript"/>
        </w:rPr>
        <w:t>2.5</w:t>
      </w:r>
      <w:r>
        <w:t xml:space="preserve"> CAAQS and NAAQS, respectively; however, the southern portion (South Coast Air Basin) is in nonattainment for both the CAAQS and NAAQS. </w:t>
      </w:r>
    </w:p>
    <w:p w14:paraId="36BFE3AB" w14:textId="382546F7" w:rsidR="00C37E4E" w:rsidRPr="00B227EE" w:rsidRDefault="00C37E4E" w:rsidP="00335804">
      <w:pPr>
        <w:pStyle w:val="TableSource"/>
        <w:ind w:left="180" w:hanging="180"/>
      </w:pPr>
      <w:r>
        <w:rPr>
          <w:vertAlign w:val="superscript"/>
        </w:rPr>
        <w:t>5</w:t>
      </w:r>
      <w:r w:rsidR="00335804">
        <w:rPr>
          <w:vertAlign w:val="superscript"/>
        </w:rPr>
        <w:t>.</w:t>
      </w:r>
      <w:r w:rsidR="00335804">
        <w:rPr>
          <w:vertAlign w:val="superscript"/>
        </w:rPr>
        <w:tab/>
      </w:r>
      <w:r>
        <w:t>The eastern portion of Placer County (Lake Tahoe Air Basin) is in attainment for the CAAQS and NAAQS for ozone; however, the western portion (Sacramento Valley Air Basin and Mountain Counties Air Basin) is in nonattainment for ozone. The far western portion (Sacramento Valley Air Basin) and far eastern portion (Lake Tahoe Air Basin) is in attainment the PM</w:t>
      </w:r>
      <w:r>
        <w:rPr>
          <w:vertAlign w:val="subscript"/>
        </w:rPr>
        <w:t xml:space="preserve">2.5 </w:t>
      </w:r>
      <w:r>
        <w:t xml:space="preserve">CAAQS, </w:t>
      </w:r>
      <w:r w:rsidRPr="00F14516">
        <w:t>and</w:t>
      </w:r>
      <w:r>
        <w:t xml:space="preserve"> the middle portion (Mountain Counties Air Basin) is designated unclassified for the PM</w:t>
      </w:r>
      <w:r>
        <w:rPr>
          <w:vertAlign w:val="subscript"/>
        </w:rPr>
        <w:t>2.5</w:t>
      </w:r>
      <w:r>
        <w:t xml:space="preserve"> CAAQS. The far western portion (Sacramento Valley Air Basin) is also in nonattainment for the PM</w:t>
      </w:r>
      <w:r>
        <w:rPr>
          <w:vertAlign w:val="subscript"/>
        </w:rPr>
        <w:t>2.5</w:t>
      </w:r>
      <w:r>
        <w:t xml:space="preserve"> NAAQS. </w:t>
      </w:r>
    </w:p>
    <w:p w14:paraId="7A8DF8F9" w14:textId="50A7DDAC" w:rsidR="00C37E4E" w:rsidRPr="00B227EE" w:rsidRDefault="00C37E4E" w:rsidP="00335804">
      <w:pPr>
        <w:pStyle w:val="TableSource"/>
        <w:ind w:left="180" w:hanging="180"/>
      </w:pPr>
      <w:r>
        <w:rPr>
          <w:vertAlign w:val="superscript"/>
        </w:rPr>
        <w:t>6</w:t>
      </w:r>
      <w:r w:rsidR="00335804">
        <w:rPr>
          <w:vertAlign w:val="superscript"/>
        </w:rPr>
        <w:tab/>
      </w:r>
      <w:r>
        <w:t>The western portion of Riverside County (South Coast Air Basin) is in nonattainment for the PM</w:t>
      </w:r>
      <w:r>
        <w:rPr>
          <w:vertAlign w:val="subscript"/>
        </w:rPr>
        <w:t>2.5</w:t>
      </w:r>
      <w:r>
        <w:t xml:space="preserve"> CAAQS and NAAQS and the ozone NAAQS, the middle portion of Riverside County (Salton Sea Air Basin) is designated as unclassified for PM</w:t>
      </w:r>
      <w:r>
        <w:rPr>
          <w:vertAlign w:val="subscript"/>
        </w:rPr>
        <w:t>2.5</w:t>
      </w:r>
      <w:r>
        <w:t xml:space="preserve"> for the CAAQS and nonattainment for the ozone NAAQS, and the eastern portion (Mojave Desert Air Basin) is designated as attainment for PM</w:t>
      </w:r>
      <w:r>
        <w:rPr>
          <w:vertAlign w:val="subscript"/>
        </w:rPr>
        <w:t xml:space="preserve">2.5 </w:t>
      </w:r>
      <w:r>
        <w:t>for the CAAQS and the ozone NAAQS</w:t>
      </w:r>
      <w:r>
        <w:rPr>
          <w:vertAlign w:val="subscript"/>
        </w:rPr>
        <w:t xml:space="preserve">. </w:t>
      </w:r>
    </w:p>
    <w:p w14:paraId="33957134" w14:textId="358952D4" w:rsidR="00C37E4E" w:rsidRPr="00B227EE" w:rsidRDefault="00C37E4E" w:rsidP="00335804">
      <w:pPr>
        <w:pStyle w:val="TableSource"/>
        <w:ind w:left="180" w:hanging="180"/>
      </w:pPr>
      <w:r>
        <w:rPr>
          <w:vertAlign w:val="superscript"/>
        </w:rPr>
        <w:t>7</w:t>
      </w:r>
      <w:r w:rsidR="00335804">
        <w:rPr>
          <w:vertAlign w:val="superscript"/>
        </w:rPr>
        <w:t>.</w:t>
      </w:r>
      <w:r w:rsidR="00335804">
        <w:rPr>
          <w:vertAlign w:val="superscript"/>
        </w:rPr>
        <w:tab/>
      </w:r>
      <w:r>
        <w:t>The northeastern portion of San Bernardino is designated as unclassified for PM</w:t>
      </w:r>
      <w:r>
        <w:rPr>
          <w:vertAlign w:val="subscript"/>
        </w:rPr>
        <w:t>2.5</w:t>
      </w:r>
      <w:r>
        <w:t xml:space="preserve"> for the CAAQS and the “County Portion of Federal Ozone AQMA” of San Bernardino is in attainment for the CAAQS PM</w:t>
      </w:r>
      <w:r>
        <w:rPr>
          <w:vertAlign w:val="subscript"/>
        </w:rPr>
        <w:softHyphen/>
        <w:t>2.5</w:t>
      </w:r>
      <w:r>
        <w:t xml:space="preserve">. </w:t>
      </w:r>
    </w:p>
    <w:p w14:paraId="07249E67" w14:textId="28972ABF" w:rsidR="00C37E4E" w:rsidRDefault="00C37E4E" w:rsidP="00335804">
      <w:pPr>
        <w:pStyle w:val="TableSource"/>
        <w:ind w:left="180" w:hanging="180"/>
      </w:pPr>
      <w:r>
        <w:rPr>
          <w:vertAlign w:val="superscript"/>
        </w:rPr>
        <w:t>8</w:t>
      </w:r>
      <w:r w:rsidR="00335804">
        <w:rPr>
          <w:vertAlign w:val="superscript"/>
        </w:rPr>
        <w:t>.</w:t>
      </w:r>
      <w:r w:rsidR="00335804">
        <w:rPr>
          <w:vertAlign w:val="superscript"/>
        </w:rPr>
        <w:tab/>
      </w:r>
      <w:r>
        <w:t>The northwest portion of Sonoma County (North Coast Air Basin) is in attainment for the CAAQS and NAAQs for ozone, PM</w:t>
      </w:r>
      <w:r>
        <w:rPr>
          <w:vertAlign w:val="subscript"/>
        </w:rPr>
        <w:t>2.5</w:t>
      </w:r>
      <w:r>
        <w:t>, and PM</w:t>
      </w:r>
      <w:r>
        <w:rPr>
          <w:vertAlign w:val="subscript"/>
        </w:rPr>
        <w:t>10</w:t>
      </w:r>
      <w:r>
        <w:t>; however, the southeast portion (San Francisco Bay Area Air Basin) is in nonattainment for these pollutants for the CAAQS and NAAQS.</w:t>
      </w:r>
    </w:p>
    <w:p w14:paraId="22DD85F9" w14:textId="77777777" w:rsidR="00C37E4E" w:rsidRPr="00980D5B" w:rsidRDefault="00C37E4E" w:rsidP="00335804">
      <w:pPr>
        <w:pStyle w:val="TableSource"/>
      </w:pPr>
      <w:r>
        <w:t>Source: CARB 2018a</w:t>
      </w:r>
    </w:p>
    <w:p w14:paraId="3BA34961" w14:textId="3EAE09A6" w:rsidR="00C37E4E" w:rsidRDefault="00C37E4E" w:rsidP="00071BAB">
      <w:pPr>
        <w:pStyle w:val="BodyText"/>
        <w:sectPr w:rsidR="00C37E4E" w:rsidSect="00071BAB">
          <w:headerReference w:type="even" r:id="rId23"/>
          <w:headerReference w:type="default" r:id="rId24"/>
          <w:footerReference w:type="even" r:id="rId25"/>
          <w:footerReference w:type="default" r:id="rId26"/>
          <w:pgSz w:w="15840" w:h="12240" w:orient="landscape" w:code="1"/>
          <w:pgMar w:top="1080" w:right="1080" w:bottom="1080" w:left="1080" w:header="576" w:footer="576" w:gutter="0"/>
          <w:pgNumType w:chapStyle="2"/>
          <w:cols w:space="720"/>
          <w:docGrid w:linePitch="360"/>
        </w:sectPr>
      </w:pPr>
    </w:p>
    <w:p w14:paraId="131883EE" w14:textId="741032D8" w:rsidR="00444E5E" w:rsidRPr="00662D61" w:rsidRDefault="00444E5E" w:rsidP="00444E5E">
      <w:pPr>
        <w:pStyle w:val="Heading5"/>
      </w:pPr>
      <w:r w:rsidRPr="00662D61">
        <w:lastRenderedPageBreak/>
        <w:t>Ultrafine Particulate Matter</w:t>
      </w:r>
    </w:p>
    <w:p w14:paraId="2E89F29E" w14:textId="0EEF2815" w:rsidR="00444E5E" w:rsidRDefault="00444E5E" w:rsidP="00444E5E">
      <w:pPr>
        <w:pStyle w:val="BodyText"/>
      </w:pPr>
      <w:r w:rsidRPr="00662D61">
        <w:t xml:space="preserve">More recently, ultrafine particulate matter (UFP) has become a </w:t>
      </w:r>
      <w:r w:rsidR="00EA7DDC">
        <w:t>topic</w:t>
      </w:r>
      <w:r w:rsidRPr="00662D61">
        <w:t xml:space="preserve"> of greater concern. UFP refers to a subfraction of currently regulated PM</w:t>
      </w:r>
      <w:r w:rsidRPr="00662D61">
        <w:rPr>
          <w:vertAlign w:val="subscript"/>
        </w:rPr>
        <w:t>2.5</w:t>
      </w:r>
      <w:r w:rsidRPr="00662D61">
        <w:t xml:space="preserve"> and PM</w:t>
      </w:r>
      <w:r w:rsidRPr="00662D61">
        <w:rPr>
          <w:vertAlign w:val="subscript"/>
        </w:rPr>
        <w:t>10</w:t>
      </w:r>
      <w:r w:rsidRPr="00662D61">
        <w:t xml:space="preserve"> size particles. UFP is most often defined as particles with an aerodynamic diameter of 0.1 microns or smaller. Although UPF </w:t>
      </w:r>
      <w:r>
        <w:t xml:space="preserve">consists of </w:t>
      </w:r>
      <w:r w:rsidRPr="00662D61">
        <w:t xml:space="preserve">only a small fraction of total PM emissions, </w:t>
      </w:r>
      <w:r>
        <w:t xml:space="preserve">UFP </w:t>
      </w:r>
      <w:r w:rsidRPr="00662D61">
        <w:t>support</w:t>
      </w:r>
      <w:r>
        <w:t>s</w:t>
      </w:r>
      <w:r w:rsidRPr="00662D61">
        <w:t xml:space="preserve"> a large surface area and </w:t>
      </w:r>
      <w:r>
        <w:t xml:space="preserve">is </w:t>
      </w:r>
      <w:r w:rsidRPr="00662D61">
        <w:t>often heavily concentrated. Because of its small size, a given mass of UFP contains thousands to tens of thousands more particles. Moreover,</w:t>
      </w:r>
      <w:r>
        <w:t xml:space="preserve"> also</w:t>
      </w:r>
      <w:r w:rsidRPr="00662D61">
        <w:t xml:space="preserve"> because of its size, UPF is highly penetrative to human tissues as compared to PM</w:t>
      </w:r>
      <w:r w:rsidRPr="00662D61">
        <w:rPr>
          <w:vertAlign w:val="subscript"/>
        </w:rPr>
        <w:t>10</w:t>
      </w:r>
      <w:r w:rsidRPr="00662D61">
        <w:t xml:space="preserve"> and PM</w:t>
      </w:r>
      <w:r w:rsidRPr="00662D61">
        <w:rPr>
          <w:vertAlign w:val="subscript"/>
        </w:rPr>
        <w:t>2.5</w:t>
      </w:r>
      <w:r w:rsidRPr="00662D61">
        <w:t xml:space="preserve">. Observed human health effects in selected studies include lung function changes, airway inflammation, enhanced allergic responses, vascular thrombogenic effects, altered endothelial function, altered heart rate and heart rate variability, accelerated atherosclerosis, and increased markers of brain </w:t>
      </w:r>
      <w:r w:rsidRPr="00323877">
        <w:t>inflammation (Health Effects Institute 2013:3, 36, 39, 45, and 65).</w:t>
      </w:r>
      <w:r w:rsidRPr="00662D61">
        <w:t xml:space="preserve"> The predominant source of UFP is combustion by on-road vehicles, off-road vehicles, stationary sources, and vegetation burning (Health Effects Institute 2013:1, CARB 2006:3, </w:t>
      </w:r>
      <w:proofErr w:type="spellStart"/>
      <w:r w:rsidRPr="00662D61">
        <w:t>Kleeman</w:t>
      </w:r>
      <w:proofErr w:type="spellEnd"/>
      <w:r w:rsidRPr="00662D61">
        <w:t xml:space="preserve"> et al. 2007:1, and Black et al. 2017a). </w:t>
      </w:r>
    </w:p>
    <w:p w14:paraId="6232C4C0" w14:textId="3538D6A5" w:rsidR="0066684B" w:rsidRPr="00AA3AAB" w:rsidRDefault="0066684B" w:rsidP="0066684B">
      <w:pPr>
        <w:pStyle w:val="Heading5"/>
      </w:pPr>
      <w:r>
        <w:t>Criteria Air Pollutant</w:t>
      </w:r>
      <w:r w:rsidR="00770507">
        <w:t xml:space="preserve"> Emission</w:t>
      </w:r>
      <w:r>
        <w:t>s</w:t>
      </w:r>
      <w:r w:rsidRPr="00AA3AAB">
        <w:t xml:space="preserve"> from Wildfire</w:t>
      </w:r>
      <w:r w:rsidR="000612BE">
        <w:t>s</w:t>
      </w:r>
      <w:r w:rsidR="00A01DE7">
        <w:t xml:space="preserve"> and Prescribed Burns</w:t>
      </w:r>
    </w:p>
    <w:p w14:paraId="45049B63" w14:textId="7B745C62" w:rsidR="00580EC6" w:rsidRDefault="00FC3C30" w:rsidP="00580EC6">
      <w:pPr>
        <w:pStyle w:val="BodyText"/>
      </w:pPr>
      <w:bookmarkStart w:id="44" w:name="_Hlk6257416"/>
      <w:bookmarkStart w:id="45" w:name="_Toc296933536"/>
      <w:bookmarkStart w:id="46" w:name="_Toc330916534"/>
      <w:r w:rsidRPr="000D7A62">
        <w:t>Wildfire</w:t>
      </w:r>
      <w:r w:rsidR="00A323B1">
        <w:t>s</w:t>
      </w:r>
      <w:r w:rsidRPr="000D7A62">
        <w:t xml:space="preserve"> and prescribed burns </w:t>
      </w:r>
      <w:r w:rsidR="0075393D">
        <w:t xml:space="preserve">have occurred and currently continue to occur through the treatable landscape. Both </w:t>
      </w:r>
      <w:r w:rsidRPr="000D7A62">
        <w:t xml:space="preserve">produce smoke, which is composed of a complex mixture of </w:t>
      </w:r>
      <w:r w:rsidR="00580EC6">
        <w:t>CO</w:t>
      </w:r>
      <w:r w:rsidR="00580EC6">
        <w:rPr>
          <w:vertAlign w:val="subscript"/>
        </w:rPr>
        <w:t>2</w:t>
      </w:r>
      <w:r w:rsidR="00580EC6" w:rsidRPr="00580EC6">
        <w:t xml:space="preserve">, water vapor, </w:t>
      </w:r>
      <w:r w:rsidR="00580EC6">
        <w:t>CO</w:t>
      </w:r>
      <w:r w:rsidR="00580EC6" w:rsidRPr="00580EC6">
        <w:t xml:space="preserve">, </w:t>
      </w:r>
      <w:r w:rsidR="0034414B">
        <w:t>particulate matter</w:t>
      </w:r>
      <w:r w:rsidR="00580EC6" w:rsidRPr="00580EC6">
        <w:t xml:space="preserve">, hydrocarbons and other organic chemicals, </w:t>
      </w:r>
      <w:r w:rsidR="00681516">
        <w:t xml:space="preserve">ROG, </w:t>
      </w:r>
      <w:r w:rsidR="00580EC6">
        <w:t>NO</w:t>
      </w:r>
      <w:r w:rsidR="000612BE">
        <w:rPr>
          <w:vertAlign w:val="subscript"/>
        </w:rPr>
        <w:t>X</w:t>
      </w:r>
      <w:r w:rsidR="00580EC6" w:rsidRPr="00580EC6">
        <w:t>, and trace minerals. The</w:t>
      </w:r>
      <w:r w:rsidR="0075393D">
        <w:t>re are thousands of</w:t>
      </w:r>
      <w:r w:rsidR="00580EC6" w:rsidRPr="00580EC6">
        <w:t xml:space="preserve"> individual compounds present in smoke. Smoke composition </w:t>
      </w:r>
      <w:r w:rsidR="00AD4429">
        <w:t xml:space="preserve">can vary widely and </w:t>
      </w:r>
      <w:r w:rsidR="00580EC6" w:rsidRPr="00580EC6">
        <w:t>depends on multiple factors, including how efficiently a fuel burns, the fuel type and moisture content, the fire temperature, wind conditions</w:t>
      </w:r>
      <w:r w:rsidR="000612BE">
        <w:t>,</w:t>
      </w:r>
      <w:r w:rsidR="00580EC6" w:rsidRPr="00580EC6">
        <w:t xml:space="preserve"> </w:t>
      </w:r>
      <w:r w:rsidR="000612BE">
        <w:t xml:space="preserve">and </w:t>
      </w:r>
      <w:r w:rsidR="00580EC6" w:rsidRPr="00580EC6">
        <w:t>other weather-related influences. Different types of wood and vegetation are composed of varying amounts of cellulose, lignin, tannins and other polyphenols, oils, fats, resins, waxes, and starches, which produce different compounds that are released as smoke when burned</w:t>
      </w:r>
      <w:r w:rsidR="00580EC6">
        <w:t xml:space="preserve"> (CARB and CDPH 2016)</w:t>
      </w:r>
      <w:r w:rsidR="00580EC6" w:rsidRPr="00580EC6">
        <w:t>.</w:t>
      </w:r>
      <w:r w:rsidR="0034414B">
        <w:t xml:space="preserve"> </w:t>
      </w:r>
    </w:p>
    <w:p w14:paraId="624D07FE" w14:textId="14AD377C" w:rsidR="0065357A" w:rsidRPr="00000FCE" w:rsidRDefault="00580EC6" w:rsidP="00A92FFA">
      <w:pPr>
        <w:pStyle w:val="BodyText"/>
      </w:pPr>
      <w:r w:rsidRPr="000D7A62">
        <w:t xml:space="preserve">The primary </w:t>
      </w:r>
      <w:r w:rsidR="004D7DF9">
        <w:t xml:space="preserve">criteria air </w:t>
      </w:r>
      <w:r w:rsidRPr="000D7A62">
        <w:t>pollutant</w:t>
      </w:r>
      <w:r>
        <w:t xml:space="preserve"> </w:t>
      </w:r>
      <w:r w:rsidRPr="000D7A62">
        <w:t xml:space="preserve">of concern from </w:t>
      </w:r>
      <w:r>
        <w:t>smoke is</w:t>
      </w:r>
      <w:r w:rsidRPr="000D7A62">
        <w:t xml:space="preserve"> PM</w:t>
      </w:r>
      <w:r w:rsidRPr="000D7A62">
        <w:rPr>
          <w:vertAlign w:val="subscript"/>
        </w:rPr>
        <w:t>2.5</w:t>
      </w:r>
      <w:r>
        <w:t xml:space="preserve">, a </w:t>
      </w:r>
      <w:r w:rsidRPr="000D7A62">
        <w:t>criteria air pollutant</w:t>
      </w:r>
      <w:r w:rsidR="000612BE">
        <w:t xml:space="preserve"> for which a </w:t>
      </w:r>
      <w:r w:rsidRPr="000D7A62">
        <w:t>NAAQS and CAAQS</w:t>
      </w:r>
      <w:r w:rsidR="000612BE">
        <w:t xml:space="preserve"> </w:t>
      </w:r>
      <w:r w:rsidR="0075393D">
        <w:t xml:space="preserve">have </w:t>
      </w:r>
      <w:r w:rsidR="000612BE">
        <w:t>been established</w:t>
      </w:r>
      <w:r w:rsidRPr="000D7A62">
        <w:t>.</w:t>
      </w:r>
      <w:r w:rsidR="0034414B" w:rsidRPr="0034414B">
        <w:t xml:space="preserve"> </w:t>
      </w:r>
      <w:r w:rsidR="0034414B" w:rsidRPr="00580EC6">
        <w:t>As compared to PM</w:t>
      </w:r>
      <w:r w:rsidR="0034414B" w:rsidRPr="00580EC6">
        <w:rPr>
          <w:vertAlign w:val="subscript"/>
        </w:rPr>
        <w:t>10</w:t>
      </w:r>
      <w:r w:rsidR="0034414B" w:rsidRPr="00580EC6">
        <w:t>, PM</w:t>
      </w:r>
      <w:r w:rsidR="0034414B" w:rsidRPr="00580EC6">
        <w:rPr>
          <w:vertAlign w:val="subscript"/>
        </w:rPr>
        <w:t>2.5</w:t>
      </w:r>
      <w:r w:rsidR="0034414B" w:rsidRPr="00580EC6">
        <w:t xml:space="preserve"> </w:t>
      </w:r>
      <w:r w:rsidR="0034414B">
        <w:t xml:space="preserve">(including </w:t>
      </w:r>
      <w:r w:rsidR="0034414B" w:rsidRPr="00580EC6">
        <w:t>UFP</w:t>
      </w:r>
      <w:r w:rsidR="0034414B">
        <w:t>)</w:t>
      </w:r>
      <w:r w:rsidR="0034414B" w:rsidRPr="00580EC6">
        <w:t xml:space="preserve"> </w:t>
      </w:r>
      <w:r w:rsidR="004D7DF9">
        <w:t xml:space="preserve">is transported </w:t>
      </w:r>
      <w:r w:rsidR="00855BE8">
        <w:t>farther</w:t>
      </w:r>
      <w:r w:rsidR="0034414B" w:rsidRPr="00580EC6">
        <w:t xml:space="preserve"> from a burn site and </w:t>
      </w:r>
      <w:r w:rsidR="00855BE8">
        <w:t xml:space="preserve">can </w:t>
      </w:r>
      <w:r w:rsidR="0034414B" w:rsidRPr="00580EC6">
        <w:t xml:space="preserve">cause more severe, adverse health impacts because of </w:t>
      </w:r>
      <w:r w:rsidR="000612BE">
        <w:t>its</w:t>
      </w:r>
      <w:r w:rsidR="0034414B" w:rsidRPr="00580EC6">
        <w:t xml:space="preserve"> ability to penetrate more deeply into lung tissue.</w:t>
      </w:r>
      <w:r w:rsidR="00A92FFA">
        <w:t xml:space="preserve"> Emergency visits for respiratory symptoms increase in wildfire smoke</w:t>
      </w:r>
      <w:r w:rsidR="000612BE">
        <w:t>–</w:t>
      </w:r>
      <w:r w:rsidR="00A92FFA">
        <w:t xml:space="preserve">affected areas; specifically, patients are more likely to visit the emergency room for asthma, bronchitis, dyspnea, and </w:t>
      </w:r>
      <w:r w:rsidR="00160597">
        <w:t>symptoms of c</w:t>
      </w:r>
      <w:r w:rsidR="000612BE" w:rsidRPr="000612BE">
        <w:t xml:space="preserve">hronic </w:t>
      </w:r>
      <w:r w:rsidR="00160597">
        <w:t>o</w:t>
      </w:r>
      <w:r w:rsidR="000612BE" w:rsidRPr="000612BE">
        <w:t xml:space="preserve">bstructive </w:t>
      </w:r>
      <w:r w:rsidR="00160597">
        <w:t>p</w:t>
      </w:r>
      <w:r w:rsidR="000612BE" w:rsidRPr="000612BE">
        <w:t xml:space="preserve">ulmonary </w:t>
      </w:r>
      <w:r w:rsidR="00160597">
        <w:t>d</w:t>
      </w:r>
      <w:r w:rsidR="000612BE" w:rsidRPr="000612BE">
        <w:t>isease</w:t>
      </w:r>
      <w:r w:rsidR="00A92FFA">
        <w:t xml:space="preserve"> </w:t>
      </w:r>
      <w:r w:rsidR="0065357A" w:rsidRPr="00A92FFA">
        <w:t>(Black et al. 2017</w:t>
      </w:r>
      <w:r w:rsidR="00A92FFA">
        <w:t>a</w:t>
      </w:r>
      <w:r w:rsidR="00A92FFA" w:rsidRPr="00A92FFA">
        <w:t>).</w:t>
      </w:r>
      <w:r w:rsidR="004155AC" w:rsidRPr="004155AC">
        <w:t xml:space="preserve"> </w:t>
      </w:r>
      <w:r w:rsidR="004155AC" w:rsidRPr="00580EC6">
        <w:t>Typically, wildfire smoke produces proportionately more PM</w:t>
      </w:r>
      <w:r w:rsidR="004155AC" w:rsidRPr="00580EC6">
        <w:rPr>
          <w:vertAlign w:val="subscript"/>
        </w:rPr>
        <w:t>2.5</w:t>
      </w:r>
      <w:r w:rsidR="004155AC" w:rsidRPr="00580EC6">
        <w:t xml:space="preserve"> and UFP compared to PM</w:t>
      </w:r>
      <w:r w:rsidR="004155AC" w:rsidRPr="00580EC6">
        <w:rPr>
          <w:vertAlign w:val="subscript"/>
        </w:rPr>
        <w:t>10</w:t>
      </w:r>
      <w:r w:rsidR="004155AC" w:rsidRPr="00580EC6">
        <w:t xml:space="preserve"> (Black et al. 2017b).</w:t>
      </w:r>
    </w:p>
    <w:p w14:paraId="369BDB60" w14:textId="3EDAD10A" w:rsidR="00A92FFA" w:rsidRPr="00FC3C30" w:rsidRDefault="004155AC" w:rsidP="00A92FFA">
      <w:pPr>
        <w:pStyle w:val="BodyText"/>
        <w:rPr>
          <w:highlight w:val="magenta"/>
        </w:rPr>
      </w:pPr>
      <w:r>
        <w:t xml:space="preserve">The </w:t>
      </w:r>
      <w:r w:rsidR="00845601">
        <w:t xml:space="preserve">open </w:t>
      </w:r>
      <w:r>
        <w:t>b</w:t>
      </w:r>
      <w:r w:rsidR="00A92FFA" w:rsidRPr="0034414B">
        <w:t xml:space="preserve">urning of organic materials produces a higher </w:t>
      </w:r>
      <w:r w:rsidR="00160597">
        <w:t>mass</w:t>
      </w:r>
      <w:r w:rsidR="00A92FFA" w:rsidRPr="0034414B">
        <w:t xml:space="preserve"> of ROG</w:t>
      </w:r>
      <w:r>
        <w:t>, a</w:t>
      </w:r>
      <w:r w:rsidRPr="0034414B">
        <w:t>s compared to the combustion of fossil fuels</w:t>
      </w:r>
      <w:r w:rsidR="00A92FFA">
        <w:t>. H</w:t>
      </w:r>
      <w:r w:rsidR="00A92FFA" w:rsidRPr="0034414B">
        <w:t>owever, NO</w:t>
      </w:r>
      <w:r w:rsidR="00A92FFA" w:rsidRPr="0034414B">
        <w:rPr>
          <w:vertAlign w:val="subscript"/>
        </w:rPr>
        <w:t xml:space="preserve">X </w:t>
      </w:r>
      <w:r w:rsidR="00A92FFA" w:rsidRPr="0034414B">
        <w:t>and SO</w:t>
      </w:r>
      <w:r w:rsidR="00497321">
        <w:rPr>
          <w:vertAlign w:val="subscript"/>
        </w:rPr>
        <w:t>X</w:t>
      </w:r>
      <w:r w:rsidR="00A92FFA" w:rsidRPr="0034414B">
        <w:t xml:space="preserve"> emissions are comparatively lower (Black et al. 2017</w:t>
      </w:r>
      <w:r w:rsidR="00A92FFA">
        <w:t>a</w:t>
      </w:r>
      <w:r w:rsidR="00A92FFA" w:rsidRPr="0034414B">
        <w:t>).</w:t>
      </w:r>
      <w:r w:rsidR="00A92FFA">
        <w:t xml:space="preserve"> </w:t>
      </w:r>
      <w:r w:rsidR="00A92FFA" w:rsidRPr="00A92FFA">
        <w:t>ROG emissions</w:t>
      </w:r>
      <w:r w:rsidR="003349E8">
        <w:t xml:space="preserve"> </w:t>
      </w:r>
      <w:r w:rsidR="00A92FFA" w:rsidRPr="00A92FFA">
        <w:t>may oxidize with NO</w:t>
      </w:r>
      <w:r w:rsidR="00A92FFA" w:rsidRPr="00A92FFA">
        <w:rPr>
          <w:vertAlign w:val="subscript"/>
        </w:rPr>
        <w:t>X</w:t>
      </w:r>
      <w:r w:rsidR="00A92FFA" w:rsidRPr="00A92FFA">
        <w:t xml:space="preserve"> emissions</w:t>
      </w:r>
      <w:r w:rsidR="003349E8">
        <w:t xml:space="preserve"> from fire </w:t>
      </w:r>
      <w:r w:rsidR="00160597">
        <w:t>and</w:t>
      </w:r>
      <w:r w:rsidR="003349E8">
        <w:t xml:space="preserve"> other sources</w:t>
      </w:r>
      <w:r w:rsidR="00A92FFA" w:rsidRPr="00A92FFA">
        <w:t xml:space="preserve"> to contribute to spikes in ground-level </w:t>
      </w:r>
      <w:r w:rsidR="00A92FFA" w:rsidRPr="003349E8">
        <w:t>ozone (</w:t>
      </w:r>
      <w:r w:rsidR="003349E8" w:rsidRPr="003349E8">
        <w:t>NCAR 2008</w:t>
      </w:r>
      <w:r w:rsidR="00A92FFA" w:rsidRPr="003349E8">
        <w:t>). Exposure to ozone may result in acute and chronic health impacts including coughing, pulmonary distr</w:t>
      </w:r>
      <w:r w:rsidR="00A92FFA" w:rsidRPr="00A92FFA">
        <w:t>ess, lung inflammation, shortness of breath, and permanent lung impairment.</w:t>
      </w:r>
    </w:p>
    <w:p w14:paraId="7026C659" w14:textId="10F71E40" w:rsidR="003349E8" w:rsidRDefault="00160597" w:rsidP="00681516">
      <w:pPr>
        <w:pStyle w:val="BodyText"/>
      </w:pPr>
      <w:r>
        <w:t>CO is another</w:t>
      </w:r>
      <w:r w:rsidR="0065357A" w:rsidRPr="00580EC6">
        <w:t xml:space="preserve"> pollutant of concern</w:t>
      </w:r>
      <w:r>
        <w:t xml:space="preserve"> generated by incomplete </w:t>
      </w:r>
      <w:r w:rsidRPr="00580EC6">
        <w:t>combustion of wood or other organic materials</w:t>
      </w:r>
      <w:r>
        <w:t>. E</w:t>
      </w:r>
      <w:r w:rsidR="00681516">
        <w:t xml:space="preserve">xposure </w:t>
      </w:r>
      <w:r>
        <w:t xml:space="preserve">to CO-containing smoke </w:t>
      </w:r>
      <w:r w:rsidR="00681516">
        <w:t>does not pose</w:t>
      </w:r>
      <w:r w:rsidR="00681516" w:rsidRPr="00681516">
        <w:t xml:space="preserve"> a significant hazard, except to some sensitive individuals and to </w:t>
      </w:r>
      <w:r w:rsidR="0075393D">
        <w:t>individuals</w:t>
      </w:r>
      <w:r w:rsidR="0075393D" w:rsidRPr="00681516">
        <w:t xml:space="preserve"> </w:t>
      </w:r>
      <w:r w:rsidR="00681516" w:rsidRPr="00681516">
        <w:t>very close to the fire</w:t>
      </w:r>
      <w:r w:rsidR="0075393D">
        <w:t xml:space="preserve"> (e.g., firefighters)</w:t>
      </w:r>
      <w:r w:rsidR="00681516" w:rsidRPr="00681516">
        <w:t xml:space="preserve">. Individuals </w:t>
      </w:r>
      <w:r w:rsidR="00681516">
        <w:t xml:space="preserve">with cardiovascular disease </w:t>
      </w:r>
      <w:r w:rsidR="00681516" w:rsidRPr="00681516">
        <w:t>may experience chest pain or cardiac arrhythmias</w:t>
      </w:r>
      <w:r w:rsidR="00681516">
        <w:t xml:space="preserve"> from lower levels of CO exposure. </w:t>
      </w:r>
      <w:r w:rsidR="00681516" w:rsidRPr="00681516">
        <w:t>CO exposure can cause headache, weakness, dizziness, confusion, nausea, disorientation, visual impairment, coma, and death, even in otherwise healthy individuals</w:t>
      </w:r>
      <w:r w:rsidR="00681516">
        <w:t xml:space="preserve"> (CARB and CDPH 2016)</w:t>
      </w:r>
      <w:r w:rsidR="00681516" w:rsidRPr="00580EC6">
        <w:t>.</w:t>
      </w:r>
    </w:p>
    <w:p w14:paraId="299F2173" w14:textId="2471619E" w:rsidR="007D29DA" w:rsidRDefault="00BF3491" w:rsidP="007D29DA">
      <w:pPr>
        <w:pStyle w:val="BodyText"/>
      </w:pPr>
      <w:r w:rsidRPr="002A0ECA">
        <w:t xml:space="preserve">Although the </w:t>
      </w:r>
      <w:r w:rsidR="00AC488F">
        <w:t xml:space="preserve">same </w:t>
      </w:r>
      <w:r w:rsidRPr="002A0ECA">
        <w:t xml:space="preserve">types of criteria air pollutants </w:t>
      </w:r>
      <w:r w:rsidR="00AC488F">
        <w:t xml:space="preserve">are </w:t>
      </w:r>
      <w:r w:rsidRPr="002A0ECA">
        <w:t xml:space="preserve">generated by wildfires and prescribed </w:t>
      </w:r>
      <w:r w:rsidR="00CD76F3" w:rsidRPr="002A0ECA">
        <w:t>burns,</w:t>
      </w:r>
      <w:r w:rsidRPr="002A0ECA">
        <w:t xml:space="preserve"> the </w:t>
      </w:r>
      <w:r w:rsidR="00AC488F">
        <w:t>characteristics of their smoke plumes can differ</w:t>
      </w:r>
      <w:r w:rsidRPr="002A0ECA">
        <w:t>.</w:t>
      </w:r>
      <w:r w:rsidRPr="00BF3491">
        <w:t xml:space="preserve"> </w:t>
      </w:r>
      <w:r w:rsidRPr="003349E8">
        <w:t xml:space="preserve">Prescribed </w:t>
      </w:r>
      <w:r>
        <w:t>burns</w:t>
      </w:r>
      <w:r w:rsidRPr="003349E8">
        <w:t xml:space="preserve"> are </w:t>
      </w:r>
      <w:r>
        <w:t>controlled events</w:t>
      </w:r>
      <w:r w:rsidR="007D29DA">
        <w:t xml:space="preserve"> </w:t>
      </w:r>
      <w:r w:rsidR="00160597">
        <w:t>that</w:t>
      </w:r>
      <w:r w:rsidR="007D29DA">
        <w:t xml:space="preserve"> are carefully planned to reduce smoke</w:t>
      </w:r>
      <w:r w:rsidR="00160597">
        <w:t>-related</w:t>
      </w:r>
      <w:r w:rsidR="007D29DA">
        <w:t xml:space="preserve"> impacts. Wildfires, however, burn under uncontrolled and unplanned circumstances. It is difficult to manage when </w:t>
      </w:r>
      <w:r w:rsidR="00160597">
        <w:t>wild</w:t>
      </w:r>
      <w:r w:rsidR="007D29DA">
        <w:t>fires burn, how much smoke is generated, where smoke travels, and the</w:t>
      </w:r>
      <w:r w:rsidR="00160597">
        <w:t>ir</w:t>
      </w:r>
      <w:r w:rsidR="007D29DA">
        <w:t xml:space="preserve"> duration. Wildfire</w:t>
      </w:r>
      <w:r w:rsidR="0075393D">
        <w:t xml:space="preserve"> frequency i</w:t>
      </w:r>
      <w:r w:rsidR="007D29DA">
        <w:t xml:space="preserve">s typically </w:t>
      </w:r>
      <w:r w:rsidR="0075393D">
        <w:t xml:space="preserve">highest </w:t>
      </w:r>
      <w:r w:rsidR="007D29DA">
        <w:t>during summer months when fuels are drie</w:t>
      </w:r>
      <w:r w:rsidR="00160597">
        <w:t>st</w:t>
      </w:r>
      <w:r w:rsidR="007D29DA">
        <w:t xml:space="preserve"> and the likelihood of adverse weather conditions (i.e., high temperatures, low relative humidity, and sustained wind speeds) are </w:t>
      </w:r>
      <w:r w:rsidR="00160597">
        <w:t>present</w:t>
      </w:r>
      <w:r w:rsidR="007D29DA">
        <w:t>. Under these conditions, wildfires consume more vegetation on a per</w:t>
      </w:r>
      <w:r w:rsidR="00160597">
        <w:t>-</w:t>
      </w:r>
      <w:r w:rsidR="007D29DA">
        <w:t xml:space="preserve">acre basis than prescribed burns, resulting in more smoke emissions (Berger et al. 2018). </w:t>
      </w:r>
      <w:r w:rsidR="007D29DA" w:rsidRPr="00BF3491">
        <w:t xml:space="preserve">Wildfires also have a long smoldering phase, </w:t>
      </w:r>
      <w:r w:rsidR="00A323B1">
        <w:t>because</w:t>
      </w:r>
      <w:r w:rsidR="00A323B1" w:rsidRPr="00BF3491">
        <w:t xml:space="preserve"> </w:t>
      </w:r>
      <w:r w:rsidR="007D29DA" w:rsidRPr="00BF3491">
        <w:t xml:space="preserve">wildfire containment strategies focus on extinguishing the flame phase </w:t>
      </w:r>
      <w:r w:rsidR="00A323B1">
        <w:t xml:space="preserve">on the perimeter of the burned areas to protect life and property, </w:t>
      </w:r>
      <w:r w:rsidR="007D29DA" w:rsidRPr="00BF3491">
        <w:t>while the smoldering phase</w:t>
      </w:r>
      <w:r w:rsidR="00A323B1">
        <w:t xml:space="preserve"> within </w:t>
      </w:r>
      <w:r w:rsidR="00A323B1">
        <w:lastRenderedPageBreak/>
        <w:t>the burned area</w:t>
      </w:r>
      <w:r w:rsidR="007D29DA" w:rsidRPr="00BF3491">
        <w:t xml:space="preserve"> is left to burn out, sometimes for months after a fire is contained</w:t>
      </w:r>
      <w:r w:rsidR="00F60BB0" w:rsidRPr="00D11F03">
        <w:rPr>
          <w:u w:val="single"/>
        </w:rPr>
        <w:t xml:space="preserve"> (Graham et al. 2004)</w:t>
      </w:r>
      <w:r w:rsidR="007D29DA" w:rsidRPr="00BF3491">
        <w:t>. The smoldering phase of wood burning is associated with higher output of particulate</w:t>
      </w:r>
      <w:r w:rsidR="007D29DA">
        <w:t xml:space="preserve"> matter</w:t>
      </w:r>
      <w:r w:rsidR="007D29DA" w:rsidRPr="00BF3491">
        <w:t xml:space="preserve"> and can account for a large proportion of the total emissions </w:t>
      </w:r>
      <w:r w:rsidR="00160597">
        <w:t xml:space="preserve">from a wildfire event </w:t>
      </w:r>
      <w:r w:rsidR="007D29DA" w:rsidRPr="00BF3491">
        <w:t>(</w:t>
      </w:r>
      <w:r w:rsidR="007D29DA">
        <w:t xml:space="preserve">Black et al. 2017a). </w:t>
      </w:r>
      <w:bookmarkStart w:id="47" w:name="_Hlk20493164"/>
      <w:r w:rsidR="00A323B1">
        <w:t xml:space="preserve">Recent major wildfires have created hazardous air pollution </w:t>
      </w:r>
      <w:r w:rsidR="00CD6002">
        <w:t xml:space="preserve">conditions requiring health advisories and </w:t>
      </w:r>
      <w:r w:rsidR="00670EB0">
        <w:t>“</w:t>
      </w:r>
      <w:r w:rsidR="00CD6002">
        <w:t>spare the air</w:t>
      </w:r>
      <w:r w:rsidR="00670EB0">
        <w:t>”</w:t>
      </w:r>
      <w:r w:rsidR="00CD6002">
        <w:t xml:space="preserve"> days </w:t>
      </w:r>
      <w:r w:rsidR="00A323B1">
        <w:t>far from the site of the fire</w:t>
      </w:r>
      <w:bookmarkEnd w:id="47"/>
      <w:r w:rsidR="00CD6002">
        <w:t>.</w:t>
      </w:r>
      <w:r w:rsidR="00670EB0">
        <w:t xml:space="preserve"> </w:t>
      </w:r>
      <w:bookmarkStart w:id="48" w:name="_Hlk20493254"/>
      <w:r w:rsidR="00CD6002">
        <w:t xml:space="preserve">For instance, during the Camp Fire in Butte County, air quality became hazardous not only in Chico near the fire, but also </w:t>
      </w:r>
      <w:r w:rsidR="009179D6">
        <w:t xml:space="preserve">more than one </w:t>
      </w:r>
      <w:r w:rsidR="00CD6002">
        <w:t>hundred miles away in more heavily populated communities, such as in Sacramento, Modesto, and San Francisco (</w:t>
      </w:r>
      <w:r w:rsidR="000C3FC8">
        <w:t>Rowan</w:t>
      </w:r>
      <w:r w:rsidR="00CD6002">
        <w:t xml:space="preserve"> 2018)</w:t>
      </w:r>
      <w:bookmarkEnd w:id="48"/>
      <w:r w:rsidR="00CD6002">
        <w:t>.</w:t>
      </w:r>
      <w:r w:rsidR="00A323B1">
        <w:t xml:space="preserve"> </w:t>
      </w:r>
      <w:r w:rsidR="009179D6">
        <w:t>Moreover, a Stanford University study found that children experienced greater health impacts, including asthma and cardiovascular events, when exposed to wildfire smoke than smoke generated by prescribed burns (</w:t>
      </w:r>
      <w:proofErr w:type="spellStart"/>
      <w:r w:rsidR="009179D6">
        <w:t>Prunicki</w:t>
      </w:r>
      <w:proofErr w:type="spellEnd"/>
      <w:r w:rsidR="009179D6">
        <w:t xml:space="preserve"> et al. 2019). </w:t>
      </w:r>
      <w:r w:rsidR="007D29DA">
        <w:t xml:space="preserve">Thus, wildfires are generally far more likely to result in </w:t>
      </w:r>
      <w:r w:rsidR="00160597">
        <w:t xml:space="preserve">adverse </w:t>
      </w:r>
      <w:r w:rsidR="007D29DA">
        <w:t>air quality and public health impacts than prescribed burns (Berger et al. 2018).</w:t>
      </w:r>
      <w:r w:rsidR="00633648">
        <w:t xml:space="preserve"> </w:t>
      </w:r>
    </w:p>
    <w:bookmarkEnd w:id="44"/>
    <w:p w14:paraId="5F8BE76B" w14:textId="77777777" w:rsidR="001764B7" w:rsidRPr="00906D9A" w:rsidRDefault="001764B7" w:rsidP="001764B7">
      <w:pPr>
        <w:pStyle w:val="Heading4"/>
      </w:pPr>
      <w:r w:rsidRPr="00906D9A">
        <w:t>Monitoring Station Data and Attainment Designations</w:t>
      </w:r>
      <w:bookmarkEnd w:id="45"/>
      <w:bookmarkEnd w:id="46"/>
    </w:p>
    <w:p w14:paraId="02388344" w14:textId="5AD9C4F6" w:rsidR="00444E5E" w:rsidRDefault="00444E5E" w:rsidP="00444E5E">
      <w:pPr>
        <w:pStyle w:val="BodyText"/>
      </w:pPr>
      <w:bookmarkStart w:id="49" w:name="_Toc296933541"/>
      <w:bookmarkStart w:id="50" w:name="_Toc330916536"/>
      <w:r w:rsidRPr="00906D9A">
        <w:t xml:space="preserve">Criteria air pollutant concentrations are measured at monitoring stations throughout the state. The data collected at these locations inform the attainment or nonattainment designation of counties and air basins. </w:t>
      </w:r>
      <w:r>
        <w:t>Vegetation treatment a</w:t>
      </w:r>
      <w:r w:rsidRPr="00906D9A">
        <w:t xml:space="preserve">ctivities </w:t>
      </w:r>
      <w:r>
        <w:t xml:space="preserve">implemented </w:t>
      </w:r>
      <w:r w:rsidRPr="00906D9A">
        <w:t xml:space="preserve">under the CalVTP would occur within every air basin in the state and, as such, </w:t>
      </w:r>
      <w:r>
        <w:t>there would be a high degree of variation in how the emissions of treatment</w:t>
      </w:r>
      <w:r w:rsidR="0075393D">
        <w:t>s</w:t>
      </w:r>
      <w:r>
        <w:t xml:space="preserve"> would affect the </w:t>
      </w:r>
      <w:r w:rsidRPr="00906D9A">
        <w:t>ambient concentrations of criteria air pollutants</w:t>
      </w:r>
      <w:r>
        <w:t xml:space="preserve"> within an air basin</w:t>
      </w:r>
      <w:r w:rsidRPr="00906D9A">
        <w:t>.</w:t>
      </w:r>
      <w:r>
        <w:t xml:space="preserve"> For the reasons stated above (e.g., topography, meteorology, emissions sources, location), ambient concentrations of criteria air pollutants differ between air basins. </w:t>
      </w:r>
    </w:p>
    <w:p w14:paraId="60EF2B3F" w14:textId="77777777" w:rsidR="001764B7" w:rsidRPr="000E5C28" w:rsidRDefault="001764B7" w:rsidP="001764B7">
      <w:pPr>
        <w:pStyle w:val="Heading4"/>
      </w:pPr>
      <w:r w:rsidRPr="000E5C28">
        <w:t>Toxic Air Contaminants</w:t>
      </w:r>
      <w:bookmarkEnd w:id="49"/>
      <w:bookmarkEnd w:id="50"/>
    </w:p>
    <w:p w14:paraId="1E62DFC8" w14:textId="67B0D6E5" w:rsidR="00444E5E" w:rsidRPr="00323877" w:rsidRDefault="00444E5E" w:rsidP="00444E5E">
      <w:pPr>
        <w:pStyle w:val="BodyText"/>
      </w:pPr>
      <w:bookmarkStart w:id="51" w:name="_Toc296933543"/>
      <w:bookmarkStart w:id="52" w:name="_Toc330916538"/>
      <w:r w:rsidRPr="000E5C28">
        <w:t xml:space="preserve">According to the </w:t>
      </w:r>
      <w:r w:rsidRPr="000E5C28">
        <w:rPr>
          <w:i/>
        </w:rPr>
        <w:t>California Almanac of Emissions and Air Quality</w:t>
      </w:r>
      <w:r w:rsidRPr="000E5C28">
        <w:t xml:space="preserve"> (CARB 2013), the majority of the estimated health risks from TACs can be attributed to relatively few compounds, the most </w:t>
      </w:r>
      <w:r>
        <w:t xml:space="preserve">prevalent </w:t>
      </w:r>
      <w:r w:rsidRPr="000E5C28">
        <w:t xml:space="preserve">being diesel PM. Diesel PM differs from other TACs in that it is not a single substance, but rather a complex mixture of hundreds of substances. Although diesel PM is emitted by diesel-fueled internal combustion engines, the composition of the emissions varies depending on engine type, operating conditions, fuel composition, lubricating oil, and whether </w:t>
      </w:r>
      <w:r>
        <w:t xml:space="preserve">the engine includes </w:t>
      </w:r>
      <w:r w:rsidRPr="000E5C28">
        <w:t xml:space="preserve">an emissions control system. Unlike the other TACs, no ambient monitoring data are available for diesel PM because no routine measurement method currently exists. However, CARB has made preliminary concentration estimates based on a </w:t>
      </w:r>
      <w:r>
        <w:t>particulate matter</w:t>
      </w:r>
      <w:r w:rsidRPr="000E5C28">
        <w:t xml:space="preserve"> exposure method. This method uses CARB</w:t>
      </w:r>
      <w:r w:rsidR="00670EB0">
        <w:t>’</w:t>
      </w:r>
      <w:r>
        <w:t>s</w:t>
      </w:r>
      <w:r w:rsidRPr="000E5C28">
        <w:t xml:space="preserve"> emissions inventory</w:t>
      </w:r>
      <w:r w:rsidR="00670EB0">
        <w:t>’</w:t>
      </w:r>
      <w:r w:rsidRPr="000E5C28">
        <w:t>s PM</w:t>
      </w:r>
      <w:r w:rsidRPr="000E5C28">
        <w:rPr>
          <w:vertAlign w:val="subscript"/>
        </w:rPr>
        <w:t>10</w:t>
      </w:r>
      <w:r w:rsidRPr="000E5C28">
        <w:t xml:space="preserve"> database, ambient PM</w:t>
      </w:r>
      <w:r w:rsidRPr="000E5C28">
        <w:rPr>
          <w:vertAlign w:val="subscript"/>
        </w:rPr>
        <w:t>10</w:t>
      </w:r>
      <w:r w:rsidRPr="000E5C28">
        <w:t xml:space="preserve"> monitoring data, and the results from several studies to estimate concentrations of diesel PM. In addition to diesel PM, the TACs for which data are available that pose the greatest existing ambient risk in California are benzene, 1,3-butadiene, acetaldehyde, carbon tetrachloride, hexavalent chromium, para-dichlorobenzene, formaldehyde, methylene chloride, and perchloroethylene.</w:t>
      </w:r>
      <w:r>
        <w:t xml:space="preserve"> </w:t>
      </w:r>
      <w:r w:rsidRPr="00323877">
        <w:t>Diesel PM poses the greatest health risk among these 10 TACs mentioned.</w:t>
      </w:r>
    </w:p>
    <w:p w14:paraId="45D0F6FF" w14:textId="77777777" w:rsidR="00444E5E" w:rsidRDefault="00444E5E" w:rsidP="00444E5E">
      <w:pPr>
        <w:pStyle w:val="Heading5"/>
      </w:pPr>
      <w:bookmarkStart w:id="53" w:name="_Hlk5793228"/>
      <w:r>
        <w:t>Naturally Occurring Asbestos</w:t>
      </w:r>
    </w:p>
    <w:p w14:paraId="7CA06CF9" w14:textId="26E32AEC" w:rsidR="00444E5E" w:rsidRDefault="001F6729" w:rsidP="00444E5E">
      <w:pPr>
        <w:pStyle w:val="BodyText"/>
      </w:pPr>
      <w:r>
        <w:t xml:space="preserve">Asbestos is the common name for a group of naturally occurring fibrous silicate minerals that can separate into thin but strong and durable fibers. </w:t>
      </w:r>
      <w:r w:rsidR="00444E5E">
        <w:t>NOA was identified as a TAC in 1986 by CARB. NOA is located in many parts of California, and is commonly associated with ultramafic rocks</w:t>
      </w:r>
      <w:r w:rsidR="00E1210C">
        <w:t xml:space="preserve"> and serpentinite</w:t>
      </w:r>
      <w:r w:rsidR="00444E5E">
        <w:t xml:space="preserve">, according to a special publication published by the California Geological Survey (Churchill and Hill 2000). Ultramafic rocks form in high-temperature environments well below the surface of the earth. By the time they are exposed at the surface by geologic uplift and erosion, ultramafic rocks may be partially to completely altered into a type of metamorphic rock called serpentinite. Sometimes the metamorphic conditions are right for the formation of chrysotile asbestos or tremolite-actinolite asbestos in the bodies of these rocks, along their boundaries, or in the soil. </w:t>
      </w:r>
      <w:r w:rsidR="001E4ABE">
        <w:t>Except for a few counties in the southeast portion of the state, m</w:t>
      </w:r>
      <w:r w:rsidR="00ED2A71">
        <w:t xml:space="preserve">ost counties </w:t>
      </w:r>
      <w:r w:rsidR="001E4ABE">
        <w:t xml:space="preserve">in California contain some amount of ultramafic rock. </w:t>
      </w:r>
      <w:r>
        <w:t>S</w:t>
      </w:r>
      <w:r w:rsidRPr="00391D77">
        <w:t xml:space="preserve">ome areas </w:t>
      </w:r>
      <w:r>
        <w:t>within the</w:t>
      </w:r>
      <w:r w:rsidRPr="00391D77">
        <w:t xml:space="preserve"> </w:t>
      </w:r>
      <w:r>
        <w:t>treatable landscape</w:t>
      </w:r>
      <w:r w:rsidRPr="00391D77">
        <w:t xml:space="preserve"> contain serpentinite or other ultramafic rock and soil that could potentially contain NOA</w:t>
      </w:r>
      <w:r>
        <w:t>.</w:t>
      </w:r>
    </w:p>
    <w:p w14:paraId="31819294" w14:textId="3987C35E" w:rsidR="00444E5E" w:rsidRPr="00057CCB" w:rsidRDefault="00444E5E" w:rsidP="00733390">
      <w:pPr>
        <w:pStyle w:val="BodyText"/>
        <w:rPr>
          <w:spacing w:val="-2"/>
        </w:rPr>
      </w:pPr>
      <w:r w:rsidRPr="00057CCB">
        <w:rPr>
          <w:spacing w:val="-2"/>
        </w:rPr>
        <w:t xml:space="preserve">Asbestos could be released from serpentinite or ultramafic rock if the rock is broken or crushed. Asbestos could also be released into the air due to vehicular traffic on unpaved roads on which asbestos-bearing rock has been used as gravel. Additionally, soil derived from asbestos-bearing rock could contain asbestos entrained into the air from new recreational </w:t>
      </w:r>
      <w:r w:rsidRPr="00057CCB">
        <w:rPr>
          <w:spacing w:val="-2"/>
        </w:rPr>
        <w:lastRenderedPageBreak/>
        <w:t xml:space="preserve">uses added to route surfaces with exposed asbestos. At the point of release, asbestos fibers can become airborne, causing air quality and human health hazards. Natural weathering and erosion processes act on asbestos bearing rock and soil, increasing the likelihood for asbestos fibers to become airborne if disturbed (California Geological Survey 2002:22). </w:t>
      </w:r>
      <w:r w:rsidR="00733390" w:rsidRPr="00057CCB">
        <w:rPr>
          <w:spacing w:val="-2"/>
        </w:rPr>
        <w:t>The California Geological Survey has published guidance for geologists involved in conducting or reviewing NOA investigations. These guidelines describe general procedures for use by geologists to determine the presence, type, distribution, and amount of asbestos minerals at the site (California Geological Survey 2002).</w:t>
      </w:r>
    </w:p>
    <w:p w14:paraId="55313066" w14:textId="743D1B79" w:rsidR="00D93D3F" w:rsidRPr="002208FB" w:rsidRDefault="00D93D3F" w:rsidP="00D93D3F">
      <w:pPr>
        <w:pStyle w:val="Heading5"/>
      </w:pPr>
      <w:r w:rsidRPr="002208FB">
        <w:t>Toxic Air Contaminants from Wildfire</w:t>
      </w:r>
      <w:r w:rsidR="009B1B52" w:rsidRPr="002208FB">
        <w:t xml:space="preserve"> and Prescribed Burns</w:t>
      </w:r>
    </w:p>
    <w:p w14:paraId="294BBBC0" w14:textId="39CAC81B" w:rsidR="00775FFD" w:rsidRDefault="00F74C0F" w:rsidP="00057CCB">
      <w:pPr>
        <w:pStyle w:val="BodyText"/>
        <w:spacing w:line="260" w:lineRule="exact"/>
      </w:pPr>
      <w:r w:rsidRPr="002208FB">
        <w:t>In addition to criteria air pollutants</w:t>
      </w:r>
      <w:r w:rsidR="00AD4429">
        <w:t>, which are discussed above</w:t>
      </w:r>
      <w:r w:rsidRPr="002208FB">
        <w:t>, smoke</w:t>
      </w:r>
      <w:r w:rsidR="00A63EF9" w:rsidRPr="002208FB">
        <w:t xml:space="preserve"> from wildfires and prescribed burns</w:t>
      </w:r>
      <w:r w:rsidRPr="002208FB">
        <w:t xml:space="preserve"> also contain</w:t>
      </w:r>
      <w:r w:rsidR="00DD0288">
        <w:t>s</w:t>
      </w:r>
      <w:r w:rsidRPr="002208FB">
        <w:t xml:space="preserve"> TACs</w:t>
      </w:r>
      <w:r w:rsidR="00FC3105">
        <w:t xml:space="preserve"> </w:t>
      </w:r>
      <w:r w:rsidR="00ED3A8F" w:rsidRPr="00ED3A8F">
        <w:t>such as aldehydes (including formaldehyde and acrolein) and organic compounds such as polycyclic aromatic hydrocarbons (PAHs) and benzene</w:t>
      </w:r>
      <w:r w:rsidR="00775FFD">
        <w:t>.</w:t>
      </w:r>
      <w:r w:rsidR="00ED3A8F" w:rsidRPr="00ED3A8F">
        <w:t xml:space="preserve"> </w:t>
      </w:r>
      <w:r w:rsidR="00FC3105">
        <w:t xml:space="preserve">Aldehydes are volatile organic compounds that are detectable by their distinctive odor. </w:t>
      </w:r>
      <w:r w:rsidR="00FC3105" w:rsidRPr="00FC3105">
        <w:t xml:space="preserve">Formaldehyde and acrolein are the two most potent aldehydes found in smoke that cause </w:t>
      </w:r>
      <w:r w:rsidR="00FC3105" w:rsidRPr="002208FB">
        <w:t>eye and respiratory irritation and potentially exacerbate asthma</w:t>
      </w:r>
      <w:r w:rsidR="00FC3105">
        <w:t>. Chronic exposure to formaldehyde is associated with nasal cancer (NWCG 2018).</w:t>
      </w:r>
      <w:r w:rsidR="00CA21F9">
        <w:t xml:space="preserve"> </w:t>
      </w:r>
      <w:r w:rsidR="00775FFD">
        <w:t xml:space="preserve">PAHs and benzene are </w:t>
      </w:r>
      <w:r w:rsidR="00CA21F9">
        <w:t xml:space="preserve">also </w:t>
      </w:r>
      <w:r w:rsidR="00775FFD">
        <w:t>carcinogenic</w:t>
      </w:r>
      <w:r w:rsidR="00CA21F9">
        <w:t>, and long-term exposure could result in elevated cancer-risk.</w:t>
      </w:r>
    </w:p>
    <w:p w14:paraId="1858DE90" w14:textId="3903623C" w:rsidR="000822D4" w:rsidRDefault="00E22550" w:rsidP="00057CCB">
      <w:pPr>
        <w:pStyle w:val="BodyText"/>
        <w:spacing w:line="260" w:lineRule="exact"/>
      </w:pPr>
      <w:r>
        <w:t>Although there are many similarities between smoke produced from wildfires and prescribed burns, there are key differences that affect the types an</w:t>
      </w:r>
      <w:r w:rsidR="005A6159">
        <w:t>d</w:t>
      </w:r>
      <w:r>
        <w:t xml:space="preserve"> quantities of TACs produced. </w:t>
      </w:r>
      <w:r w:rsidR="00D657D1">
        <w:t xml:space="preserve">As discussed under </w:t>
      </w:r>
      <w:r w:rsidR="00670EB0">
        <w:t>“</w:t>
      </w:r>
      <w:r w:rsidR="00D657D1">
        <w:t>Criteria Air Pollutants from Wildfire and Prescribed Burns,</w:t>
      </w:r>
      <w:r w:rsidR="00670EB0">
        <w:t>”</w:t>
      </w:r>
      <w:r w:rsidR="00D657D1">
        <w:t xml:space="preserve"> prescribed burns are controlled events</w:t>
      </w:r>
      <w:r w:rsidR="001A6545">
        <w:t>,</w:t>
      </w:r>
      <w:r w:rsidR="00D657D1">
        <w:t xml:space="preserve"> whereas wildfires burn under uncontrolled and unplanned circumstances. Prescribed </w:t>
      </w:r>
      <w:r w:rsidR="009408F8" w:rsidRPr="00755C28">
        <w:t>burns</w:t>
      </w:r>
      <w:r w:rsidR="00D657D1">
        <w:t xml:space="preserve"> are generally short in duration whereas wildfires may last for weeks or even months, potentially resulting in a longer exposure of receptors to TACs from smoke emissions. Most critically, wildfires have a much greater potential to burn </w:t>
      </w:r>
      <w:r w:rsidR="00DD0288">
        <w:t>built</w:t>
      </w:r>
      <w:r w:rsidR="00D657D1">
        <w:t xml:space="preserve"> structures in addition to vegetation. </w:t>
      </w:r>
      <w:r w:rsidR="00DD0288">
        <w:t>Built</w:t>
      </w:r>
      <w:r w:rsidR="00D657D1">
        <w:t xml:space="preserve"> structures contain plastics, chemically-treated wood, and other artificial materials which produce TACs when combusted. </w:t>
      </w:r>
      <w:r w:rsidR="00D657D1" w:rsidRPr="00D657D1">
        <w:t xml:space="preserve">For example, chlorinated plastics (polyvinyl chloride) and those </w:t>
      </w:r>
      <w:r w:rsidR="00DD0288">
        <w:t xml:space="preserve">materials </w:t>
      </w:r>
      <w:r w:rsidR="00D657D1" w:rsidRPr="00D657D1">
        <w:t xml:space="preserve">treated with flame retardants would create a wider array of chlorinated and other toxic compounds that </w:t>
      </w:r>
      <w:r w:rsidR="00D657D1">
        <w:t>could cause adverse health effects when inhaled (NWCG 2018).</w:t>
      </w:r>
      <w:r w:rsidR="000822D4">
        <w:t xml:space="preserve"> </w:t>
      </w:r>
      <w:r w:rsidR="00DD0288">
        <w:t>These toxic compounds are not typically present in smoke from prescribed burns.</w:t>
      </w:r>
    </w:p>
    <w:p w14:paraId="2E5132A4" w14:textId="4D422060" w:rsidR="00D657D1" w:rsidRDefault="000822D4" w:rsidP="00057CCB">
      <w:pPr>
        <w:pStyle w:val="BodyText"/>
        <w:spacing w:line="260" w:lineRule="exact"/>
      </w:pPr>
      <w:r>
        <w:t xml:space="preserve">TAC emissions </w:t>
      </w:r>
      <w:r w:rsidR="00DD0288">
        <w:t xml:space="preserve">may also be generated if vegetation treated with </w:t>
      </w:r>
      <w:r>
        <w:t xml:space="preserve">herbicides </w:t>
      </w:r>
      <w:r w:rsidR="00DD0288">
        <w:t>is burned</w:t>
      </w:r>
      <w:r>
        <w:t xml:space="preserve">. </w:t>
      </w:r>
      <w:r w:rsidRPr="000822D4">
        <w:t xml:space="preserve">Herbicides have not been detected in prescribed </w:t>
      </w:r>
      <w:r w:rsidR="009408F8" w:rsidRPr="00755C28">
        <w:t>burns</w:t>
      </w:r>
      <w:r w:rsidR="009408F8">
        <w:t xml:space="preserve"> </w:t>
      </w:r>
      <w:r w:rsidRPr="000822D4">
        <w:t>occurring within months of their application</w:t>
      </w:r>
      <w:r>
        <w:t xml:space="preserve"> (NWCG 2018). Studies conducted on herbicides </w:t>
      </w:r>
      <w:r w:rsidR="00DD0288">
        <w:t>(</w:t>
      </w:r>
      <w:r w:rsidR="00CB55EE">
        <w:t>Bush et al. 1998</w:t>
      </w:r>
      <w:r w:rsidR="00544ABC">
        <w:t>,</w:t>
      </w:r>
      <w:r w:rsidR="00CB55EE">
        <w:t xml:space="preserve"> McMahon and Bush 1998</w:t>
      </w:r>
      <w:r w:rsidR="00DD0288">
        <w:t xml:space="preserve">) </w:t>
      </w:r>
      <w:r>
        <w:t xml:space="preserve">indicate that </w:t>
      </w:r>
      <w:r w:rsidR="00DD0288">
        <w:t>intense heat induced by flames quickly</w:t>
      </w:r>
      <w:r>
        <w:t xml:space="preserve"> degrade</w:t>
      </w:r>
      <w:r w:rsidR="00DD0288">
        <w:t>s</w:t>
      </w:r>
      <w:r>
        <w:t xml:space="preserve"> most herbicides, whereas smoldering fires have the potential to volatize small quantities of certain herbicides</w:t>
      </w:r>
      <w:r w:rsidR="00DD0288">
        <w:t xml:space="preserve"> over the duration of the smoldering phase</w:t>
      </w:r>
      <w:r>
        <w:t>. However, exposure analyses indicat</w:t>
      </w:r>
      <w:r w:rsidR="00DD0288">
        <w:t>e</w:t>
      </w:r>
      <w:r>
        <w:t xml:space="preserve"> that even under conditions of smoldering fires, no significant human health risks from herbicides where present. Naturally occurring chemical by-products of combustion</w:t>
      </w:r>
      <w:r w:rsidR="00DD0288">
        <w:t xml:space="preserve"> (e.g., </w:t>
      </w:r>
      <w:r w:rsidR="00C5527D">
        <w:t>PM</w:t>
      </w:r>
      <w:r w:rsidR="00C5527D">
        <w:rPr>
          <w:vertAlign w:val="subscript"/>
        </w:rPr>
        <w:t>2.5</w:t>
      </w:r>
      <w:r w:rsidR="00C5527D">
        <w:t>, CO, formaldehyde, acrolein</w:t>
      </w:r>
      <w:r w:rsidR="00DD0288">
        <w:t>)</w:t>
      </w:r>
      <w:r>
        <w:t xml:space="preserve"> are a far greater risk to human health</w:t>
      </w:r>
      <w:r w:rsidR="00DD0288">
        <w:t xml:space="preserve"> than combustion of herbicides</w:t>
      </w:r>
      <w:r>
        <w:t xml:space="preserve"> (Bush et al. 1998)</w:t>
      </w:r>
      <w:r w:rsidRPr="000822D4">
        <w:t>.</w:t>
      </w:r>
    </w:p>
    <w:bookmarkEnd w:id="53"/>
    <w:p w14:paraId="0A00CA0D" w14:textId="0CE2147A" w:rsidR="00C05802" w:rsidRDefault="00C05802" w:rsidP="00C05802">
      <w:pPr>
        <w:pStyle w:val="Heading4"/>
      </w:pPr>
      <w:r>
        <w:t>Existing Levels of Emissions Generated by Wildfires</w:t>
      </w:r>
    </w:p>
    <w:p w14:paraId="5B540CFE" w14:textId="4C580B67" w:rsidR="00C05802" w:rsidRDefault="00C05802" w:rsidP="00C05802">
      <w:pPr>
        <w:pStyle w:val="BodyText"/>
      </w:pPr>
      <w:r>
        <w:t xml:space="preserve">As discussed in Section 1.1, </w:t>
      </w:r>
      <w:r w:rsidR="00670EB0">
        <w:t>“</w:t>
      </w:r>
      <w:r>
        <w:t>Purpose of CalVTP,</w:t>
      </w:r>
      <w:r w:rsidR="00670EB0">
        <w:t>”</w:t>
      </w:r>
      <w:r>
        <w:t xml:space="preserve"> fires are a natural component of California</w:t>
      </w:r>
      <w:r w:rsidR="00670EB0">
        <w:t>’</w:t>
      </w:r>
      <w:r>
        <w:t xml:space="preserve">s ecosystems. However, wildfires can pose a threat to human communities. </w:t>
      </w:r>
      <w:r w:rsidRPr="009943A1">
        <w:rPr>
          <w:rFonts w:eastAsia="Calibri" w:cs="Segoe UI Semilight"/>
        </w:rPr>
        <w:t xml:space="preserve">Wildfire events cause direct physical </w:t>
      </w:r>
      <w:r w:rsidR="000B3DDE">
        <w:rPr>
          <w:rFonts w:eastAsia="Calibri" w:cs="Segoe UI Semilight"/>
        </w:rPr>
        <w:t>harm</w:t>
      </w:r>
      <w:r w:rsidR="000B3DDE" w:rsidRPr="009943A1">
        <w:rPr>
          <w:rFonts w:eastAsia="Calibri" w:cs="Segoe UI Semilight"/>
        </w:rPr>
        <w:t xml:space="preserve"> </w:t>
      </w:r>
      <w:r w:rsidRPr="009943A1">
        <w:rPr>
          <w:rFonts w:eastAsia="Calibri" w:cs="Segoe UI Semilight"/>
        </w:rPr>
        <w:t xml:space="preserve">to humans, </w:t>
      </w:r>
      <w:r w:rsidR="000B3DDE">
        <w:rPr>
          <w:rFonts w:eastAsia="Calibri" w:cs="Segoe UI Semilight"/>
        </w:rPr>
        <w:t xml:space="preserve">and damage to </w:t>
      </w:r>
      <w:r w:rsidRPr="009943A1">
        <w:rPr>
          <w:rFonts w:eastAsia="Calibri" w:cs="Segoe UI Semilight"/>
        </w:rPr>
        <w:t xml:space="preserve">structures and </w:t>
      </w:r>
      <w:r w:rsidR="00A8501F">
        <w:rPr>
          <w:rFonts w:eastAsia="Calibri" w:cs="Segoe UI Semilight"/>
        </w:rPr>
        <w:t>natural</w:t>
      </w:r>
      <w:r w:rsidRPr="009943A1">
        <w:rPr>
          <w:rFonts w:eastAsia="Calibri" w:cs="Segoe UI Semilight"/>
        </w:rPr>
        <w:t xml:space="preserve"> resources</w:t>
      </w:r>
      <w:r w:rsidR="000B3DDE">
        <w:rPr>
          <w:rFonts w:eastAsia="Calibri" w:cs="Segoe UI Semilight"/>
        </w:rPr>
        <w:t>,</w:t>
      </w:r>
      <w:r w:rsidRPr="009943A1">
        <w:rPr>
          <w:rFonts w:eastAsia="Calibri" w:cs="Segoe UI Semilight"/>
        </w:rPr>
        <w:t xml:space="preserve"> </w:t>
      </w:r>
      <w:r w:rsidR="00A8501F">
        <w:rPr>
          <w:rFonts w:eastAsia="Calibri" w:cs="Segoe UI Semilight"/>
        </w:rPr>
        <w:t>as well as</w:t>
      </w:r>
      <w:r w:rsidR="00A8501F" w:rsidRPr="009943A1">
        <w:rPr>
          <w:rFonts w:eastAsia="Calibri" w:cs="Segoe UI Semilight"/>
        </w:rPr>
        <w:t xml:space="preserve"> </w:t>
      </w:r>
      <w:r w:rsidRPr="009943A1">
        <w:rPr>
          <w:rFonts w:eastAsia="Calibri" w:cs="Segoe UI Semilight"/>
        </w:rPr>
        <w:t>contribute to global climate change and air quality degradation</w:t>
      </w:r>
      <w:r>
        <w:rPr>
          <w:rFonts w:eastAsia="Calibri" w:cs="Segoe UI Semilight"/>
        </w:rPr>
        <w:t>.</w:t>
      </w:r>
      <w:r w:rsidR="001D664C" w:rsidRPr="001D664C">
        <w:t xml:space="preserve"> </w:t>
      </w:r>
      <w:r w:rsidR="001D664C">
        <w:t>During the second half of the 20</w:t>
      </w:r>
      <w:r w:rsidR="001D664C" w:rsidRPr="00935A71">
        <w:rPr>
          <w:vertAlign w:val="superscript"/>
        </w:rPr>
        <w:t>th</w:t>
      </w:r>
      <w:r w:rsidR="001D664C">
        <w:t xml:space="preserve"> century</w:t>
      </w:r>
      <w:r>
        <w:t>, California</w:t>
      </w:r>
      <w:r w:rsidR="00670EB0">
        <w:t>’</w:t>
      </w:r>
      <w:r>
        <w:t>s wildfires were less severe, burn</w:t>
      </w:r>
      <w:r w:rsidR="001D664C">
        <w:t>ed</w:t>
      </w:r>
      <w:r>
        <w:t xml:space="preserve"> fewer acres</w:t>
      </w:r>
      <w:r w:rsidR="001D664C">
        <w:t>,</w:t>
      </w:r>
      <w:r>
        <w:t xml:space="preserve"> and</w:t>
      </w:r>
      <w:r w:rsidR="001D664C">
        <w:t>/or</w:t>
      </w:r>
      <w:r>
        <w:t xml:space="preserve"> destroy</w:t>
      </w:r>
      <w:r w:rsidR="001D664C">
        <w:t>ed</w:t>
      </w:r>
      <w:r>
        <w:t xml:space="preserve"> fewer structures by factors of two and three, respectively, when compared with modern fire statistics (CAL FIRE 2018</w:t>
      </w:r>
      <w:r w:rsidR="00722536">
        <w:t>a</w:t>
      </w:r>
      <w:r>
        <w:t>). Climate change is exacerbating wildfire conditions, and fire seasons have been extending further into the winter months since 2000.</w:t>
      </w:r>
      <w:r w:rsidR="00444E5E">
        <w:t xml:space="preserve"> The </w:t>
      </w:r>
      <w:r w:rsidR="0038506F">
        <w:t xml:space="preserve">catastrophic </w:t>
      </w:r>
      <w:r w:rsidR="00444E5E">
        <w:t>wildfires in</w:t>
      </w:r>
      <w:r>
        <w:t xml:space="preserve"> October and December of 2017 serve as prime examples of the expanding fire season (CAL FIRE 2018</w:t>
      </w:r>
      <w:r w:rsidR="00722536">
        <w:t>b</w:t>
      </w:r>
      <w:r>
        <w:t>). Fifteen of the state</w:t>
      </w:r>
      <w:r w:rsidR="00670EB0">
        <w:t>’</w:t>
      </w:r>
      <w:r>
        <w:t>s 20 most destructive wildfires have occurred since 2003 (CAL FIRE 2019).</w:t>
      </w:r>
    </w:p>
    <w:p w14:paraId="12812F88" w14:textId="2E391F8B" w:rsidR="006F0D34" w:rsidRDefault="006F0D34" w:rsidP="00C05802">
      <w:pPr>
        <w:pStyle w:val="BodyText"/>
      </w:pPr>
      <w:r w:rsidRPr="006F0D34">
        <w:t xml:space="preserve">To highlight the significance of emissions </w:t>
      </w:r>
      <w:r w:rsidR="0038506F">
        <w:t xml:space="preserve">from burning </w:t>
      </w:r>
      <w:r w:rsidRPr="006F0D34">
        <w:t>in the United States, wildfire</w:t>
      </w:r>
      <w:r w:rsidR="0038506F">
        <w:t>,</w:t>
      </w:r>
      <w:r w:rsidRPr="006F0D34">
        <w:t xml:space="preserve"> </w:t>
      </w:r>
      <w:r w:rsidR="0038506F" w:rsidRPr="006F0D34">
        <w:t>agricultural burning</w:t>
      </w:r>
      <w:r w:rsidR="0038506F">
        <w:t>, and</w:t>
      </w:r>
      <w:r w:rsidR="0038506F" w:rsidRPr="006F0D34">
        <w:t xml:space="preserve"> </w:t>
      </w:r>
      <w:r w:rsidRPr="006F0D34">
        <w:t xml:space="preserve">prescribed </w:t>
      </w:r>
      <w:r w:rsidR="00A34B04">
        <w:t>burning</w:t>
      </w:r>
      <w:r w:rsidR="0038506F">
        <w:t xml:space="preserve"> for wildfire prevention</w:t>
      </w:r>
      <w:r w:rsidR="00A34B04">
        <w:t xml:space="preserve"> </w:t>
      </w:r>
      <w:r w:rsidRPr="006F0D34">
        <w:t>made up 3</w:t>
      </w:r>
      <w:r w:rsidR="001F01F4">
        <w:t>2</w:t>
      </w:r>
      <w:r w:rsidR="005F4E46">
        <w:t xml:space="preserve"> percent</w:t>
      </w:r>
      <w:r w:rsidRPr="006F0D34">
        <w:t xml:space="preserve"> of the nation</w:t>
      </w:r>
      <w:r w:rsidR="00670EB0">
        <w:t>’</w:t>
      </w:r>
      <w:r w:rsidRPr="006F0D34">
        <w:t>s annual fine particulate emissions</w:t>
      </w:r>
      <w:r w:rsidR="0038506F" w:rsidRPr="0038506F">
        <w:t xml:space="preserve"> </w:t>
      </w:r>
      <w:r w:rsidR="0038506F">
        <w:t>according to</w:t>
      </w:r>
      <w:r w:rsidR="0038506F" w:rsidRPr="006F0D34">
        <w:t xml:space="preserve"> the 2011 National Emissions Inventory (</w:t>
      </w:r>
      <w:r w:rsidR="0038506F" w:rsidRPr="00755C28">
        <w:t>EPA</w:t>
      </w:r>
      <w:r w:rsidR="0038506F" w:rsidRPr="006F0D34">
        <w:t xml:space="preserve"> 2014)</w:t>
      </w:r>
      <w:r w:rsidRPr="006F0D34">
        <w:t xml:space="preserve">; science supporting new emission factors </w:t>
      </w:r>
      <w:r w:rsidR="0038506F">
        <w:t>has increased</w:t>
      </w:r>
      <w:r w:rsidRPr="006F0D34">
        <w:t xml:space="preserve"> that number to 48</w:t>
      </w:r>
      <w:r w:rsidR="00B17FA8">
        <w:t xml:space="preserve"> percent</w:t>
      </w:r>
      <w:r w:rsidRPr="006F0D34">
        <w:t xml:space="preserve"> (</w:t>
      </w:r>
      <w:r w:rsidR="006D3B88">
        <w:t>NWCG 2018:6</w:t>
      </w:r>
      <w:r w:rsidRPr="006F0D34">
        <w:t xml:space="preserve">). This category </w:t>
      </w:r>
      <w:r w:rsidR="0038506F">
        <w:t xml:space="preserve">(burning) </w:t>
      </w:r>
      <w:r w:rsidRPr="006F0D34">
        <w:t>has grown in importance</w:t>
      </w:r>
      <w:r w:rsidR="0038506F">
        <w:t>, considering i</w:t>
      </w:r>
      <w:r w:rsidR="00C5527D">
        <w:t>t</w:t>
      </w:r>
      <w:r w:rsidR="0038506F">
        <w:t>s increased prevalence,</w:t>
      </w:r>
      <w:r w:rsidRPr="006F0D34">
        <w:t xml:space="preserve"> when compared to other pollution sources.</w:t>
      </w:r>
    </w:p>
    <w:p w14:paraId="428355EC" w14:textId="6860E154" w:rsidR="00C05802" w:rsidRDefault="00C05802" w:rsidP="00C05802">
      <w:pPr>
        <w:pStyle w:val="BodyText"/>
        <w:rPr>
          <w:rFonts w:eastAsia="Calibri" w:cs="Segoe UI Semilight"/>
        </w:rPr>
      </w:pPr>
      <w:r>
        <w:rPr>
          <w:rFonts w:eastAsia="Calibri" w:cs="Segoe UI Semilight"/>
        </w:rPr>
        <w:lastRenderedPageBreak/>
        <w:t xml:space="preserve">Wildfire-generated air pollutant emissions are not considered </w:t>
      </w:r>
      <w:r w:rsidR="000B3DDE">
        <w:rPr>
          <w:rFonts w:eastAsia="Calibri" w:cs="Segoe UI Semilight"/>
        </w:rPr>
        <w:t xml:space="preserve">by CARB to be </w:t>
      </w:r>
      <w:r>
        <w:rPr>
          <w:rFonts w:eastAsia="Calibri" w:cs="Segoe UI Semilight"/>
        </w:rPr>
        <w:t>anthropogenic sources and, as a result, are not included in CARB</w:t>
      </w:r>
      <w:r w:rsidR="00670EB0">
        <w:rPr>
          <w:rFonts w:eastAsia="Calibri" w:cs="Segoe UI Semilight"/>
        </w:rPr>
        <w:t>’</w:t>
      </w:r>
      <w:r>
        <w:rPr>
          <w:rFonts w:eastAsia="Calibri" w:cs="Segoe UI Semilight"/>
        </w:rPr>
        <w:t xml:space="preserve">s statewide emissions inventory. </w:t>
      </w:r>
      <w:r w:rsidRPr="009943A1">
        <w:rPr>
          <w:rFonts w:eastAsia="Calibri" w:cs="Segoe UI Semilight"/>
        </w:rPr>
        <w:t>Table 3.4-</w:t>
      </w:r>
      <w:r w:rsidR="009D5745">
        <w:rPr>
          <w:rFonts w:eastAsia="Calibri" w:cs="Segoe UI Semilight"/>
        </w:rPr>
        <w:t>5</w:t>
      </w:r>
      <w:r w:rsidRPr="009943A1">
        <w:rPr>
          <w:rFonts w:eastAsia="Calibri" w:cs="Segoe UI Semilight"/>
        </w:rPr>
        <w:t xml:space="preserve"> summarizes CARB</w:t>
      </w:r>
      <w:r w:rsidR="00670EB0">
        <w:rPr>
          <w:rFonts w:eastAsia="Calibri" w:cs="Segoe UI Semilight"/>
        </w:rPr>
        <w:t>’</w:t>
      </w:r>
      <w:r w:rsidRPr="009943A1">
        <w:rPr>
          <w:rFonts w:eastAsia="Calibri" w:cs="Segoe UI Semilight"/>
        </w:rPr>
        <w:t xml:space="preserve">s </w:t>
      </w:r>
      <w:r>
        <w:rPr>
          <w:rFonts w:eastAsia="Calibri" w:cs="Segoe UI Semilight"/>
        </w:rPr>
        <w:t xml:space="preserve">discrete </w:t>
      </w:r>
      <w:r w:rsidRPr="009943A1">
        <w:rPr>
          <w:rFonts w:eastAsia="Calibri" w:cs="Segoe UI Semilight"/>
        </w:rPr>
        <w:t>estimation of PM</w:t>
      </w:r>
      <w:r w:rsidRPr="009943A1">
        <w:rPr>
          <w:rFonts w:eastAsia="Calibri" w:cs="Segoe UI Semilight"/>
          <w:vertAlign w:val="subscript"/>
        </w:rPr>
        <w:t>10</w:t>
      </w:r>
      <w:r w:rsidRPr="009943A1">
        <w:rPr>
          <w:rFonts w:eastAsia="Calibri" w:cs="Segoe UI Semilight"/>
        </w:rPr>
        <w:t xml:space="preserve"> and PM</w:t>
      </w:r>
      <w:r w:rsidRPr="009943A1">
        <w:rPr>
          <w:rFonts w:eastAsia="Calibri" w:cs="Segoe UI Semilight"/>
          <w:vertAlign w:val="subscript"/>
        </w:rPr>
        <w:t>2.5</w:t>
      </w:r>
      <w:r w:rsidRPr="009943A1">
        <w:rPr>
          <w:rFonts w:eastAsia="Calibri" w:cs="Segoe UI Semilight"/>
        </w:rPr>
        <w:t xml:space="preserve"> emissions </w:t>
      </w:r>
      <w:r>
        <w:rPr>
          <w:rFonts w:eastAsia="Calibri" w:cs="Segoe UI Semilight"/>
        </w:rPr>
        <w:t xml:space="preserve">as well as total acres burned </w:t>
      </w:r>
      <w:r w:rsidR="0038506F">
        <w:rPr>
          <w:rFonts w:eastAsia="Calibri" w:cs="Segoe UI Semilight"/>
        </w:rPr>
        <w:t>from</w:t>
      </w:r>
      <w:r w:rsidRPr="009943A1">
        <w:rPr>
          <w:rFonts w:eastAsia="Calibri" w:cs="Segoe UI Semilight"/>
        </w:rPr>
        <w:t xml:space="preserve"> wildfire between 2007 and 2017 (CARB 2019</w:t>
      </w:r>
      <w:r w:rsidR="001F01F4">
        <w:rPr>
          <w:rFonts w:eastAsia="Calibri" w:cs="Segoe UI Semilight"/>
        </w:rPr>
        <w:t>a</w:t>
      </w:r>
      <w:r w:rsidRPr="009943A1">
        <w:rPr>
          <w:rFonts w:eastAsia="Calibri" w:cs="Segoe UI Semilight"/>
        </w:rPr>
        <w:t xml:space="preserve">). As shown in the table, the level of </w:t>
      </w:r>
      <w:r>
        <w:rPr>
          <w:rFonts w:eastAsia="Calibri" w:cs="Segoe UI Semilight"/>
        </w:rPr>
        <w:t xml:space="preserve">acres </w:t>
      </w:r>
      <w:r w:rsidR="00A34B04">
        <w:rPr>
          <w:rFonts w:eastAsia="Calibri" w:cs="Segoe UI Semilight"/>
        </w:rPr>
        <w:t>burned</w:t>
      </w:r>
      <w:r>
        <w:rPr>
          <w:rFonts w:eastAsia="Calibri" w:cs="Segoe UI Semilight"/>
        </w:rPr>
        <w:t xml:space="preserve"> and particulate matter</w:t>
      </w:r>
      <w:r w:rsidRPr="009943A1">
        <w:rPr>
          <w:rFonts w:eastAsia="Calibri" w:cs="Segoe UI Semilight"/>
        </w:rPr>
        <w:t xml:space="preserve"> emitted from wildfires across the state vary year to year with a statewide average of</w:t>
      </w:r>
      <w:r>
        <w:rPr>
          <w:rFonts w:eastAsia="Calibri" w:cs="Segoe UI Semilight"/>
        </w:rPr>
        <w:t xml:space="preserve"> 0.69 million acres burned and</w:t>
      </w:r>
      <w:r w:rsidRPr="009943A1">
        <w:rPr>
          <w:rFonts w:eastAsia="Calibri" w:cs="Segoe UI Semilight"/>
        </w:rPr>
        <w:t xml:space="preserve"> 261 and 221 thousand tons</w:t>
      </w:r>
      <w:r>
        <w:rPr>
          <w:rFonts w:eastAsia="Calibri" w:cs="Segoe UI Semilight"/>
        </w:rPr>
        <w:t xml:space="preserve"> for PM</w:t>
      </w:r>
      <w:r>
        <w:rPr>
          <w:rFonts w:eastAsia="Calibri" w:cs="Segoe UI Semilight"/>
          <w:vertAlign w:val="subscript"/>
        </w:rPr>
        <w:t>10</w:t>
      </w:r>
      <w:r>
        <w:rPr>
          <w:rFonts w:eastAsia="Calibri" w:cs="Segoe UI Semilight"/>
        </w:rPr>
        <w:t xml:space="preserve"> and PM</w:t>
      </w:r>
      <w:r>
        <w:rPr>
          <w:rFonts w:eastAsia="Calibri" w:cs="Segoe UI Semilight"/>
          <w:vertAlign w:val="subscript"/>
        </w:rPr>
        <w:t>2.5</w:t>
      </w:r>
      <w:r>
        <w:rPr>
          <w:rFonts w:eastAsia="Calibri" w:cs="Segoe UI Semilight"/>
        </w:rPr>
        <w:t>, respectively,</w:t>
      </w:r>
      <w:r w:rsidRPr="009943A1">
        <w:rPr>
          <w:rFonts w:eastAsia="Calibri" w:cs="Segoe UI Semilight"/>
        </w:rPr>
        <w:t xml:space="preserve"> during the 2007–2017 period. This does not account for the wildfires that occurred during 2018, which were the largest and most </w:t>
      </w:r>
      <w:r w:rsidR="0038506F">
        <w:rPr>
          <w:rFonts w:eastAsia="Calibri" w:cs="Segoe UI Semilight"/>
        </w:rPr>
        <w:t>destructive</w:t>
      </w:r>
      <w:r w:rsidR="0038506F" w:rsidRPr="009943A1">
        <w:rPr>
          <w:rFonts w:eastAsia="Calibri" w:cs="Segoe UI Semilight"/>
        </w:rPr>
        <w:t xml:space="preserve"> </w:t>
      </w:r>
      <w:r w:rsidRPr="009943A1">
        <w:rPr>
          <w:rFonts w:eastAsia="Calibri" w:cs="Segoe UI Semilight"/>
        </w:rPr>
        <w:t xml:space="preserve">on record. </w:t>
      </w:r>
      <w:r>
        <w:rPr>
          <w:rFonts w:eastAsia="Calibri" w:cs="Segoe UI Semilight"/>
        </w:rPr>
        <w:t>Thus, it is likely that particulate matter</w:t>
      </w:r>
      <w:r w:rsidRPr="009943A1">
        <w:rPr>
          <w:rFonts w:eastAsia="Calibri" w:cs="Segoe UI Semilight"/>
        </w:rPr>
        <w:t xml:space="preserve"> emissions from </w:t>
      </w:r>
      <w:bookmarkStart w:id="54" w:name="_Hlk18078591"/>
      <w:r>
        <w:rPr>
          <w:rFonts w:eastAsia="Calibri" w:cs="Segoe UI Semilight"/>
        </w:rPr>
        <w:t>2018 wild</w:t>
      </w:r>
      <w:r w:rsidRPr="009943A1">
        <w:rPr>
          <w:rFonts w:eastAsia="Calibri" w:cs="Segoe UI Semilight"/>
        </w:rPr>
        <w:t xml:space="preserve">fires </w:t>
      </w:r>
      <w:r>
        <w:rPr>
          <w:rFonts w:eastAsia="Calibri" w:cs="Segoe UI Semilight"/>
        </w:rPr>
        <w:t>would</w:t>
      </w:r>
      <w:r w:rsidRPr="009943A1">
        <w:rPr>
          <w:rFonts w:eastAsia="Calibri" w:cs="Segoe UI Semilight"/>
        </w:rPr>
        <w:t xml:space="preserve"> exceed the numbers shown for 2008</w:t>
      </w:r>
      <w:bookmarkEnd w:id="54"/>
      <w:r>
        <w:rPr>
          <w:rFonts w:eastAsia="Calibri" w:cs="Segoe UI Semilight"/>
        </w:rPr>
        <w:t>,</w:t>
      </w:r>
      <w:r w:rsidRPr="009943A1">
        <w:rPr>
          <w:rFonts w:eastAsia="Calibri" w:cs="Segoe UI Semilight"/>
        </w:rPr>
        <w:t xml:space="preserve"> which was the highest </w:t>
      </w:r>
      <w:r>
        <w:rPr>
          <w:rFonts w:eastAsia="Calibri" w:cs="Segoe UI Semilight"/>
        </w:rPr>
        <w:t xml:space="preserve">year </w:t>
      </w:r>
      <w:r w:rsidRPr="009943A1">
        <w:rPr>
          <w:rFonts w:eastAsia="Calibri" w:cs="Segoe UI Semilight"/>
        </w:rPr>
        <w:t>in the past 10 years.</w:t>
      </w:r>
    </w:p>
    <w:p w14:paraId="67B1434E" w14:textId="7BBD6ABB" w:rsidR="00335804" w:rsidRPr="002F6170" w:rsidRDefault="00335804" w:rsidP="00335804">
      <w:pPr>
        <w:pStyle w:val="TableHeader"/>
        <w:rPr>
          <w:rFonts w:eastAsia="Calibri" w:cs="Segoe UI Semilight"/>
        </w:rPr>
      </w:pPr>
      <w:bookmarkStart w:id="55" w:name="_Toc23834435"/>
      <w:r w:rsidRPr="0039104F">
        <w:t>Table 3.4-5</w:t>
      </w:r>
      <w:r w:rsidRPr="0039104F">
        <w:tab/>
        <w:t>Annual PM Emissions and Acres Burned from Wildfire, 2007–2017</w:t>
      </w:r>
      <w:r w:rsidRPr="0039104F">
        <w:rPr>
          <w:vertAlign w:val="superscript"/>
        </w:rPr>
        <w:t>1</w:t>
      </w:r>
      <w:bookmarkEnd w:id="55"/>
    </w:p>
    <w:tbl>
      <w:tblPr>
        <w:tblStyle w:val="Default"/>
        <w:tblW w:w="10080" w:type="dxa"/>
        <w:jc w:val="center"/>
        <w:tblLayout w:type="fixed"/>
        <w:tblCellMar>
          <w:left w:w="115" w:type="dxa"/>
          <w:right w:w="115" w:type="dxa"/>
        </w:tblCellMar>
        <w:tblLook w:val="04A0" w:firstRow="1" w:lastRow="0" w:firstColumn="1" w:lastColumn="0" w:noHBand="0" w:noVBand="1"/>
      </w:tblPr>
      <w:tblGrid>
        <w:gridCol w:w="2520"/>
        <w:gridCol w:w="2520"/>
        <w:gridCol w:w="2520"/>
        <w:gridCol w:w="2520"/>
      </w:tblGrid>
      <w:tr w:rsidR="00C05802" w:rsidRPr="00335804" w14:paraId="62C3678F" w14:textId="77777777" w:rsidTr="00532E5D">
        <w:trPr>
          <w:cnfStyle w:val="100000000000" w:firstRow="1" w:lastRow="0" w:firstColumn="0" w:lastColumn="0" w:oddVBand="0" w:evenVBand="0" w:oddHBand="0" w:evenHBand="0" w:firstRowFirstColumn="0" w:firstRowLastColumn="0" w:lastRowFirstColumn="0" w:lastRowLastColumn="0"/>
          <w:tblHeader/>
          <w:jc w:val="center"/>
        </w:trPr>
        <w:tc>
          <w:tcPr>
            <w:tcW w:w="2520" w:type="dxa"/>
            <w:tcBorders>
              <w:top w:val="single" w:sz="4" w:space="0" w:color="auto"/>
              <w:left w:val="nil"/>
              <w:bottom w:val="single" w:sz="4" w:space="0" w:color="auto"/>
              <w:right w:val="single" w:sz="4" w:space="0" w:color="auto"/>
            </w:tcBorders>
            <w:shd w:val="clear" w:color="auto" w:fill="D9D9D9" w:themeFill="background1" w:themeFillShade="D9"/>
            <w:hideMark/>
          </w:tcPr>
          <w:p w14:paraId="0F515CF4" w14:textId="77777777" w:rsidR="00C05802" w:rsidRPr="00335804" w:rsidRDefault="00C05802" w:rsidP="00335804">
            <w:pPr>
              <w:pStyle w:val="TableColumn"/>
              <w:spacing w:after="100"/>
              <w:rPr>
                <w:b/>
                <w:bCs/>
              </w:rPr>
            </w:pPr>
            <w:r w:rsidRPr="00335804">
              <w:rPr>
                <w:b/>
                <w:bCs/>
              </w:rPr>
              <w:t>Year</w:t>
            </w:r>
          </w:p>
        </w:tc>
        <w:tc>
          <w:tcPr>
            <w:tcW w:w="2520" w:type="dxa"/>
            <w:tcBorders>
              <w:top w:val="single" w:sz="4" w:space="0" w:color="auto"/>
              <w:left w:val="single" w:sz="4" w:space="0" w:color="auto"/>
              <w:bottom w:val="single" w:sz="4" w:space="0" w:color="auto"/>
              <w:right w:val="nil"/>
            </w:tcBorders>
            <w:shd w:val="clear" w:color="auto" w:fill="D9D9D9" w:themeFill="background1" w:themeFillShade="D9"/>
            <w:hideMark/>
          </w:tcPr>
          <w:p w14:paraId="3F67BA3B" w14:textId="77777777" w:rsidR="00C05802" w:rsidRPr="00335804" w:rsidRDefault="00C05802" w:rsidP="00335804">
            <w:pPr>
              <w:pStyle w:val="TableColumn"/>
              <w:spacing w:after="100"/>
              <w:rPr>
                <w:b/>
                <w:bCs/>
              </w:rPr>
            </w:pPr>
            <w:r w:rsidRPr="00335804">
              <w:rPr>
                <w:b/>
                <w:bCs/>
              </w:rPr>
              <w:t>PM</w:t>
            </w:r>
            <w:r w:rsidRPr="00335804">
              <w:rPr>
                <w:b/>
                <w:bCs/>
                <w:vertAlign w:val="subscript"/>
              </w:rPr>
              <w:t>10</w:t>
            </w:r>
            <w:r w:rsidRPr="00335804">
              <w:rPr>
                <w:b/>
                <w:bCs/>
              </w:rPr>
              <w:t xml:space="preserve"> (thousand tons per year)</w:t>
            </w:r>
            <w:r w:rsidRPr="00335804">
              <w:rPr>
                <w:b/>
                <w:bCs/>
                <w:vertAlign w:val="superscript"/>
              </w:rPr>
              <w:t>1</w:t>
            </w:r>
          </w:p>
        </w:tc>
        <w:tc>
          <w:tcPr>
            <w:tcW w:w="2520" w:type="dxa"/>
            <w:tcBorders>
              <w:top w:val="single" w:sz="4" w:space="0" w:color="auto"/>
              <w:left w:val="single" w:sz="4" w:space="0" w:color="auto"/>
              <w:bottom w:val="single" w:sz="4" w:space="0" w:color="auto"/>
              <w:right w:val="nil"/>
            </w:tcBorders>
            <w:shd w:val="clear" w:color="auto" w:fill="D9D9D9" w:themeFill="background1" w:themeFillShade="D9"/>
          </w:tcPr>
          <w:p w14:paraId="09604F1D" w14:textId="11659D16" w:rsidR="00C05802" w:rsidRPr="00335804" w:rsidRDefault="00C05802" w:rsidP="00335804">
            <w:pPr>
              <w:pStyle w:val="TableColumn"/>
              <w:spacing w:after="100"/>
              <w:rPr>
                <w:b/>
                <w:bCs/>
              </w:rPr>
            </w:pPr>
            <w:r w:rsidRPr="00335804">
              <w:rPr>
                <w:b/>
                <w:bCs/>
              </w:rPr>
              <w:t>PM</w:t>
            </w:r>
            <w:r w:rsidRPr="00335804">
              <w:rPr>
                <w:b/>
                <w:bCs/>
                <w:vertAlign w:val="subscript"/>
              </w:rPr>
              <w:t>2.5</w:t>
            </w:r>
            <w:r w:rsidRPr="00335804">
              <w:rPr>
                <w:b/>
                <w:bCs/>
              </w:rPr>
              <w:t xml:space="preserve"> (thousand tons per year)</w:t>
            </w:r>
            <w:r w:rsidR="001F01F4" w:rsidRPr="00335804">
              <w:rPr>
                <w:b/>
                <w:bCs/>
                <w:vertAlign w:val="superscript"/>
              </w:rPr>
              <w:t>2</w:t>
            </w:r>
          </w:p>
        </w:tc>
        <w:tc>
          <w:tcPr>
            <w:tcW w:w="2520" w:type="dxa"/>
            <w:tcBorders>
              <w:top w:val="single" w:sz="4" w:space="0" w:color="auto"/>
              <w:left w:val="single" w:sz="4" w:space="0" w:color="auto"/>
              <w:bottom w:val="single" w:sz="4" w:space="0" w:color="auto"/>
              <w:right w:val="nil"/>
            </w:tcBorders>
            <w:shd w:val="clear" w:color="auto" w:fill="D9D9D9" w:themeFill="background1" w:themeFillShade="D9"/>
          </w:tcPr>
          <w:p w14:paraId="4EC7D1AB" w14:textId="77777777" w:rsidR="00C05802" w:rsidRPr="00335804" w:rsidRDefault="00C05802" w:rsidP="00335804">
            <w:pPr>
              <w:pStyle w:val="TableColumn"/>
              <w:spacing w:after="100"/>
              <w:rPr>
                <w:b/>
                <w:bCs/>
              </w:rPr>
            </w:pPr>
            <w:r w:rsidRPr="00335804">
              <w:rPr>
                <w:b/>
                <w:bCs/>
              </w:rPr>
              <w:t>Acres Burned (million)</w:t>
            </w:r>
          </w:p>
        </w:tc>
      </w:tr>
      <w:tr w:rsidR="00C05802" w:rsidRPr="002F6170" w14:paraId="6E8B6FE3" w14:textId="77777777" w:rsidTr="004120CA">
        <w:trPr>
          <w:jc w:val="center"/>
        </w:trPr>
        <w:tc>
          <w:tcPr>
            <w:tcW w:w="2520" w:type="dxa"/>
            <w:tcBorders>
              <w:top w:val="single" w:sz="4" w:space="0" w:color="auto"/>
              <w:left w:val="nil"/>
              <w:bottom w:val="single" w:sz="4" w:space="0" w:color="auto"/>
              <w:right w:val="single" w:sz="4" w:space="0" w:color="auto"/>
            </w:tcBorders>
            <w:hideMark/>
          </w:tcPr>
          <w:p w14:paraId="7D68BC00" w14:textId="77777777" w:rsidR="00C05802" w:rsidRPr="002F6170" w:rsidRDefault="00C05802" w:rsidP="00350016">
            <w:pPr>
              <w:pStyle w:val="TableText"/>
            </w:pPr>
            <w:r w:rsidRPr="002F6170">
              <w:t>2007</w:t>
            </w:r>
          </w:p>
        </w:tc>
        <w:tc>
          <w:tcPr>
            <w:tcW w:w="2520" w:type="dxa"/>
            <w:tcBorders>
              <w:top w:val="single" w:sz="4" w:space="0" w:color="auto"/>
              <w:left w:val="single" w:sz="4" w:space="0" w:color="auto"/>
              <w:bottom w:val="single" w:sz="4" w:space="0" w:color="auto"/>
              <w:right w:val="nil"/>
            </w:tcBorders>
          </w:tcPr>
          <w:p w14:paraId="36015126" w14:textId="77777777" w:rsidR="00C05802" w:rsidRPr="002F6170" w:rsidRDefault="00C05802" w:rsidP="00350016">
            <w:pPr>
              <w:pStyle w:val="TableText"/>
            </w:pPr>
            <w:r>
              <w:t>219</w:t>
            </w:r>
          </w:p>
        </w:tc>
        <w:tc>
          <w:tcPr>
            <w:tcW w:w="2520" w:type="dxa"/>
            <w:tcBorders>
              <w:top w:val="single" w:sz="4" w:space="0" w:color="auto"/>
              <w:left w:val="single" w:sz="4" w:space="0" w:color="auto"/>
              <w:bottom w:val="single" w:sz="4" w:space="0" w:color="auto"/>
              <w:right w:val="nil"/>
            </w:tcBorders>
          </w:tcPr>
          <w:p w14:paraId="6B92F019" w14:textId="77777777" w:rsidR="00C05802" w:rsidRPr="002F6170" w:rsidRDefault="00C05802" w:rsidP="00350016">
            <w:pPr>
              <w:pStyle w:val="TableText"/>
            </w:pPr>
            <w:r>
              <w:t>186</w:t>
            </w:r>
          </w:p>
        </w:tc>
        <w:tc>
          <w:tcPr>
            <w:tcW w:w="2520" w:type="dxa"/>
            <w:tcBorders>
              <w:top w:val="single" w:sz="4" w:space="0" w:color="auto"/>
              <w:left w:val="single" w:sz="4" w:space="0" w:color="auto"/>
              <w:bottom w:val="single" w:sz="4" w:space="0" w:color="auto"/>
              <w:right w:val="nil"/>
            </w:tcBorders>
          </w:tcPr>
          <w:p w14:paraId="7F11F25A" w14:textId="77777777" w:rsidR="00C05802" w:rsidRPr="002F6170" w:rsidRDefault="00C05802" w:rsidP="00350016">
            <w:pPr>
              <w:pStyle w:val="TableText"/>
            </w:pPr>
            <w:r>
              <w:t>1.04</w:t>
            </w:r>
          </w:p>
        </w:tc>
      </w:tr>
      <w:tr w:rsidR="00C05802" w:rsidRPr="002F6170" w14:paraId="527219B5" w14:textId="77777777" w:rsidTr="004120CA">
        <w:trPr>
          <w:jc w:val="center"/>
        </w:trPr>
        <w:tc>
          <w:tcPr>
            <w:tcW w:w="2520" w:type="dxa"/>
            <w:tcBorders>
              <w:top w:val="single" w:sz="4" w:space="0" w:color="auto"/>
              <w:left w:val="nil"/>
              <w:bottom w:val="single" w:sz="4" w:space="0" w:color="auto"/>
              <w:right w:val="single" w:sz="4" w:space="0" w:color="auto"/>
            </w:tcBorders>
            <w:hideMark/>
          </w:tcPr>
          <w:p w14:paraId="765047C8" w14:textId="77777777" w:rsidR="00C05802" w:rsidRPr="002F6170" w:rsidRDefault="00C05802" w:rsidP="00350016">
            <w:pPr>
              <w:pStyle w:val="TableText"/>
            </w:pPr>
            <w:r w:rsidRPr="002F6170">
              <w:t>2008</w:t>
            </w:r>
          </w:p>
        </w:tc>
        <w:tc>
          <w:tcPr>
            <w:tcW w:w="2520" w:type="dxa"/>
            <w:tcBorders>
              <w:top w:val="single" w:sz="4" w:space="0" w:color="auto"/>
              <w:left w:val="single" w:sz="4" w:space="0" w:color="auto"/>
              <w:bottom w:val="single" w:sz="4" w:space="0" w:color="auto"/>
              <w:right w:val="nil"/>
            </w:tcBorders>
          </w:tcPr>
          <w:p w14:paraId="00DEA84A" w14:textId="77777777" w:rsidR="00C05802" w:rsidRPr="002F6170" w:rsidRDefault="00C05802" w:rsidP="00350016">
            <w:pPr>
              <w:pStyle w:val="TableText"/>
            </w:pPr>
            <w:r>
              <w:t>675</w:t>
            </w:r>
          </w:p>
        </w:tc>
        <w:tc>
          <w:tcPr>
            <w:tcW w:w="2520" w:type="dxa"/>
            <w:tcBorders>
              <w:top w:val="single" w:sz="4" w:space="0" w:color="auto"/>
              <w:left w:val="single" w:sz="4" w:space="0" w:color="auto"/>
              <w:bottom w:val="single" w:sz="4" w:space="0" w:color="auto"/>
              <w:right w:val="nil"/>
            </w:tcBorders>
          </w:tcPr>
          <w:p w14:paraId="78EAD042" w14:textId="77777777" w:rsidR="00C05802" w:rsidRPr="002F6170" w:rsidRDefault="00C05802" w:rsidP="00350016">
            <w:pPr>
              <w:pStyle w:val="TableText"/>
            </w:pPr>
            <w:r>
              <w:t>572</w:t>
            </w:r>
          </w:p>
        </w:tc>
        <w:tc>
          <w:tcPr>
            <w:tcW w:w="2520" w:type="dxa"/>
            <w:tcBorders>
              <w:top w:val="single" w:sz="4" w:space="0" w:color="auto"/>
              <w:left w:val="single" w:sz="4" w:space="0" w:color="auto"/>
              <w:bottom w:val="single" w:sz="4" w:space="0" w:color="auto"/>
              <w:right w:val="nil"/>
            </w:tcBorders>
          </w:tcPr>
          <w:p w14:paraId="634468B7" w14:textId="77777777" w:rsidR="00C05802" w:rsidRPr="002F6170" w:rsidRDefault="00C05802" w:rsidP="00350016">
            <w:pPr>
              <w:pStyle w:val="TableText"/>
            </w:pPr>
            <w:r>
              <w:t>1.35</w:t>
            </w:r>
          </w:p>
        </w:tc>
      </w:tr>
      <w:tr w:rsidR="00C05802" w:rsidRPr="002F6170" w14:paraId="6C319296" w14:textId="77777777" w:rsidTr="004120CA">
        <w:trPr>
          <w:jc w:val="center"/>
        </w:trPr>
        <w:tc>
          <w:tcPr>
            <w:tcW w:w="2520" w:type="dxa"/>
            <w:tcBorders>
              <w:top w:val="single" w:sz="4" w:space="0" w:color="auto"/>
              <w:left w:val="nil"/>
              <w:bottom w:val="single" w:sz="4" w:space="0" w:color="auto"/>
              <w:right w:val="single" w:sz="4" w:space="0" w:color="auto"/>
            </w:tcBorders>
            <w:hideMark/>
          </w:tcPr>
          <w:p w14:paraId="7E511DCD" w14:textId="77777777" w:rsidR="00C05802" w:rsidRPr="002F6170" w:rsidRDefault="00C05802" w:rsidP="00350016">
            <w:pPr>
              <w:pStyle w:val="TableText"/>
            </w:pPr>
            <w:r w:rsidRPr="002F6170">
              <w:t>2009</w:t>
            </w:r>
          </w:p>
        </w:tc>
        <w:tc>
          <w:tcPr>
            <w:tcW w:w="2520" w:type="dxa"/>
            <w:tcBorders>
              <w:top w:val="single" w:sz="4" w:space="0" w:color="auto"/>
              <w:left w:val="single" w:sz="4" w:space="0" w:color="auto"/>
              <w:bottom w:val="single" w:sz="4" w:space="0" w:color="auto"/>
              <w:right w:val="nil"/>
            </w:tcBorders>
          </w:tcPr>
          <w:p w14:paraId="08F134A4" w14:textId="77777777" w:rsidR="00C05802" w:rsidRPr="002F6170" w:rsidRDefault="00C05802" w:rsidP="00350016">
            <w:pPr>
              <w:pStyle w:val="TableText"/>
            </w:pPr>
            <w:r>
              <w:t>101</w:t>
            </w:r>
          </w:p>
        </w:tc>
        <w:tc>
          <w:tcPr>
            <w:tcW w:w="2520" w:type="dxa"/>
            <w:tcBorders>
              <w:top w:val="single" w:sz="4" w:space="0" w:color="auto"/>
              <w:left w:val="single" w:sz="4" w:space="0" w:color="auto"/>
              <w:bottom w:val="single" w:sz="4" w:space="0" w:color="auto"/>
              <w:right w:val="nil"/>
            </w:tcBorders>
          </w:tcPr>
          <w:p w14:paraId="287D3219" w14:textId="77777777" w:rsidR="00C05802" w:rsidRPr="002F6170" w:rsidRDefault="00C05802" w:rsidP="00350016">
            <w:pPr>
              <w:pStyle w:val="TableText"/>
            </w:pPr>
            <w:r>
              <w:t>86</w:t>
            </w:r>
          </w:p>
        </w:tc>
        <w:tc>
          <w:tcPr>
            <w:tcW w:w="2520" w:type="dxa"/>
            <w:tcBorders>
              <w:top w:val="single" w:sz="4" w:space="0" w:color="auto"/>
              <w:left w:val="single" w:sz="4" w:space="0" w:color="auto"/>
              <w:bottom w:val="single" w:sz="4" w:space="0" w:color="auto"/>
              <w:right w:val="nil"/>
            </w:tcBorders>
          </w:tcPr>
          <w:p w14:paraId="65F7BD99" w14:textId="77777777" w:rsidR="00C05802" w:rsidRPr="002F6170" w:rsidRDefault="00C05802" w:rsidP="00350016">
            <w:pPr>
              <w:pStyle w:val="TableText"/>
            </w:pPr>
            <w:r>
              <w:t>0.43</w:t>
            </w:r>
          </w:p>
        </w:tc>
      </w:tr>
      <w:tr w:rsidR="00C05802" w:rsidRPr="002F6170" w14:paraId="27D826BC" w14:textId="77777777" w:rsidTr="004120CA">
        <w:trPr>
          <w:jc w:val="center"/>
        </w:trPr>
        <w:tc>
          <w:tcPr>
            <w:tcW w:w="2520" w:type="dxa"/>
            <w:tcBorders>
              <w:top w:val="single" w:sz="4" w:space="0" w:color="auto"/>
              <w:left w:val="nil"/>
              <w:bottom w:val="single" w:sz="4" w:space="0" w:color="auto"/>
              <w:right w:val="single" w:sz="4" w:space="0" w:color="auto"/>
            </w:tcBorders>
            <w:hideMark/>
          </w:tcPr>
          <w:p w14:paraId="44D175EF" w14:textId="77777777" w:rsidR="00C05802" w:rsidRPr="002F6170" w:rsidRDefault="00C05802" w:rsidP="00350016">
            <w:pPr>
              <w:pStyle w:val="TableText"/>
            </w:pPr>
            <w:r w:rsidRPr="002F6170">
              <w:t>2010</w:t>
            </w:r>
          </w:p>
        </w:tc>
        <w:tc>
          <w:tcPr>
            <w:tcW w:w="2520" w:type="dxa"/>
            <w:tcBorders>
              <w:top w:val="single" w:sz="4" w:space="0" w:color="auto"/>
              <w:left w:val="single" w:sz="4" w:space="0" w:color="auto"/>
              <w:bottom w:val="single" w:sz="4" w:space="0" w:color="auto"/>
              <w:right w:val="nil"/>
            </w:tcBorders>
          </w:tcPr>
          <w:p w14:paraId="32A62BF7" w14:textId="77777777" w:rsidR="00C05802" w:rsidRPr="002F6170" w:rsidRDefault="00C05802" w:rsidP="00350016">
            <w:pPr>
              <w:pStyle w:val="TableText"/>
            </w:pPr>
            <w:r>
              <w:t>15</w:t>
            </w:r>
          </w:p>
        </w:tc>
        <w:tc>
          <w:tcPr>
            <w:tcW w:w="2520" w:type="dxa"/>
            <w:tcBorders>
              <w:top w:val="single" w:sz="4" w:space="0" w:color="auto"/>
              <w:left w:val="single" w:sz="4" w:space="0" w:color="auto"/>
              <w:bottom w:val="single" w:sz="4" w:space="0" w:color="auto"/>
              <w:right w:val="nil"/>
            </w:tcBorders>
          </w:tcPr>
          <w:p w14:paraId="2BF169EA" w14:textId="77777777" w:rsidR="00C05802" w:rsidRPr="002F6170" w:rsidRDefault="00C05802" w:rsidP="00350016">
            <w:pPr>
              <w:pStyle w:val="TableText"/>
            </w:pPr>
            <w:r>
              <w:t>13</w:t>
            </w:r>
          </w:p>
        </w:tc>
        <w:tc>
          <w:tcPr>
            <w:tcW w:w="2520" w:type="dxa"/>
            <w:tcBorders>
              <w:top w:val="single" w:sz="4" w:space="0" w:color="auto"/>
              <w:left w:val="single" w:sz="4" w:space="0" w:color="auto"/>
              <w:bottom w:val="single" w:sz="4" w:space="0" w:color="auto"/>
              <w:right w:val="nil"/>
            </w:tcBorders>
          </w:tcPr>
          <w:p w14:paraId="6778FEE9" w14:textId="77777777" w:rsidR="00C05802" w:rsidRPr="002F6170" w:rsidRDefault="00C05802" w:rsidP="00350016">
            <w:pPr>
              <w:pStyle w:val="TableText"/>
            </w:pPr>
            <w:r>
              <w:t>0.09</w:t>
            </w:r>
          </w:p>
        </w:tc>
      </w:tr>
      <w:tr w:rsidR="00C05802" w:rsidRPr="002F6170" w14:paraId="22F14188" w14:textId="77777777" w:rsidTr="004120CA">
        <w:trPr>
          <w:jc w:val="center"/>
        </w:trPr>
        <w:tc>
          <w:tcPr>
            <w:tcW w:w="2520" w:type="dxa"/>
            <w:tcBorders>
              <w:top w:val="single" w:sz="4" w:space="0" w:color="auto"/>
              <w:left w:val="nil"/>
              <w:bottom w:val="single" w:sz="4" w:space="0" w:color="auto"/>
              <w:right w:val="single" w:sz="4" w:space="0" w:color="auto"/>
            </w:tcBorders>
            <w:hideMark/>
          </w:tcPr>
          <w:p w14:paraId="2A52B7F7" w14:textId="77777777" w:rsidR="00C05802" w:rsidRPr="002F6170" w:rsidRDefault="00C05802" w:rsidP="00350016">
            <w:pPr>
              <w:pStyle w:val="TableText"/>
            </w:pPr>
            <w:r w:rsidRPr="002F6170">
              <w:t>2011</w:t>
            </w:r>
          </w:p>
        </w:tc>
        <w:tc>
          <w:tcPr>
            <w:tcW w:w="2520" w:type="dxa"/>
            <w:tcBorders>
              <w:top w:val="single" w:sz="4" w:space="0" w:color="auto"/>
              <w:left w:val="single" w:sz="4" w:space="0" w:color="auto"/>
              <w:bottom w:val="single" w:sz="4" w:space="0" w:color="auto"/>
              <w:right w:val="nil"/>
            </w:tcBorders>
          </w:tcPr>
          <w:p w14:paraId="42684503" w14:textId="77777777" w:rsidR="00C05802" w:rsidRPr="002F6170" w:rsidRDefault="00C05802" w:rsidP="00350016">
            <w:pPr>
              <w:pStyle w:val="TableText"/>
            </w:pPr>
            <w:r>
              <w:t>43</w:t>
            </w:r>
          </w:p>
        </w:tc>
        <w:tc>
          <w:tcPr>
            <w:tcW w:w="2520" w:type="dxa"/>
            <w:tcBorders>
              <w:top w:val="single" w:sz="4" w:space="0" w:color="auto"/>
              <w:left w:val="single" w:sz="4" w:space="0" w:color="auto"/>
              <w:bottom w:val="single" w:sz="4" w:space="0" w:color="auto"/>
              <w:right w:val="nil"/>
            </w:tcBorders>
          </w:tcPr>
          <w:p w14:paraId="352C6C77" w14:textId="77777777" w:rsidR="00C05802" w:rsidRPr="002F6170" w:rsidRDefault="00C05802" w:rsidP="00350016">
            <w:pPr>
              <w:pStyle w:val="TableText"/>
            </w:pPr>
            <w:r>
              <w:t>36</w:t>
            </w:r>
          </w:p>
        </w:tc>
        <w:tc>
          <w:tcPr>
            <w:tcW w:w="2520" w:type="dxa"/>
            <w:tcBorders>
              <w:top w:val="single" w:sz="4" w:space="0" w:color="auto"/>
              <w:left w:val="single" w:sz="4" w:space="0" w:color="auto"/>
              <w:bottom w:val="single" w:sz="4" w:space="0" w:color="auto"/>
              <w:right w:val="nil"/>
            </w:tcBorders>
          </w:tcPr>
          <w:p w14:paraId="0449EC0C" w14:textId="77777777" w:rsidR="00C05802" w:rsidRPr="002F6170" w:rsidRDefault="00C05802" w:rsidP="00350016">
            <w:pPr>
              <w:pStyle w:val="TableText"/>
            </w:pPr>
            <w:r>
              <w:t>0.20</w:t>
            </w:r>
          </w:p>
        </w:tc>
      </w:tr>
      <w:tr w:rsidR="00C05802" w:rsidRPr="002F6170" w14:paraId="5E715F03" w14:textId="77777777" w:rsidTr="004120CA">
        <w:trPr>
          <w:jc w:val="center"/>
        </w:trPr>
        <w:tc>
          <w:tcPr>
            <w:tcW w:w="2520" w:type="dxa"/>
            <w:tcBorders>
              <w:top w:val="single" w:sz="4" w:space="0" w:color="auto"/>
              <w:left w:val="nil"/>
              <w:bottom w:val="single" w:sz="4" w:space="0" w:color="auto"/>
              <w:right w:val="single" w:sz="4" w:space="0" w:color="auto"/>
            </w:tcBorders>
            <w:hideMark/>
          </w:tcPr>
          <w:p w14:paraId="1C6BC896" w14:textId="77777777" w:rsidR="00C05802" w:rsidRPr="002F6170" w:rsidRDefault="00C05802" w:rsidP="00350016">
            <w:pPr>
              <w:pStyle w:val="TableText"/>
            </w:pPr>
            <w:r w:rsidRPr="002F6170">
              <w:t>2012</w:t>
            </w:r>
          </w:p>
        </w:tc>
        <w:tc>
          <w:tcPr>
            <w:tcW w:w="2520" w:type="dxa"/>
            <w:tcBorders>
              <w:top w:val="single" w:sz="4" w:space="0" w:color="auto"/>
              <w:left w:val="single" w:sz="4" w:space="0" w:color="auto"/>
              <w:bottom w:val="single" w:sz="4" w:space="0" w:color="auto"/>
              <w:right w:val="nil"/>
            </w:tcBorders>
          </w:tcPr>
          <w:p w14:paraId="6DFAF596" w14:textId="77777777" w:rsidR="00C05802" w:rsidRPr="002F6170" w:rsidRDefault="00C05802" w:rsidP="00350016">
            <w:pPr>
              <w:pStyle w:val="TableText"/>
            </w:pPr>
            <w:r>
              <w:t>226</w:t>
            </w:r>
          </w:p>
        </w:tc>
        <w:tc>
          <w:tcPr>
            <w:tcW w:w="2520" w:type="dxa"/>
            <w:tcBorders>
              <w:top w:val="single" w:sz="4" w:space="0" w:color="auto"/>
              <w:left w:val="single" w:sz="4" w:space="0" w:color="auto"/>
              <w:bottom w:val="single" w:sz="4" w:space="0" w:color="auto"/>
              <w:right w:val="nil"/>
            </w:tcBorders>
          </w:tcPr>
          <w:p w14:paraId="4FAC6630" w14:textId="77777777" w:rsidR="00C05802" w:rsidRPr="002F6170" w:rsidRDefault="00C05802" w:rsidP="00350016">
            <w:pPr>
              <w:pStyle w:val="TableText"/>
            </w:pPr>
            <w:r>
              <w:t>191</w:t>
            </w:r>
          </w:p>
        </w:tc>
        <w:tc>
          <w:tcPr>
            <w:tcW w:w="2520" w:type="dxa"/>
            <w:tcBorders>
              <w:top w:val="single" w:sz="4" w:space="0" w:color="auto"/>
              <w:left w:val="single" w:sz="4" w:space="0" w:color="auto"/>
              <w:bottom w:val="single" w:sz="4" w:space="0" w:color="auto"/>
              <w:right w:val="nil"/>
            </w:tcBorders>
          </w:tcPr>
          <w:p w14:paraId="23D93274" w14:textId="77777777" w:rsidR="00C05802" w:rsidRPr="002F6170" w:rsidRDefault="00C05802" w:rsidP="00350016">
            <w:pPr>
              <w:pStyle w:val="TableText"/>
            </w:pPr>
            <w:r>
              <w:t>0.75</w:t>
            </w:r>
          </w:p>
        </w:tc>
      </w:tr>
      <w:tr w:rsidR="00C05802" w:rsidRPr="002F6170" w14:paraId="51AF6413" w14:textId="77777777" w:rsidTr="004120CA">
        <w:trPr>
          <w:jc w:val="center"/>
        </w:trPr>
        <w:tc>
          <w:tcPr>
            <w:tcW w:w="2520" w:type="dxa"/>
            <w:tcBorders>
              <w:top w:val="single" w:sz="4" w:space="0" w:color="auto"/>
              <w:left w:val="nil"/>
              <w:bottom w:val="single" w:sz="4" w:space="0" w:color="auto"/>
              <w:right w:val="single" w:sz="4" w:space="0" w:color="auto"/>
            </w:tcBorders>
            <w:hideMark/>
          </w:tcPr>
          <w:p w14:paraId="3E56CBE2" w14:textId="77777777" w:rsidR="00C05802" w:rsidRPr="002F6170" w:rsidRDefault="00C05802" w:rsidP="00350016">
            <w:pPr>
              <w:pStyle w:val="TableText"/>
            </w:pPr>
            <w:r w:rsidRPr="002F6170">
              <w:t>2013</w:t>
            </w:r>
          </w:p>
        </w:tc>
        <w:tc>
          <w:tcPr>
            <w:tcW w:w="2520" w:type="dxa"/>
            <w:tcBorders>
              <w:top w:val="single" w:sz="4" w:space="0" w:color="auto"/>
              <w:left w:val="single" w:sz="4" w:space="0" w:color="auto"/>
              <w:bottom w:val="single" w:sz="4" w:space="0" w:color="auto"/>
              <w:right w:val="nil"/>
            </w:tcBorders>
          </w:tcPr>
          <w:p w14:paraId="22D8761E" w14:textId="77777777" w:rsidR="00C05802" w:rsidRPr="002F6170" w:rsidRDefault="00C05802" w:rsidP="00350016">
            <w:pPr>
              <w:pStyle w:val="TableText"/>
            </w:pPr>
            <w:r>
              <w:t>277</w:t>
            </w:r>
          </w:p>
        </w:tc>
        <w:tc>
          <w:tcPr>
            <w:tcW w:w="2520" w:type="dxa"/>
            <w:tcBorders>
              <w:top w:val="single" w:sz="4" w:space="0" w:color="auto"/>
              <w:left w:val="single" w:sz="4" w:space="0" w:color="auto"/>
              <w:bottom w:val="single" w:sz="4" w:space="0" w:color="auto"/>
              <w:right w:val="nil"/>
            </w:tcBorders>
          </w:tcPr>
          <w:p w14:paraId="65382EA5" w14:textId="77777777" w:rsidR="00C05802" w:rsidRPr="002F6170" w:rsidRDefault="00C05802" w:rsidP="00350016">
            <w:pPr>
              <w:pStyle w:val="TableText"/>
            </w:pPr>
            <w:r>
              <w:t>235</w:t>
            </w:r>
          </w:p>
        </w:tc>
        <w:tc>
          <w:tcPr>
            <w:tcW w:w="2520" w:type="dxa"/>
            <w:tcBorders>
              <w:top w:val="single" w:sz="4" w:space="0" w:color="auto"/>
              <w:left w:val="single" w:sz="4" w:space="0" w:color="auto"/>
              <w:bottom w:val="single" w:sz="4" w:space="0" w:color="auto"/>
              <w:right w:val="nil"/>
            </w:tcBorders>
          </w:tcPr>
          <w:p w14:paraId="3762504D" w14:textId="77777777" w:rsidR="00C05802" w:rsidRPr="002F6170" w:rsidRDefault="00C05802" w:rsidP="00350016">
            <w:pPr>
              <w:pStyle w:val="TableText"/>
            </w:pPr>
            <w:r>
              <w:t>0.56</w:t>
            </w:r>
          </w:p>
        </w:tc>
      </w:tr>
      <w:tr w:rsidR="00C05802" w:rsidRPr="002F6170" w14:paraId="79540A36" w14:textId="77777777" w:rsidTr="004120CA">
        <w:trPr>
          <w:jc w:val="center"/>
        </w:trPr>
        <w:tc>
          <w:tcPr>
            <w:tcW w:w="2520" w:type="dxa"/>
            <w:tcBorders>
              <w:top w:val="single" w:sz="4" w:space="0" w:color="auto"/>
              <w:left w:val="nil"/>
              <w:bottom w:val="single" w:sz="4" w:space="0" w:color="auto"/>
              <w:right w:val="single" w:sz="4" w:space="0" w:color="auto"/>
            </w:tcBorders>
            <w:hideMark/>
          </w:tcPr>
          <w:p w14:paraId="509F1F64" w14:textId="77777777" w:rsidR="00C05802" w:rsidRPr="002F6170" w:rsidRDefault="00C05802" w:rsidP="00350016">
            <w:pPr>
              <w:pStyle w:val="TableText"/>
            </w:pPr>
            <w:r w:rsidRPr="002F6170">
              <w:t>2014</w:t>
            </w:r>
          </w:p>
        </w:tc>
        <w:tc>
          <w:tcPr>
            <w:tcW w:w="2520" w:type="dxa"/>
            <w:tcBorders>
              <w:top w:val="single" w:sz="4" w:space="0" w:color="auto"/>
              <w:left w:val="single" w:sz="4" w:space="0" w:color="auto"/>
              <w:bottom w:val="single" w:sz="4" w:space="0" w:color="auto"/>
              <w:right w:val="nil"/>
            </w:tcBorders>
          </w:tcPr>
          <w:p w14:paraId="03842E27" w14:textId="77777777" w:rsidR="00C05802" w:rsidRPr="002F6170" w:rsidRDefault="00C05802" w:rsidP="00350016">
            <w:pPr>
              <w:pStyle w:val="TableText"/>
            </w:pPr>
            <w:r>
              <w:t>333</w:t>
            </w:r>
          </w:p>
        </w:tc>
        <w:tc>
          <w:tcPr>
            <w:tcW w:w="2520" w:type="dxa"/>
            <w:tcBorders>
              <w:top w:val="single" w:sz="4" w:space="0" w:color="auto"/>
              <w:left w:val="single" w:sz="4" w:space="0" w:color="auto"/>
              <w:bottom w:val="single" w:sz="4" w:space="0" w:color="auto"/>
              <w:right w:val="nil"/>
            </w:tcBorders>
          </w:tcPr>
          <w:p w14:paraId="00EB3416" w14:textId="77777777" w:rsidR="00C05802" w:rsidRPr="002F6170" w:rsidRDefault="00C05802" w:rsidP="00350016">
            <w:pPr>
              <w:pStyle w:val="TableText"/>
            </w:pPr>
            <w:r>
              <w:t>282</w:t>
            </w:r>
          </w:p>
        </w:tc>
        <w:tc>
          <w:tcPr>
            <w:tcW w:w="2520" w:type="dxa"/>
            <w:tcBorders>
              <w:top w:val="single" w:sz="4" w:space="0" w:color="auto"/>
              <w:left w:val="single" w:sz="4" w:space="0" w:color="auto"/>
              <w:bottom w:val="single" w:sz="4" w:space="0" w:color="auto"/>
              <w:right w:val="nil"/>
            </w:tcBorders>
          </w:tcPr>
          <w:p w14:paraId="5A39E005" w14:textId="77777777" w:rsidR="00C05802" w:rsidRPr="002F6170" w:rsidRDefault="00C05802" w:rsidP="00350016">
            <w:pPr>
              <w:pStyle w:val="TableText"/>
            </w:pPr>
            <w:r>
              <w:t>0.53</w:t>
            </w:r>
          </w:p>
        </w:tc>
      </w:tr>
      <w:tr w:rsidR="00C05802" w:rsidRPr="002F6170" w14:paraId="2A09EF51" w14:textId="77777777" w:rsidTr="004120CA">
        <w:trPr>
          <w:jc w:val="center"/>
        </w:trPr>
        <w:tc>
          <w:tcPr>
            <w:tcW w:w="2520" w:type="dxa"/>
            <w:tcBorders>
              <w:top w:val="single" w:sz="4" w:space="0" w:color="auto"/>
              <w:left w:val="nil"/>
              <w:bottom w:val="single" w:sz="4" w:space="0" w:color="auto"/>
              <w:right w:val="single" w:sz="4" w:space="0" w:color="auto"/>
            </w:tcBorders>
            <w:hideMark/>
          </w:tcPr>
          <w:p w14:paraId="2818C296" w14:textId="77777777" w:rsidR="00C05802" w:rsidRPr="002F6170" w:rsidRDefault="00C05802" w:rsidP="00350016">
            <w:pPr>
              <w:pStyle w:val="TableText"/>
            </w:pPr>
            <w:r w:rsidRPr="002F6170">
              <w:t>2015</w:t>
            </w:r>
          </w:p>
        </w:tc>
        <w:tc>
          <w:tcPr>
            <w:tcW w:w="2520" w:type="dxa"/>
            <w:tcBorders>
              <w:top w:val="single" w:sz="4" w:space="0" w:color="auto"/>
              <w:left w:val="single" w:sz="4" w:space="0" w:color="auto"/>
              <w:bottom w:val="single" w:sz="4" w:space="0" w:color="auto"/>
              <w:right w:val="nil"/>
            </w:tcBorders>
          </w:tcPr>
          <w:p w14:paraId="58EDCFD4" w14:textId="77777777" w:rsidR="00C05802" w:rsidRPr="002F6170" w:rsidRDefault="00C05802" w:rsidP="00350016">
            <w:pPr>
              <w:pStyle w:val="TableText"/>
            </w:pPr>
            <w:r>
              <w:t>320</w:t>
            </w:r>
          </w:p>
        </w:tc>
        <w:tc>
          <w:tcPr>
            <w:tcW w:w="2520" w:type="dxa"/>
            <w:tcBorders>
              <w:top w:val="single" w:sz="4" w:space="0" w:color="auto"/>
              <w:left w:val="single" w:sz="4" w:space="0" w:color="auto"/>
              <w:bottom w:val="single" w:sz="4" w:space="0" w:color="auto"/>
              <w:right w:val="nil"/>
            </w:tcBorders>
          </w:tcPr>
          <w:p w14:paraId="364AE1F7" w14:textId="77777777" w:rsidR="00C05802" w:rsidRPr="002F6170" w:rsidRDefault="00C05802" w:rsidP="00350016">
            <w:pPr>
              <w:pStyle w:val="TableText"/>
            </w:pPr>
            <w:r>
              <w:t>272</w:t>
            </w:r>
          </w:p>
        </w:tc>
        <w:tc>
          <w:tcPr>
            <w:tcW w:w="2520" w:type="dxa"/>
            <w:tcBorders>
              <w:top w:val="single" w:sz="4" w:space="0" w:color="auto"/>
              <w:left w:val="single" w:sz="4" w:space="0" w:color="auto"/>
              <w:bottom w:val="single" w:sz="4" w:space="0" w:color="auto"/>
              <w:right w:val="nil"/>
            </w:tcBorders>
          </w:tcPr>
          <w:p w14:paraId="71CB946C" w14:textId="77777777" w:rsidR="00C05802" w:rsidRPr="002F6170" w:rsidRDefault="00C05802" w:rsidP="00350016">
            <w:pPr>
              <w:pStyle w:val="TableText"/>
            </w:pPr>
            <w:r>
              <w:t>0.79</w:t>
            </w:r>
          </w:p>
        </w:tc>
      </w:tr>
      <w:tr w:rsidR="00C05802" w:rsidRPr="002F6170" w14:paraId="6F8033D6" w14:textId="77777777" w:rsidTr="004120CA">
        <w:trPr>
          <w:jc w:val="center"/>
        </w:trPr>
        <w:tc>
          <w:tcPr>
            <w:tcW w:w="2520" w:type="dxa"/>
            <w:tcBorders>
              <w:top w:val="single" w:sz="4" w:space="0" w:color="auto"/>
              <w:left w:val="nil"/>
              <w:bottom w:val="single" w:sz="4" w:space="0" w:color="auto"/>
              <w:right w:val="single" w:sz="4" w:space="0" w:color="auto"/>
            </w:tcBorders>
            <w:hideMark/>
          </w:tcPr>
          <w:p w14:paraId="5A2EC879" w14:textId="77777777" w:rsidR="00C05802" w:rsidRPr="002F6170" w:rsidRDefault="00C05802" w:rsidP="00350016">
            <w:pPr>
              <w:pStyle w:val="TableText"/>
            </w:pPr>
            <w:r w:rsidRPr="002F6170">
              <w:t>2016</w:t>
            </w:r>
          </w:p>
        </w:tc>
        <w:tc>
          <w:tcPr>
            <w:tcW w:w="2520" w:type="dxa"/>
            <w:tcBorders>
              <w:top w:val="single" w:sz="4" w:space="0" w:color="auto"/>
              <w:left w:val="single" w:sz="4" w:space="0" w:color="auto"/>
              <w:bottom w:val="single" w:sz="4" w:space="0" w:color="auto"/>
              <w:right w:val="nil"/>
            </w:tcBorders>
          </w:tcPr>
          <w:p w14:paraId="4FCD9FD3" w14:textId="77777777" w:rsidR="00C05802" w:rsidRPr="002F6170" w:rsidRDefault="00C05802" w:rsidP="00350016">
            <w:pPr>
              <w:pStyle w:val="TableText"/>
            </w:pPr>
            <w:r>
              <w:t>195</w:t>
            </w:r>
          </w:p>
        </w:tc>
        <w:tc>
          <w:tcPr>
            <w:tcW w:w="2520" w:type="dxa"/>
            <w:tcBorders>
              <w:top w:val="single" w:sz="4" w:space="0" w:color="auto"/>
              <w:left w:val="single" w:sz="4" w:space="0" w:color="auto"/>
              <w:bottom w:val="single" w:sz="4" w:space="0" w:color="auto"/>
              <w:right w:val="nil"/>
            </w:tcBorders>
          </w:tcPr>
          <w:p w14:paraId="1E7941A3" w14:textId="77777777" w:rsidR="00C05802" w:rsidRPr="002F6170" w:rsidRDefault="00C05802" w:rsidP="00350016">
            <w:pPr>
              <w:pStyle w:val="TableText"/>
            </w:pPr>
            <w:r>
              <w:t>166</w:t>
            </w:r>
          </w:p>
        </w:tc>
        <w:tc>
          <w:tcPr>
            <w:tcW w:w="2520" w:type="dxa"/>
            <w:tcBorders>
              <w:top w:val="single" w:sz="4" w:space="0" w:color="auto"/>
              <w:left w:val="single" w:sz="4" w:space="0" w:color="auto"/>
              <w:bottom w:val="single" w:sz="4" w:space="0" w:color="auto"/>
              <w:right w:val="nil"/>
            </w:tcBorders>
          </w:tcPr>
          <w:p w14:paraId="2CD7D7D8" w14:textId="77777777" w:rsidR="00C05802" w:rsidRPr="002F6170" w:rsidRDefault="00C05802" w:rsidP="00350016">
            <w:pPr>
              <w:pStyle w:val="TableText"/>
            </w:pPr>
            <w:r>
              <w:t>0.55</w:t>
            </w:r>
          </w:p>
        </w:tc>
      </w:tr>
      <w:tr w:rsidR="00C05802" w:rsidRPr="002F6170" w14:paraId="41DBF4D8" w14:textId="77777777" w:rsidTr="004120CA">
        <w:trPr>
          <w:jc w:val="center"/>
        </w:trPr>
        <w:tc>
          <w:tcPr>
            <w:tcW w:w="2520" w:type="dxa"/>
            <w:tcBorders>
              <w:top w:val="single" w:sz="4" w:space="0" w:color="auto"/>
              <w:left w:val="nil"/>
              <w:bottom w:val="single" w:sz="4" w:space="0" w:color="auto"/>
              <w:right w:val="single" w:sz="4" w:space="0" w:color="auto"/>
            </w:tcBorders>
            <w:hideMark/>
          </w:tcPr>
          <w:p w14:paraId="245185B1" w14:textId="77777777" w:rsidR="00C05802" w:rsidRPr="002F6170" w:rsidRDefault="00C05802" w:rsidP="00350016">
            <w:pPr>
              <w:pStyle w:val="TableText"/>
            </w:pPr>
            <w:r w:rsidRPr="002F6170">
              <w:t>2017</w:t>
            </w:r>
          </w:p>
        </w:tc>
        <w:tc>
          <w:tcPr>
            <w:tcW w:w="2520" w:type="dxa"/>
            <w:tcBorders>
              <w:top w:val="single" w:sz="4" w:space="0" w:color="auto"/>
              <w:left w:val="single" w:sz="4" w:space="0" w:color="auto"/>
              <w:bottom w:val="single" w:sz="4" w:space="0" w:color="auto"/>
              <w:right w:val="nil"/>
            </w:tcBorders>
          </w:tcPr>
          <w:p w14:paraId="66828EF8" w14:textId="77777777" w:rsidR="00C05802" w:rsidRPr="002F6170" w:rsidRDefault="00C05802" w:rsidP="00350016">
            <w:pPr>
              <w:pStyle w:val="TableText"/>
            </w:pPr>
            <w:r>
              <w:t>467</w:t>
            </w:r>
          </w:p>
        </w:tc>
        <w:tc>
          <w:tcPr>
            <w:tcW w:w="2520" w:type="dxa"/>
            <w:tcBorders>
              <w:top w:val="single" w:sz="4" w:space="0" w:color="auto"/>
              <w:left w:val="single" w:sz="4" w:space="0" w:color="auto"/>
              <w:bottom w:val="single" w:sz="4" w:space="0" w:color="auto"/>
              <w:right w:val="nil"/>
            </w:tcBorders>
          </w:tcPr>
          <w:p w14:paraId="39B3BEB9" w14:textId="77777777" w:rsidR="00C05802" w:rsidRPr="002F6170" w:rsidRDefault="00C05802" w:rsidP="00350016">
            <w:pPr>
              <w:pStyle w:val="TableText"/>
            </w:pPr>
            <w:r>
              <w:t>397</w:t>
            </w:r>
          </w:p>
        </w:tc>
        <w:tc>
          <w:tcPr>
            <w:tcW w:w="2520" w:type="dxa"/>
            <w:tcBorders>
              <w:top w:val="single" w:sz="4" w:space="0" w:color="auto"/>
              <w:left w:val="single" w:sz="4" w:space="0" w:color="auto"/>
              <w:bottom w:val="single" w:sz="4" w:space="0" w:color="auto"/>
              <w:right w:val="nil"/>
            </w:tcBorders>
          </w:tcPr>
          <w:p w14:paraId="3FA897FF" w14:textId="77777777" w:rsidR="00C05802" w:rsidRPr="002F6170" w:rsidRDefault="00C05802" w:rsidP="00350016">
            <w:pPr>
              <w:pStyle w:val="TableText"/>
            </w:pPr>
            <w:r>
              <w:t>1.34</w:t>
            </w:r>
          </w:p>
        </w:tc>
      </w:tr>
    </w:tbl>
    <w:p w14:paraId="6A8427AA" w14:textId="77777777" w:rsidR="00335804" w:rsidRPr="00350016" w:rsidRDefault="00335804" w:rsidP="00335804">
      <w:pPr>
        <w:pStyle w:val="TableSource"/>
      </w:pPr>
      <w:r w:rsidRPr="00350016">
        <w:t>Notes: PM</w:t>
      </w:r>
      <w:r w:rsidRPr="00350016">
        <w:rPr>
          <w:vertAlign w:val="subscript"/>
        </w:rPr>
        <w:t>10</w:t>
      </w:r>
      <w:r w:rsidRPr="00350016">
        <w:t xml:space="preserve"> = respirable particulate matter, PM</w:t>
      </w:r>
      <w:r w:rsidRPr="00350016">
        <w:rPr>
          <w:vertAlign w:val="subscript"/>
        </w:rPr>
        <w:t>2.</w:t>
      </w:r>
      <w:r>
        <w:rPr>
          <w:vertAlign w:val="subscript"/>
        </w:rPr>
        <w:t>5</w:t>
      </w:r>
      <w:r w:rsidRPr="00350016">
        <w:t xml:space="preserve"> = fine particulate matter</w:t>
      </w:r>
    </w:p>
    <w:p w14:paraId="6AF28749" w14:textId="628653EC" w:rsidR="00335804" w:rsidRDefault="00335804" w:rsidP="00335804">
      <w:pPr>
        <w:pStyle w:val="TableSource"/>
        <w:ind w:left="180" w:hanging="180"/>
      </w:pPr>
      <w:r w:rsidRPr="00E9298B">
        <w:rPr>
          <w:vertAlign w:val="superscript"/>
        </w:rPr>
        <w:t>1</w:t>
      </w:r>
      <w:r w:rsidRPr="00350016">
        <w:t xml:space="preserve"> </w:t>
      </w:r>
      <w:r>
        <w:tab/>
        <w:t xml:space="preserve">There </w:t>
      </w:r>
      <w:r w:rsidRPr="006F61F0">
        <w:t>are large uncertainties associated with mapped vegetation types, fuel loading, fuel moisture, burned area, modeled fuel consumption in flaming and smoldering phases, and emission factors. The emission estimates may have an uncertainty of between a factor of 2 to 3</w:t>
      </w:r>
      <w:r>
        <w:t xml:space="preserve"> (</w:t>
      </w:r>
      <w:bookmarkStart w:id="56" w:name="OLE_LINK35"/>
      <w:bookmarkStart w:id="57" w:name="OLE_LINK36"/>
      <w:r>
        <w:t>CARB 2019b</w:t>
      </w:r>
      <w:bookmarkEnd w:id="56"/>
      <w:bookmarkEnd w:id="57"/>
      <w:r>
        <w:t xml:space="preserve">). CARB has not yet released estimates for 2018. </w:t>
      </w:r>
    </w:p>
    <w:p w14:paraId="753CF640" w14:textId="564E8310" w:rsidR="00335804" w:rsidRPr="006F61F0" w:rsidRDefault="00335804" w:rsidP="00335804">
      <w:pPr>
        <w:pStyle w:val="TableSource"/>
        <w:ind w:left="180" w:hanging="180"/>
      </w:pPr>
      <w:r>
        <w:rPr>
          <w:vertAlign w:val="superscript"/>
        </w:rPr>
        <w:t>2</w:t>
      </w:r>
      <w:r>
        <w:t xml:space="preserve"> </w:t>
      </w:r>
      <w:r>
        <w:tab/>
      </w:r>
      <w:r w:rsidRPr="00350016">
        <w:t xml:space="preserve">In this </w:t>
      </w:r>
      <w:r>
        <w:t>table</w:t>
      </w:r>
      <w:r w:rsidRPr="00350016">
        <w:t>, a ton represents 2,000 pounds rather than a metric ton, which totals 2,205 pounds or 1,000 kilograms.</w:t>
      </w:r>
    </w:p>
    <w:p w14:paraId="3EBFE378" w14:textId="77777777" w:rsidR="00335804" w:rsidRPr="002F6170" w:rsidRDefault="00335804" w:rsidP="00350016">
      <w:pPr>
        <w:pStyle w:val="TableSource"/>
      </w:pPr>
      <w:r w:rsidRPr="00350016">
        <w:t>Source: CARB 2019</w:t>
      </w:r>
      <w:r>
        <w:t>a</w:t>
      </w:r>
    </w:p>
    <w:p w14:paraId="7123FA77" w14:textId="5EB3EB34" w:rsidR="00C05802" w:rsidRDefault="00C05802" w:rsidP="00812C1E">
      <w:pPr>
        <w:pStyle w:val="BodyText12ptbefore"/>
      </w:pPr>
      <w:r>
        <w:t>As shown in Table 3.4-</w:t>
      </w:r>
      <w:r w:rsidR="009D5745">
        <w:t>5</w:t>
      </w:r>
      <w:r>
        <w:t xml:space="preserve">, </w:t>
      </w:r>
      <w:r w:rsidR="007F02B5">
        <w:t xml:space="preserve">the majority of particulate matter emissions from </w:t>
      </w:r>
      <w:r w:rsidR="00E641CF">
        <w:t xml:space="preserve">wildfires </w:t>
      </w:r>
      <w:r w:rsidR="007F02B5">
        <w:t>are composed</w:t>
      </w:r>
      <w:r>
        <w:t xml:space="preserve"> of PM</w:t>
      </w:r>
      <w:r>
        <w:rPr>
          <w:vertAlign w:val="subscript"/>
        </w:rPr>
        <w:t>2.5</w:t>
      </w:r>
      <w:r>
        <w:t xml:space="preserve">, which is </w:t>
      </w:r>
      <w:r w:rsidR="007F02B5">
        <w:t>of greater concern than PM</w:t>
      </w:r>
      <w:r w:rsidR="007F02B5">
        <w:rPr>
          <w:vertAlign w:val="subscript"/>
        </w:rPr>
        <w:t>10</w:t>
      </w:r>
      <w:r w:rsidR="007F02B5">
        <w:t xml:space="preserve"> due to its </w:t>
      </w:r>
      <w:r w:rsidR="00DD165C">
        <w:t>smaller aerodynamic diameter</w:t>
      </w:r>
      <w:r w:rsidR="007F02B5">
        <w:t xml:space="preserve"> size and ability to penetrate deep into the lungs and even the circulatory system</w:t>
      </w:r>
      <w:r>
        <w:t>. The emissions estimates displayed in Table 3.4-</w:t>
      </w:r>
      <w:r w:rsidR="009D5745">
        <w:t>5</w:t>
      </w:r>
      <w:r>
        <w:t xml:space="preserve"> do not account for emissions associated with the combustion of petroleum fuels during wildfire</w:t>
      </w:r>
      <w:r w:rsidR="00F1001D">
        <w:t xml:space="preserve"> response (fire</w:t>
      </w:r>
      <w:r>
        <w:t>fighting</w:t>
      </w:r>
      <w:r w:rsidR="00F1001D">
        <w:t>)</w:t>
      </w:r>
      <w:r>
        <w:t xml:space="preserve">. Jet fuel is </w:t>
      </w:r>
      <w:r w:rsidR="00F1001D">
        <w:t>combusted</w:t>
      </w:r>
      <w:r>
        <w:t xml:space="preserve"> to operate aircrafts and helicopters </w:t>
      </w:r>
      <w:r w:rsidR="00F1001D">
        <w:t xml:space="preserve">that </w:t>
      </w:r>
      <w:r>
        <w:t xml:space="preserve">transport equipment, water, fire retardant, and crews to </w:t>
      </w:r>
      <w:r w:rsidR="00F1001D">
        <w:t>wild</w:t>
      </w:r>
      <w:r>
        <w:t>fire locations. Depending on the terrain, diesel-powered wildland fire engines may be used. Additional emissions would occur from the operation of gasoline and diesel-fueled automobiles to transport firefighters locally, regionally, and statewide.</w:t>
      </w:r>
      <w:r w:rsidR="00A34B04">
        <w:t xml:space="preserve"> These activities are discussed in greater detail in Section 3.9, </w:t>
      </w:r>
      <w:r w:rsidR="00670EB0">
        <w:t>“</w:t>
      </w:r>
      <w:r w:rsidR="00A34B04">
        <w:t>Energy.</w:t>
      </w:r>
      <w:r w:rsidR="00670EB0">
        <w:t>”</w:t>
      </w:r>
    </w:p>
    <w:p w14:paraId="583852E7" w14:textId="01C9B3EA" w:rsidR="00C05802" w:rsidRDefault="00C05802" w:rsidP="00C05802">
      <w:pPr>
        <w:pStyle w:val="Heading4"/>
      </w:pPr>
      <w:r>
        <w:t xml:space="preserve">Existing Levels of Emissions Generated by vegetation </w:t>
      </w:r>
      <w:r w:rsidR="004A07F8">
        <w:t>Treatments</w:t>
      </w:r>
    </w:p>
    <w:p w14:paraId="5064768B" w14:textId="7BD293B5" w:rsidR="00C05802" w:rsidRPr="00906D9A" w:rsidRDefault="00EA1AED" w:rsidP="00D8409C">
      <w:pPr>
        <w:pStyle w:val="BodyText"/>
      </w:pPr>
      <w:bookmarkStart w:id="58" w:name="_Hlk6761189"/>
      <w:r>
        <w:t xml:space="preserve">As described in Chapter 1, </w:t>
      </w:r>
      <w:r w:rsidR="00670EB0">
        <w:t>“</w:t>
      </w:r>
      <w:r>
        <w:t>Introduction</w:t>
      </w:r>
      <w:r w:rsidR="00670EB0">
        <w:t>”</w:t>
      </w:r>
      <w:r>
        <w:t xml:space="preserve"> and Section 2.3.1, </w:t>
      </w:r>
      <w:r w:rsidR="00670EB0">
        <w:t>“</w:t>
      </w:r>
      <w:r>
        <w:t>Past and Current Treatments,</w:t>
      </w:r>
      <w:r w:rsidR="00670EB0">
        <w:t>”</w:t>
      </w:r>
      <w:r>
        <w:t xml:space="preserve"> vegetation </w:t>
      </w:r>
      <w:r w:rsidRPr="00194756">
        <w:t>treatment currently occurs around the state under</w:t>
      </w:r>
      <w:r>
        <w:t xml:space="preserve"> several other wildfire risk reduction programs implemented by various federal, state, and local agencies. In 2017–2018, CAL FIRE treated approximately 33,000 acres in California using the same treatment activities as proposed under the CalVTP.</w:t>
      </w:r>
      <w:bookmarkEnd w:id="58"/>
      <w:r w:rsidR="006D670F">
        <w:t xml:space="preserve"> </w:t>
      </w:r>
      <w:r w:rsidR="00C05802">
        <w:t xml:space="preserve">Criteria pollutant and precursor emissions </w:t>
      </w:r>
      <w:r w:rsidR="00350016">
        <w:t>are generated by</w:t>
      </w:r>
      <w:r w:rsidR="00C05802">
        <w:t xml:space="preserve"> existing treatment activities. </w:t>
      </w:r>
      <w:r w:rsidR="00350016">
        <w:t xml:space="preserve">Emissions are </w:t>
      </w:r>
      <w:r w:rsidR="006D670F">
        <w:t xml:space="preserve">currently </w:t>
      </w:r>
      <w:r w:rsidR="00350016">
        <w:t>generated by mechanical equipment, hand tools, worker commute and haul trips, and from prescribed</w:t>
      </w:r>
      <w:r w:rsidR="00934B0E">
        <w:t xml:space="preserve"> burning</w:t>
      </w:r>
      <w:r w:rsidR="00350016">
        <w:t xml:space="preserve">. </w:t>
      </w:r>
    </w:p>
    <w:p w14:paraId="275E2B37" w14:textId="77777777" w:rsidR="001764B7" w:rsidRPr="004107EF" w:rsidRDefault="001764B7" w:rsidP="001764B7">
      <w:pPr>
        <w:pStyle w:val="Heading4"/>
      </w:pPr>
      <w:r w:rsidRPr="004107EF">
        <w:lastRenderedPageBreak/>
        <w:t>Odors</w:t>
      </w:r>
      <w:bookmarkEnd w:id="51"/>
      <w:bookmarkEnd w:id="52"/>
    </w:p>
    <w:p w14:paraId="6C4BBE29" w14:textId="5C371745" w:rsidR="00444E5E" w:rsidRPr="004107EF" w:rsidRDefault="00444E5E" w:rsidP="00444E5E">
      <w:pPr>
        <w:pStyle w:val="BodyText"/>
      </w:pPr>
      <w:bookmarkStart w:id="59" w:name="_Toc296933544"/>
      <w:bookmarkStart w:id="60" w:name="_Toc330916539"/>
      <w:r w:rsidRPr="004107EF">
        <w:t>Odors are generally regarded as an annoyance rather than a health hazard. However, manifestations of a person</w:t>
      </w:r>
      <w:r w:rsidR="00670EB0">
        <w:t>’</w:t>
      </w:r>
      <w:r w:rsidRPr="004107EF">
        <w:t>s reaction to foul odors can range from psychological (e.g., irritation, anger, or anxiety) to physiological (e.g., circulatory and respiratory effects, nausea, vomiting, and headache).</w:t>
      </w:r>
    </w:p>
    <w:p w14:paraId="11DB226B" w14:textId="03ECB078" w:rsidR="001764B7" w:rsidRPr="004107EF" w:rsidRDefault="00444E5E" w:rsidP="00444E5E">
      <w:pPr>
        <w:pStyle w:val="BodyText"/>
      </w:pPr>
      <w:r w:rsidRPr="004107EF">
        <w:t>With respect to odors, the human nose is the sole sensing device. The ability to detect odors varies considerably among the population and overall is quite subjective. Some individuals can smell very minute quantities of specific substances; others may not have the same sensitivity but may have sensitivities to odors of other substances</w:t>
      </w:r>
      <w:r w:rsidR="001764B7" w:rsidRPr="004107EF">
        <w:t xml:space="preserve">. In addition, people may have different reactions to the same odor; an odor that is offensive to one person may be perfectly acceptable to another (e.g., </w:t>
      </w:r>
      <w:r w:rsidR="00053A92">
        <w:t xml:space="preserve">smells from </w:t>
      </w:r>
      <w:r w:rsidR="001764B7" w:rsidRPr="004107EF">
        <w:t>fast food restaurant</w:t>
      </w:r>
      <w:r w:rsidR="00053A92">
        <w:t>s</w:t>
      </w:r>
      <w:r w:rsidR="001764B7" w:rsidRPr="004107EF">
        <w:t xml:space="preserve">). </w:t>
      </w:r>
      <w:r w:rsidRPr="004107EF">
        <w:t xml:space="preserve">It is important to also note that an unfamiliar odor is more easily detected and is more likely to cause complaints than a familiar one. This is because of the phenomenon known as odor fatigue, in which a person can become desensitized to almost any odor and recognition only occurs with an alteration in the intensity. Odor sources of concern include wastewater treatment plants, sanitary landfills, composting facilities, recycling facilities, petroleum refineries, chemical manufacturing plants, painting operations, rendering plants, and food packaging plants. </w:t>
      </w:r>
      <w:r>
        <w:t xml:space="preserve">The odor associated with smoke generated by the burning of vegetative biomass on agricultural lands, forested areas, park and open space lands, and wildlands is also considered to be objectional. </w:t>
      </w:r>
    </w:p>
    <w:p w14:paraId="1EC42B2E" w14:textId="77777777" w:rsidR="001764B7" w:rsidRPr="004107EF" w:rsidRDefault="001764B7" w:rsidP="001764B7">
      <w:pPr>
        <w:pStyle w:val="Heading4"/>
      </w:pPr>
      <w:r w:rsidRPr="004107EF">
        <w:t xml:space="preserve">Sensitive </w:t>
      </w:r>
      <w:bookmarkEnd w:id="59"/>
      <w:bookmarkEnd w:id="60"/>
      <w:r w:rsidRPr="004107EF">
        <w:t>receptors</w:t>
      </w:r>
    </w:p>
    <w:p w14:paraId="79618357" w14:textId="1B2B335A" w:rsidR="00444E5E" w:rsidRDefault="001764B7" w:rsidP="00D8409C">
      <w:pPr>
        <w:pStyle w:val="BodyText"/>
      </w:pPr>
      <w:r w:rsidRPr="004107EF">
        <w:t>Sensitive receptors generally include those land uses where exposure to pollutants could result in health-related risks to sensitive individuals, such as children or the elderly. Residential dwellings, schools, hospitals, playgrounds, and similar facilities are of primary concern because of the presence of individuals particularly sensitive to pollutants and/or the potential for increased and prolonged exposure of individuals to pollutants.</w:t>
      </w:r>
      <w:r w:rsidR="00F1426E">
        <w:t xml:space="preserve"> </w:t>
      </w:r>
    </w:p>
    <w:p w14:paraId="5061D276" w14:textId="7CB67C91" w:rsidR="00444E5E" w:rsidRDefault="000B4123" w:rsidP="00D8409C">
      <w:pPr>
        <w:pStyle w:val="BodyText"/>
        <w:rPr>
          <w:rFonts w:ascii="Arial" w:hAnsi="Arial" w:cs="Arial"/>
          <w:color w:val="555555"/>
          <w:shd w:val="clear" w:color="auto" w:fill="FFFFFF"/>
        </w:rPr>
      </w:pPr>
      <w:r>
        <w:t>Additional</w:t>
      </w:r>
      <w:r w:rsidR="00444E5E">
        <w:t>ly</w:t>
      </w:r>
      <w:r>
        <w:t>, under the Smoke Management Program, smoke</w:t>
      </w:r>
      <w:r w:rsidR="0051488F">
        <w:t>-</w:t>
      </w:r>
      <w:r>
        <w:t xml:space="preserve">sensitive areas are defined as populated areas and other areas where an air district determines that smoke and air </w:t>
      </w:r>
      <w:r w:rsidRPr="000B4123">
        <w:t xml:space="preserve">pollutants can adversely affect public health. These areas include, but are not limited to, towns and villages, campgrounds, trails, populated recreational areas, hospitals, nursing homes, schools, roads, airports, public events, </w:t>
      </w:r>
      <w:r w:rsidR="0055498E">
        <w:t xml:space="preserve">and </w:t>
      </w:r>
      <w:r w:rsidRPr="000B4123">
        <w:t>shopping centers</w:t>
      </w:r>
      <w:r w:rsidR="0055498E">
        <w:t>.</w:t>
      </w:r>
    </w:p>
    <w:p w14:paraId="366ECB48" w14:textId="14065131" w:rsidR="001764B7" w:rsidRPr="006404C2" w:rsidRDefault="00444E5E" w:rsidP="00D8409C">
      <w:pPr>
        <w:pStyle w:val="BodyText"/>
      </w:pPr>
      <w:r>
        <w:t xml:space="preserve">For the purposes of this </w:t>
      </w:r>
      <w:r w:rsidR="0056001F">
        <w:t>P</w:t>
      </w:r>
      <w:r>
        <w:t>EIR</w:t>
      </w:r>
      <w:r w:rsidR="000B4123">
        <w:t>, smoke</w:t>
      </w:r>
      <w:r w:rsidR="0056001F">
        <w:t>-</w:t>
      </w:r>
      <w:r w:rsidR="000B4123">
        <w:t>sensitive areas are considered sensitive receptors. Although the treatable landscape</w:t>
      </w:r>
      <w:r w:rsidR="000A6C00">
        <w:t xml:space="preserve"> is ge</w:t>
      </w:r>
      <w:r w:rsidR="000B4123" w:rsidRPr="000B4123">
        <w:t>nerally in less populated, rural, or undeveloped areas</w:t>
      </w:r>
      <w:r w:rsidR="000A6C00">
        <w:t>, sensitive receptors are present throughout the treatable landscape.</w:t>
      </w:r>
    </w:p>
    <w:p w14:paraId="31E0A3D2" w14:textId="72707761" w:rsidR="00DF378E" w:rsidRPr="009414C1" w:rsidRDefault="00513365" w:rsidP="007439FD">
      <w:pPr>
        <w:pStyle w:val="Heading3"/>
      </w:pPr>
      <w:bookmarkStart w:id="61" w:name="_Toc330916544"/>
      <w:bookmarkEnd w:id="9"/>
      <w:bookmarkEnd w:id="10"/>
      <w:bookmarkEnd w:id="11"/>
      <w:bookmarkEnd w:id="12"/>
      <w:r w:rsidRPr="009414C1">
        <w:t xml:space="preserve">Environmental </w:t>
      </w:r>
      <w:r w:rsidR="001A13FD" w:rsidRPr="009414C1">
        <w:t>Impacts</w:t>
      </w:r>
      <w:bookmarkEnd w:id="61"/>
      <w:r w:rsidR="0073263F" w:rsidRPr="009414C1">
        <w:t xml:space="preserve"> and Mitigation Measures</w:t>
      </w:r>
    </w:p>
    <w:p w14:paraId="22CB906E" w14:textId="7E346FDE" w:rsidR="0006166E" w:rsidRPr="009414C1" w:rsidRDefault="0006166E" w:rsidP="0006166E">
      <w:pPr>
        <w:pStyle w:val="Heading4"/>
      </w:pPr>
      <w:r w:rsidRPr="009414C1">
        <w:t>Methodology</w:t>
      </w:r>
    </w:p>
    <w:p w14:paraId="1C9F6027" w14:textId="30EC3976" w:rsidR="00407855" w:rsidRDefault="00763EB7" w:rsidP="00D8409C">
      <w:pPr>
        <w:pStyle w:val="BodyText"/>
      </w:pPr>
      <w:r w:rsidRPr="00763EB7">
        <w:t xml:space="preserve">The </w:t>
      </w:r>
      <w:r>
        <w:t xml:space="preserve">air quality analysis </w:t>
      </w:r>
      <w:r w:rsidRPr="00763EB7">
        <w:t xml:space="preserve">focuses on the potential for </w:t>
      </w:r>
      <w:r>
        <w:t xml:space="preserve">treatment activities under the CalVTP to result in substantial emissions of air pollutants that would affect regional and/or localized air quality such that human health would be adversely affected. </w:t>
      </w:r>
      <w:bookmarkStart w:id="62" w:name="_Hlk7427692"/>
      <w:r w:rsidRPr="00763EB7">
        <w:t>Significance determinations account for the influence of relevant SPRs, which are incorporated into treatment design.</w:t>
      </w:r>
    </w:p>
    <w:p w14:paraId="7165439F" w14:textId="6BF056D2" w:rsidR="002E270F" w:rsidRPr="00C966A5" w:rsidRDefault="008569B7" w:rsidP="00D8409C">
      <w:pPr>
        <w:pStyle w:val="Bullet1"/>
      </w:pPr>
      <w:bookmarkStart w:id="63" w:name="_Hlk20823510"/>
      <w:r w:rsidRPr="007A6CF2">
        <w:rPr>
          <w:b/>
        </w:rPr>
        <w:t>SPR AD-4 Public Notifications for Prescribed Burning</w:t>
      </w:r>
      <w:r w:rsidRPr="007A6CF2">
        <w:t xml:space="preserve">: </w:t>
      </w:r>
      <w:bookmarkStart w:id="64" w:name="_Hlk10456623"/>
      <w:r w:rsidRPr="007A6CF2">
        <w:t xml:space="preserve">One to three days </w:t>
      </w:r>
      <w:bookmarkEnd w:id="64"/>
      <w:r w:rsidRPr="007A6CF2">
        <w:t xml:space="preserve">prior to the commencement of prescribed burning operations, the project proponent will: 1) post signs along the closest public roadway to the </w:t>
      </w:r>
      <w:r w:rsidRPr="00D11F03">
        <w:rPr>
          <w:u w:val="single"/>
        </w:rPr>
        <w:t xml:space="preserve">treatment </w:t>
      </w:r>
      <w:r w:rsidRPr="007A6CF2">
        <w:t xml:space="preserve">area describing the activity and timing, and requesting persons in the area to contact a designated representative of the project proponent (contact information will be provided with the notice) if they have questions or smoke concerns; 2) publish a public interest notification in a local newspapers or other widely distributed media source describing the activity, timing, and contact information; 3) send the local county supervisor </w:t>
      </w:r>
      <w:r w:rsidRPr="00D11F03">
        <w:rPr>
          <w:u w:val="single"/>
        </w:rPr>
        <w:t xml:space="preserve">and county administrative officer (or equivalent official responsible for distribution of public information) </w:t>
      </w:r>
      <w:r w:rsidRPr="007A6CF2">
        <w:t xml:space="preserve">a notification letter describing the activity, its necessity, timing, and measures being taken to protect </w:t>
      </w:r>
      <w:r w:rsidRPr="007A6CF2">
        <w:lastRenderedPageBreak/>
        <w:t>the environment and prevent prescribed burn escape. This SPR applies only to prescribed burn treatment activities and all treatment types</w:t>
      </w:r>
      <w:r w:rsidR="007A640F">
        <w:rPr>
          <w:u w:val="single"/>
        </w:rPr>
        <w:t>, including treatment maintenance</w:t>
      </w:r>
      <w:r w:rsidRPr="007A6CF2">
        <w:t>.</w:t>
      </w:r>
      <w:bookmarkEnd w:id="63"/>
    </w:p>
    <w:p w14:paraId="795E74C8" w14:textId="56E10DE3" w:rsidR="00023A57" w:rsidRPr="00C966A5" w:rsidRDefault="00023A57" w:rsidP="00023A57">
      <w:pPr>
        <w:pStyle w:val="Bullet1"/>
        <w:keepNext/>
      </w:pPr>
      <w:r>
        <w:rPr>
          <w:b/>
        </w:rPr>
        <w:t>SPR AQ-1 Comply with Air Quality Regulations</w:t>
      </w:r>
      <w:r w:rsidRPr="0037744B">
        <w:rPr>
          <w:b/>
        </w:rPr>
        <w:t xml:space="preserve">: </w:t>
      </w:r>
      <w:r>
        <w:t xml:space="preserve">The project proponent will comply with the applicable air quality requirements of air districts within whose jurisdiction the project is located. </w:t>
      </w:r>
      <w:r w:rsidR="009F6A65">
        <w:rPr>
          <w:color w:val="000000"/>
        </w:rPr>
        <w:t>This SPR applies only to prescribed burning treatment activities and all treatment types</w:t>
      </w:r>
      <w:r w:rsidR="007A640F">
        <w:rPr>
          <w:u w:val="single"/>
        </w:rPr>
        <w:t>, including treatment maintenance</w:t>
      </w:r>
      <w:r w:rsidR="009F6A65">
        <w:rPr>
          <w:color w:val="000000"/>
        </w:rPr>
        <w:t>.</w:t>
      </w:r>
    </w:p>
    <w:p w14:paraId="37B30F13" w14:textId="693090E1" w:rsidR="00023A57" w:rsidRDefault="00023A57" w:rsidP="00023A57">
      <w:pPr>
        <w:pStyle w:val="Bullet1"/>
      </w:pPr>
      <w:bookmarkStart w:id="65" w:name="_Hlk20825427"/>
      <w:r>
        <w:rPr>
          <w:b/>
        </w:rPr>
        <w:t>SPR AQ-2 Submit Smoke Management Plan</w:t>
      </w:r>
      <w:r w:rsidRPr="0037744B">
        <w:rPr>
          <w:b/>
        </w:rPr>
        <w:t xml:space="preserve">: </w:t>
      </w:r>
      <w:r>
        <w:t>The project proponent will s</w:t>
      </w:r>
      <w:r w:rsidRPr="00D21A16">
        <w:t>u</w:t>
      </w:r>
      <w:r>
        <w:t>bmit a smoke management plan for all prescribed burns</w:t>
      </w:r>
      <w:r w:rsidRPr="00D11F03">
        <w:rPr>
          <w:strike/>
        </w:rPr>
        <w:t xml:space="preserve"> greater than 10 acres or estimated to produce more than 1 ton of particulate matter</w:t>
      </w:r>
      <w:r w:rsidR="002203F1" w:rsidRPr="00D11F03">
        <w:rPr>
          <w:u w:val="single"/>
        </w:rPr>
        <w:t xml:space="preserve"> to the applicable air district</w:t>
      </w:r>
      <w:r>
        <w:t>, i</w:t>
      </w:r>
      <w:r w:rsidRPr="0037744B">
        <w:t xml:space="preserve">n accordance with 17 CCR Section 80160. </w:t>
      </w:r>
      <w:bookmarkStart w:id="66" w:name="_Hlk20740676"/>
      <w:r w:rsidR="002203F1" w:rsidRPr="00D11F03">
        <w:rPr>
          <w:u w:val="single"/>
        </w:rPr>
        <w:t xml:space="preserve">Pursuant to this regulation a smoke management plan will not be required for burns less than 10 acres that also will not be conducted near smoke sensitive areas, unless otherwise directed by the air district. </w:t>
      </w:r>
      <w:bookmarkEnd w:id="66"/>
      <w:r w:rsidRPr="0037744B">
        <w:t xml:space="preserve">Burning </w:t>
      </w:r>
      <w:r>
        <w:t>will</w:t>
      </w:r>
      <w:r w:rsidRPr="0037744B">
        <w:t xml:space="preserve"> only be </w:t>
      </w:r>
      <w:r>
        <w:t>conducted</w:t>
      </w:r>
      <w:r w:rsidRPr="0037744B">
        <w:t xml:space="preserve"> in compliance with the burn authorization program of the </w:t>
      </w:r>
      <w:r>
        <w:t>applicable</w:t>
      </w:r>
      <w:r w:rsidRPr="0037744B">
        <w:t xml:space="preserve"> </w:t>
      </w:r>
      <w:r>
        <w:t>air district(s)</w:t>
      </w:r>
      <w:r w:rsidRPr="0037744B">
        <w:t xml:space="preserve"> having jurisdiction over the </w:t>
      </w:r>
      <w:r>
        <w:t>treatment</w:t>
      </w:r>
      <w:r w:rsidRPr="0037744B">
        <w:t xml:space="preserve"> area. Example of a smoke management plan is in Appendix </w:t>
      </w:r>
      <w:r>
        <w:t>PD-2</w:t>
      </w:r>
      <w:r w:rsidRPr="0037744B">
        <w:t>.</w:t>
      </w:r>
      <w:r w:rsidR="009F6A65">
        <w:t xml:space="preserve"> </w:t>
      </w:r>
      <w:r w:rsidR="009F6A65">
        <w:rPr>
          <w:color w:val="000000"/>
        </w:rPr>
        <w:t>This SPR applies only to prescribed burning treatment activities and all treatment types</w:t>
      </w:r>
      <w:r w:rsidR="007A640F">
        <w:rPr>
          <w:u w:val="single"/>
        </w:rPr>
        <w:t>, including treatment maintenance</w:t>
      </w:r>
      <w:r w:rsidR="009F6A65">
        <w:rPr>
          <w:color w:val="000000"/>
        </w:rPr>
        <w:t>.</w:t>
      </w:r>
      <w:bookmarkEnd w:id="65"/>
    </w:p>
    <w:p w14:paraId="6B560D76" w14:textId="6686110B" w:rsidR="00023A57" w:rsidRPr="0037744B" w:rsidRDefault="00023A57" w:rsidP="00023A57">
      <w:pPr>
        <w:pStyle w:val="Bullet1"/>
      </w:pPr>
      <w:bookmarkStart w:id="67" w:name="_Hlk11058842"/>
      <w:r w:rsidRPr="00E1165F">
        <w:rPr>
          <w:b/>
        </w:rPr>
        <w:t>SPR</w:t>
      </w:r>
      <w:r>
        <w:rPr>
          <w:b/>
        </w:rPr>
        <w:t xml:space="preserve"> </w:t>
      </w:r>
      <w:r w:rsidRPr="00E1165F">
        <w:rPr>
          <w:b/>
        </w:rPr>
        <w:t>AQ-3</w:t>
      </w:r>
      <w:r>
        <w:rPr>
          <w:b/>
        </w:rPr>
        <w:t xml:space="preserve"> Create Burn Plan</w:t>
      </w:r>
      <w:r>
        <w:t>: The project proponent will create a</w:t>
      </w:r>
      <w:r w:rsidRPr="00320CDE">
        <w:t xml:space="preserve"> burn plan using the</w:t>
      </w:r>
      <w:r>
        <w:t xml:space="preserve"> CAL FIRE</w:t>
      </w:r>
      <w:r w:rsidRPr="00320CDE">
        <w:t xml:space="preserve"> burn plan template</w:t>
      </w:r>
      <w:r>
        <w:t xml:space="preserve"> for all prescribed burns</w:t>
      </w:r>
      <w:r w:rsidRPr="00320CDE">
        <w:t xml:space="preserve">. The burn plan </w:t>
      </w:r>
      <w:r>
        <w:t>will</w:t>
      </w:r>
      <w:r w:rsidRPr="00320CDE">
        <w:t xml:space="preserve"> include a fire behavior model output of First Order Fire Effects Model and BEHAVE or other fire behavior modeling simulation and</w:t>
      </w:r>
      <w:r>
        <w:t xml:space="preserve"> that is</w:t>
      </w:r>
      <w:r w:rsidRPr="00320CDE">
        <w:t xml:space="preserve"> performed by a</w:t>
      </w:r>
      <w:r>
        <w:t xml:space="preserve"> qualified</w:t>
      </w:r>
      <w:r w:rsidRPr="00320CDE">
        <w:t xml:space="preserve"> fire behavior technical specialist that predicts fire behavior, calculates consumption of fuels, tree mortality, predicted emissions, </w:t>
      </w:r>
      <w:r>
        <w:t>greenhouse gas</w:t>
      </w:r>
      <w:r w:rsidRPr="00320CDE">
        <w:t xml:space="preserve"> emissions, and soil heating. </w:t>
      </w:r>
      <w:r w:rsidR="001E1812">
        <w:t>The project proponent will minimize s</w:t>
      </w:r>
      <w:r w:rsidR="001E1812" w:rsidRPr="0056565F">
        <w:t xml:space="preserve">oil burn severity from broadcast burning </w:t>
      </w:r>
      <w:r w:rsidR="001E1812">
        <w:t>to</w:t>
      </w:r>
      <w:r w:rsidR="001E1812" w:rsidRPr="0056565F">
        <w:t xml:space="preserve"> reduce the potential for runoff and soil erosion</w:t>
      </w:r>
      <w:r w:rsidR="001E1812">
        <w:t xml:space="preserve">. </w:t>
      </w:r>
      <w:r w:rsidRPr="00320CDE">
        <w:t xml:space="preserve">The burn plan </w:t>
      </w:r>
      <w:r>
        <w:t>will</w:t>
      </w:r>
      <w:r w:rsidRPr="00320CDE">
        <w:t xml:space="preserve"> be created with input from </w:t>
      </w:r>
      <w:r>
        <w:t>a</w:t>
      </w:r>
      <w:r w:rsidRPr="00320CDE">
        <w:t xml:space="preserve"> </w:t>
      </w:r>
      <w:r>
        <w:t>qualified technician or certified State burn boss</w:t>
      </w:r>
      <w:r w:rsidRPr="00320CDE">
        <w:t>.</w:t>
      </w:r>
      <w:bookmarkEnd w:id="67"/>
      <w:r w:rsidR="009F6A65">
        <w:t xml:space="preserve"> </w:t>
      </w:r>
      <w:bookmarkStart w:id="68" w:name="_Hlk11157602"/>
      <w:r w:rsidR="009F6A65">
        <w:rPr>
          <w:color w:val="000000"/>
        </w:rPr>
        <w:t>This SPR applies only to prescribed burning treatment activities and all treatment types</w:t>
      </w:r>
      <w:r w:rsidR="007A640F">
        <w:rPr>
          <w:u w:val="single"/>
        </w:rPr>
        <w:t>, including treatment maintenance</w:t>
      </w:r>
      <w:r w:rsidR="009F6A65">
        <w:rPr>
          <w:color w:val="000000"/>
        </w:rPr>
        <w:t>.</w:t>
      </w:r>
      <w:bookmarkEnd w:id="68"/>
    </w:p>
    <w:p w14:paraId="5F4F6598" w14:textId="77777777" w:rsidR="00023A57" w:rsidRDefault="00023A57" w:rsidP="00023A57">
      <w:pPr>
        <w:pStyle w:val="Bullet1"/>
      </w:pPr>
      <w:r>
        <w:rPr>
          <w:b/>
        </w:rPr>
        <w:t>SPR AQ-4 Minimize Dust</w:t>
      </w:r>
      <w:r w:rsidRPr="0037744B">
        <w:t xml:space="preserve">: </w:t>
      </w:r>
      <w:r>
        <w:t>To minimize dust during treatment activities, the project proponent will implement the following measures:</w:t>
      </w:r>
    </w:p>
    <w:p w14:paraId="03F970A2" w14:textId="77777777" w:rsidR="00023A57" w:rsidRDefault="00023A57" w:rsidP="00023A57">
      <w:pPr>
        <w:pStyle w:val="Bullet2"/>
      </w:pPr>
      <w:r>
        <w:t>Limit the speed of</w:t>
      </w:r>
      <w:r w:rsidRPr="0037744B">
        <w:t xml:space="preserve"> vehicles and equipment traveling on </w:t>
      </w:r>
      <w:r>
        <w:t xml:space="preserve">unpaved </w:t>
      </w:r>
      <w:r w:rsidRPr="0037744B">
        <w:t xml:space="preserve">areas to 15 miles per hour to reduce fugitive dust emissions, in accordance with the </w:t>
      </w:r>
      <w:r>
        <w:t xml:space="preserve">California </w:t>
      </w:r>
      <w:r w:rsidRPr="0037744B">
        <w:t xml:space="preserve">Air Resources Board </w:t>
      </w:r>
      <w:r>
        <w:t xml:space="preserve">(CARB) </w:t>
      </w:r>
      <w:r w:rsidRPr="0037744B">
        <w:t>Fugitive Dust protocol.</w:t>
      </w:r>
    </w:p>
    <w:p w14:paraId="1362A65C" w14:textId="77777777" w:rsidR="00023A57" w:rsidRDefault="00023A57" w:rsidP="00023A57">
      <w:pPr>
        <w:pStyle w:val="Bullet2"/>
      </w:pPr>
      <w:r>
        <w:t>If road use creates excessive dust, t</w:t>
      </w:r>
      <w:r w:rsidRPr="005179EC">
        <w:t xml:space="preserve">he project proponent will wet </w:t>
      </w:r>
      <w:r>
        <w:t xml:space="preserve">appurtenant, </w:t>
      </w:r>
      <w:r w:rsidRPr="005179EC">
        <w:t>unpaved</w:t>
      </w:r>
      <w:r>
        <w:t>, dirt</w:t>
      </w:r>
      <w:r w:rsidRPr="005179EC">
        <w:t xml:space="preserve"> roads using water trucks or treat roads with a non-toxic chemical dust suppressant (e.g., emulsion polymers, organic material) during dry, dusty conditions.</w:t>
      </w:r>
      <w:r w:rsidRPr="0056565F">
        <w:t xml:space="preserve"> Any dust suppressant product used </w:t>
      </w:r>
      <w:r>
        <w:t>will</w:t>
      </w:r>
      <w:r w:rsidRPr="0056565F">
        <w:t xml:space="preserve"> be environmentally benign (i.e., non-toxic to plants and </w:t>
      </w:r>
      <w:r>
        <w:t>will</w:t>
      </w:r>
      <w:r w:rsidRPr="0056565F">
        <w:t xml:space="preserve"> not negatively impact water quality) and its use </w:t>
      </w:r>
      <w:r>
        <w:t xml:space="preserve">will </w:t>
      </w:r>
      <w:r w:rsidRPr="0056565F">
        <w:t xml:space="preserve">not be prohibited by </w:t>
      </w:r>
      <w:r w:rsidRPr="00BF319F">
        <w:t>ARB, EPA, or the State Water Resources Control Board</w:t>
      </w:r>
      <w:r>
        <w:t xml:space="preserve"> (SWRCB)</w:t>
      </w:r>
      <w:r w:rsidRPr="00BF319F">
        <w:t>. The project proponent will not over</w:t>
      </w:r>
      <w:r w:rsidRPr="0056565F">
        <w:t>-water</w:t>
      </w:r>
      <w:r>
        <w:t xml:space="preserve"> e</w:t>
      </w:r>
      <w:r w:rsidRPr="0056565F">
        <w:t xml:space="preserve">xposed areas such that </w:t>
      </w:r>
      <w:r>
        <w:t xml:space="preserve">the </w:t>
      </w:r>
      <w:r w:rsidRPr="0056565F">
        <w:t xml:space="preserve">water results in runoff. The type of dust suppression method </w:t>
      </w:r>
      <w:r>
        <w:t>will</w:t>
      </w:r>
      <w:r w:rsidRPr="0056565F">
        <w:t xml:space="preserve"> be selected by the </w:t>
      </w:r>
      <w:r>
        <w:t>project proponent</w:t>
      </w:r>
      <w:r w:rsidRPr="0056565F">
        <w:t xml:space="preserve"> based on soil, traffic, site-specific conditions, and air quality regulations.</w:t>
      </w:r>
    </w:p>
    <w:p w14:paraId="4A94D10B" w14:textId="139BCC72" w:rsidR="00023A57" w:rsidRDefault="00023A57" w:rsidP="00023A57">
      <w:pPr>
        <w:pStyle w:val="Bullet2"/>
      </w:pPr>
      <w:r>
        <w:t>Remove</w:t>
      </w:r>
      <w:r w:rsidRPr="0037744B">
        <w:t xml:space="preserve"> visible dust, silt, or mud tracked-out on to public paved roadways where sufficient water supplies and access to water is available</w:t>
      </w:r>
      <w:r>
        <w:t xml:space="preserve">. The project proponent will remove dust, silt, and mud from vehicles </w:t>
      </w:r>
      <w:r w:rsidRPr="0037744B">
        <w:t>at the conclusion of each workday, or at a minimum of every 24 hours for continuous treatment activities, in accordance with Vehicle Code Section 23113.</w:t>
      </w:r>
    </w:p>
    <w:p w14:paraId="5CC31E7C" w14:textId="5AFEF945" w:rsidR="009F6A65" w:rsidRDefault="00023A57" w:rsidP="00023A57">
      <w:pPr>
        <w:pStyle w:val="Bullet2"/>
      </w:pPr>
      <w:r>
        <w:t>Suspend g</w:t>
      </w:r>
      <w:r w:rsidRPr="0037744B">
        <w:t xml:space="preserve">round-disturbing treatment activities, including land clearing and bulldozer lines, when there is visible dust transport </w:t>
      </w:r>
      <w:r w:rsidR="009179D6">
        <w:t xml:space="preserve">(particulate pollution) </w:t>
      </w:r>
      <w:r w:rsidRPr="0037744B">
        <w:t xml:space="preserve">outside the </w:t>
      </w:r>
      <w:r>
        <w:t>treatment boundary</w:t>
      </w:r>
      <w:r w:rsidRPr="0037744B">
        <w:t xml:space="preserve">, </w:t>
      </w:r>
      <w:r w:rsidR="009179D6">
        <w:t xml:space="preserve">if the particulate emissions may “cause injury, detriment, nuisance, or annoyance to any considerable number of persons or to the public, or that endanger the comfort, repose, health, or safety of any of those persons or the public, or that cause, or have a natural tendency to cause, injury or damage to business or property,” per </w:t>
      </w:r>
      <w:r w:rsidRPr="0037744B">
        <w:t>H</w:t>
      </w:r>
      <w:r>
        <w:t xml:space="preserve">ealth and Safety Code </w:t>
      </w:r>
      <w:r w:rsidRPr="0037744B">
        <w:t>Section 41700.</w:t>
      </w:r>
    </w:p>
    <w:p w14:paraId="4A24609F" w14:textId="4054B6FE" w:rsidR="00023A57" w:rsidRPr="0037744B" w:rsidRDefault="009F6A65" w:rsidP="00631B4A">
      <w:pPr>
        <w:pStyle w:val="Bullet2"/>
        <w:numPr>
          <w:ilvl w:val="0"/>
          <w:numId w:val="0"/>
        </w:numPr>
        <w:ind w:left="720"/>
      </w:pPr>
      <w:r>
        <w:rPr>
          <w:color w:val="000000"/>
        </w:rPr>
        <w:t>This SPR applies to all treatment activities and treatment types</w:t>
      </w:r>
      <w:r w:rsidR="007A640F">
        <w:rPr>
          <w:u w:val="single"/>
        </w:rPr>
        <w:t>, including treatment maintenance</w:t>
      </w:r>
      <w:r>
        <w:rPr>
          <w:color w:val="000000"/>
        </w:rPr>
        <w:t>.</w:t>
      </w:r>
    </w:p>
    <w:p w14:paraId="709B947E" w14:textId="5D94FF98" w:rsidR="00023A57" w:rsidRPr="00335804" w:rsidRDefault="00023A57" w:rsidP="00023A57">
      <w:pPr>
        <w:pStyle w:val="Bullet1"/>
        <w:rPr>
          <w:spacing w:val="-4"/>
        </w:rPr>
      </w:pPr>
      <w:r w:rsidRPr="00335804">
        <w:rPr>
          <w:b/>
          <w:spacing w:val="-4"/>
        </w:rPr>
        <w:t>SPR AQ-5 Avoid Naturally Occurring Asbestos:</w:t>
      </w:r>
      <w:r w:rsidRPr="00335804">
        <w:rPr>
          <w:spacing w:val="-4"/>
        </w:rPr>
        <w:t xml:space="preserve"> The project proponent will avoid ground-disturbing treatment activities in areas identified as likely to contain naturally occurring asbestos (NOA) per maps and guidance published by the California Geological Survey, unless an Asbestos Dust Control Plan (17 CCR Section 93105) is prepared and approved </w:t>
      </w:r>
      <w:r w:rsidRPr="00335804">
        <w:rPr>
          <w:spacing w:val="-4"/>
        </w:rPr>
        <w:lastRenderedPageBreak/>
        <w:t xml:space="preserve">by the air district(s) with jurisdiction over the treatment area. Any NOA-related guidance provided by the applicable air district will be followed. </w:t>
      </w:r>
      <w:r w:rsidR="009F6A65" w:rsidRPr="00335804">
        <w:rPr>
          <w:color w:val="000000"/>
          <w:spacing w:val="-4"/>
        </w:rPr>
        <w:t>This SPR applies to all treatment activities and treatment types</w:t>
      </w:r>
      <w:r w:rsidR="007A640F">
        <w:rPr>
          <w:u w:val="single"/>
        </w:rPr>
        <w:t>, including treatment maintenance</w:t>
      </w:r>
      <w:r w:rsidR="009F6A65" w:rsidRPr="00335804">
        <w:rPr>
          <w:color w:val="000000"/>
          <w:spacing w:val="-4"/>
        </w:rPr>
        <w:t>.</w:t>
      </w:r>
    </w:p>
    <w:p w14:paraId="119754C8" w14:textId="45BDC5C0" w:rsidR="00023A57" w:rsidRPr="00175715" w:rsidRDefault="00023A57" w:rsidP="00D8409C">
      <w:pPr>
        <w:pStyle w:val="Bullet1"/>
      </w:pPr>
      <w:r w:rsidRPr="00EE6AFF">
        <w:rPr>
          <w:b/>
          <w:bCs w:val="0"/>
        </w:rPr>
        <w:t>SPR AQ-</w:t>
      </w:r>
      <w:r>
        <w:rPr>
          <w:b/>
          <w:bCs w:val="0"/>
        </w:rPr>
        <w:t>6</w:t>
      </w:r>
      <w:r w:rsidRPr="00EE6AFF">
        <w:rPr>
          <w:b/>
          <w:bCs w:val="0"/>
        </w:rPr>
        <w:t>: Prescribed Burn Safety Procedures.</w:t>
      </w:r>
      <w:r w:rsidRPr="00EE6AFF">
        <w:t xml:space="preserve"> Prescribed burns planned and managed by non-CAL FIRE crews will follow all safety procedures required of CAL FIRE crew, including the implementation of an approved Incident Action Plan</w:t>
      </w:r>
      <w:r w:rsidR="003C3BA4">
        <w:t xml:space="preserve"> (IAP)</w:t>
      </w:r>
      <w:r w:rsidRPr="00EE6AFF">
        <w:t>. The IAP will include the burn dates; burn hours; weather limitations; the specific burn prescription; a communications plan; a medical plan; a traffic plan; and special instructions such as minimizing smoke impacts to specific local roadways. The IAP will also assign responsibilities for coordination with the appropriate air district, such as conducting onsite briefings, posting notifications, weather monitoring during burning, and other burn related preparations.</w:t>
      </w:r>
      <w:r w:rsidR="009F6A65">
        <w:t xml:space="preserve"> </w:t>
      </w:r>
      <w:r w:rsidR="009F6A65">
        <w:rPr>
          <w:color w:val="000000"/>
        </w:rPr>
        <w:t>This SPR applies only to prescribed burning treatment activities and all treatment types</w:t>
      </w:r>
      <w:r w:rsidR="007A640F">
        <w:rPr>
          <w:u w:val="single"/>
        </w:rPr>
        <w:t>, including treatment maintenance</w:t>
      </w:r>
      <w:r w:rsidR="009F6A65">
        <w:rPr>
          <w:color w:val="000000"/>
        </w:rPr>
        <w:t>.</w:t>
      </w:r>
    </w:p>
    <w:bookmarkEnd w:id="62"/>
    <w:p w14:paraId="572FEFE6" w14:textId="334F85D6" w:rsidR="007A381C" w:rsidRDefault="0056001F" w:rsidP="00D8409C">
      <w:pPr>
        <w:pStyle w:val="BodyText"/>
      </w:pPr>
      <w:r>
        <w:t>Qualifying t</w:t>
      </w:r>
      <w:r w:rsidR="00A84390">
        <w:t>reatments implemented under the CalVTP</w:t>
      </w:r>
      <w:r w:rsidR="00407855" w:rsidRPr="00175715">
        <w:t xml:space="preserve"> could result in an incremental increase in </w:t>
      </w:r>
      <w:r w:rsidR="007A2B94">
        <w:t xml:space="preserve">emissions of </w:t>
      </w:r>
      <w:r w:rsidR="00763EB7">
        <w:t>criteria air pollutant and precursor</w:t>
      </w:r>
      <w:r w:rsidR="007A2B94">
        <w:t>s</w:t>
      </w:r>
      <w:r w:rsidR="00407855" w:rsidRPr="00175715">
        <w:t xml:space="preserve">. </w:t>
      </w:r>
      <w:r w:rsidR="00763EB7">
        <w:t xml:space="preserve">The potential for </w:t>
      </w:r>
      <w:r w:rsidR="00F3345C">
        <w:t xml:space="preserve">mobile-source </w:t>
      </w:r>
      <w:r w:rsidR="00763EB7">
        <w:t xml:space="preserve">emissions </w:t>
      </w:r>
      <w:r w:rsidR="00F3345C">
        <w:t xml:space="preserve">of criteria air pollutants and precursors </w:t>
      </w:r>
      <w:r w:rsidR="00763EB7">
        <w:t>to exceed</w:t>
      </w:r>
      <w:r w:rsidR="007A381C">
        <w:t>, or contribute to exceedances of,</w:t>
      </w:r>
      <w:r w:rsidR="00763EB7">
        <w:t xml:space="preserve"> the NAAQS and CAAQS is </w:t>
      </w:r>
      <w:r w:rsidR="007A381C">
        <w:t>examined by comparing treatment-</w:t>
      </w:r>
      <w:r w:rsidR="000723DC">
        <w:t>related</w:t>
      </w:r>
      <w:r w:rsidR="007A381C">
        <w:t xml:space="preserve"> emissions to mass emission thresholds recommended by air districts in California. </w:t>
      </w:r>
      <w:r w:rsidR="0035768E">
        <w:t xml:space="preserve">Emissions were estimated for each treatment activity being conducted </w:t>
      </w:r>
      <w:r w:rsidR="006D670F">
        <w:t>in</w:t>
      </w:r>
      <w:r w:rsidR="0035768E">
        <w:t xml:space="preserve"> tree, shrub, and grass</w:t>
      </w:r>
      <w:r w:rsidR="006D670F">
        <w:t xml:space="preserve"> fuel types in</w:t>
      </w:r>
      <w:r w:rsidR="0035768E">
        <w:t xml:space="preserve"> the treatable landscape. Treatment</w:t>
      </w:r>
      <w:r w:rsidR="000723DC">
        <w:t>-</w:t>
      </w:r>
      <w:r w:rsidR="0035768E">
        <w:t xml:space="preserve">generated emissions were estimated on a per-acre basis. Emissions generated by off-road equipment were estimated using </w:t>
      </w:r>
      <w:r w:rsidR="000723DC">
        <w:t xml:space="preserve">emission factors from </w:t>
      </w:r>
      <w:r w:rsidR="0035768E">
        <w:t>CARB</w:t>
      </w:r>
      <w:r w:rsidR="00670EB0">
        <w:t>’</w:t>
      </w:r>
      <w:r w:rsidR="0035768E">
        <w:t>s web-based OFFROAD2017 model (CARB 2017</w:t>
      </w:r>
      <w:r w:rsidR="000A628A">
        <w:t>a</w:t>
      </w:r>
      <w:r w:rsidR="0035768E">
        <w:t xml:space="preserve">). Emissions generated by on-road vehicle trips were estimated using emission factors from </w:t>
      </w:r>
      <w:r w:rsidR="0035768E" w:rsidRPr="00DC3233">
        <w:t xml:space="preserve">the Emission Factor </w:t>
      </w:r>
      <w:r w:rsidR="007B0877">
        <w:t>2017</w:t>
      </w:r>
      <w:r w:rsidR="0035768E" w:rsidRPr="00DC3233">
        <w:t xml:space="preserve"> model (EMFAC201</w:t>
      </w:r>
      <w:r w:rsidR="0035768E">
        <w:t>7</w:t>
      </w:r>
      <w:r w:rsidR="0035768E" w:rsidRPr="00DC3233">
        <w:t>, Version 1.0.</w:t>
      </w:r>
      <w:r w:rsidR="0035768E">
        <w:t>2</w:t>
      </w:r>
      <w:r w:rsidR="0035768E" w:rsidRPr="00DC3233">
        <w:t>) (CARB 201</w:t>
      </w:r>
      <w:r w:rsidR="0035768E">
        <w:t>7</w:t>
      </w:r>
      <w:r w:rsidR="000A628A">
        <w:t>b</w:t>
      </w:r>
      <w:r w:rsidR="0035768E">
        <w:t xml:space="preserve">). </w:t>
      </w:r>
      <w:r w:rsidR="00A00B43">
        <w:t xml:space="preserve">Detailed calculations and assumptions are provided in Appendix AQ-1. </w:t>
      </w:r>
      <w:r w:rsidR="000723DC">
        <w:t xml:space="preserve">The emissions intensity of treatment activities could vary widely according to multiple factors including, but not limited to, the amount of vegetation removed or treated per acre, the maturity of the vegetation, the number of workers and equipment needed for each treatment project, and the types of equipment available. For these reasons, all assumptions involved in the emissions calculations are included in Appendix AQ-1 </w:t>
      </w:r>
      <w:r w:rsidR="00990E8E">
        <w:t xml:space="preserve">and all emissions estimates are approximations. </w:t>
      </w:r>
    </w:p>
    <w:p w14:paraId="74F7790C" w14:textId="10E26246" w:rsidR="00407855" w:rsidRPr="00175715" w:rsidRDefault="00A84390" w:rsidP="00407855">
      <w:pPr>
        <w:pStyle w:val="BodyText"/>
        <w:spacing w:after="220"/>
        <w:rPr>
          <w:rFonts w:cs="Calibri"/>
        </w:rPr>
      </w:pPr>
      <w:r>
        <w:rPr>
          <w:rFonts w:cs="Calibri"/>
        </w:rPr>
        <w:t>Treatment</w:t>
      </w:r>
      <w:r w:rsidR="00407855" w:rsidRPr="00175715">
        <w:rPr>
          <w:rFonts w:cs="Calibri"/>
        </w:rPr>
        <w:t xml:space="preserve">-related TAC emissions are also discussed qualitatively based on the potential for projects to result in increased exposure </w:t>
      </w:r>
      <w:r w:rsidR="0056001F">
        <w:rPr>
          <w:rFonts w:cs="Calibri"/>
        </w:rPr>
        <w:t>of</w:t>
      </w:r>
      <w:r w:rsidR="0056001F" w:rsidRPr="00175715">
        <w:rPr>
          <w:rFonts w:cs="Calibri"/>
        </w:rPr>
        <w:t xml:space="preserve"> </w:t>
      </w:r>
      <w:r w:rsidR="00407855" w:rsidRPr="00175715">
        <w:rPr>
          <w:rFonts w:cs="Calibri"/>
        </w:rPr>
        <w:t xml:space="preserve">sensitive receptors (e.g., </w:t>
      </w:r>
      <w:r w:rsidR="00763EB7">
        <w:rPr>
          <w:rFonts w:cs="Calibri"/>
        </w:rPr>
        <w:t xml:space="preserve">populated areas, </w:t>
      </w:r>
      <w:r w:rsidR="00407855" w:rsidRPr="00175715">
        <w:rPr>
          <w:rFonts w:cs="Calibri"/>
        </w:rPr>
        <w:t xml:space="preserve">residences, schools) to high concentrations of TACs. This discussion addresses the types of TAC-emitting activities that could occur such as diesel PM </w:t>
      </w:r>
      <w:r w:rsidR="004A1900">
        <w:rPr>
          <w:rFonts w:cs="Calibri"/>
        </w:rPr>
        <w:t xml:space="preserve">emitted by diesel-powered off-road </w:t>
      </w:r>
      <w:r w:rsidR="00407855" w:rsidRPr="00175715">
        <w:rPr>
          <w:rFonts w:cs="Calibri"/>
        </w:rPr>
        <w:t>equipment</w:t>
      </w:r>
      <w:r w:rsidR="00763EB7">
        <w:rPr>
          <w:rFonts w:cs="Calibri"/>
        </w:rPr>
        <w:t>,</w:t>
      </w:r>
      <w:r>
        <w:rPr>
          <w:rFonts w:cs="Calibri"/>
        </w:rPr>
        <w:t xml:space="preserve"> </w:t>
      </w:r>
      <w:r w:rsidR="00407855" w:rsidRPr="00175715">
        <w:rPr>
          <w:rFonts w:cs="Calibri"/>
        </w:rPr>
        <w:t xml:space="preserve">NOA-containing fugitive dust emissions from </w:t>
      </w:r>
      <w:r>
        <w:rPr>
          <w:rFonts w:cs="Calibri"/>
        </w:rPr>
        <w:t>ground disturb</w:t>
      </w:r>
      <w:r w:rsidR="0056001F">
        <w:rPr>
          <w:rFonts w:cs="Calibri"/>
        </w:rPr>
        <w:t>ing</w:t>
      </w:r>
      <w:r>
        <w:rPr>
          <w:rFonts w:cs="Calibri"/>
        </w:rPr>
        <w:t xml:space="preserve"> activities</w:t>
      </w:r>
      <w:r w:rsidR="00763EB7">
        <w:rPr>
          <w:rFonts w:cs="Calibri"/>
        </w:rPr>
        <w:t>, and TACs contained in smoke emissions from prescribed burning</w:t>
      </w:r>
      <w:r>
        <w:rPr>
          <w:rFonts w:cs="Calibri"/>
        </w:rPr>
        <w:t>.</w:t>
      </w:r>
      <w:r w:rsidR="00670EB0">
        <w:rPr>
          <w:rFonts w:cs="Calibri"/>
        </w:rPr>
        <w:t xml:space="preserve"> </w:t>
      </w:r>
    </w:p>
    <w:p w14:paraId="70FDBF32" w14:textId="68E2D4C6" w:rsidR="00407855" w:rsidRPr="00A84390" w:rsidRDefault="00407855" w:rsidP="00A84390">
      <w:pPr>
        <w:pStyle w:val="BodyText"/>
        <w:spacing w:after="220"/>
        <w:rPr>
          <w:rFonts w:cs="Calibri"/>
        </w:rPr>
      </w:pPr>
      <w:r w:rsidRPr="00175715">
        <w:rPr>
          <w:rFonts w:cs="Calibri"/>
        </w:rPr>
        <w:t xml:space="preserve">The potential for </w:t>
      </w:r>
      <w:r w:rsidR="00A84390">
        <w:rPr>
          <w:rFonts w:cs="Calibri"/>
        </w:rPr>
        <w:t>treatments implemented under the CalVTP</w:t>
      </w:r>
      <w:r w:rsidRPr="00175715">
        <w:rPr>
          <w:rFonts w:cs="Calibri"/>
        </w:rPr>
        <w:t xml:space="preserve"> to </w:t>
      </w:r>
      <w:r w:rsidRPr="00175715">
        <w:t xml:space="preserve">create objectionable odors affecting a substantial number of people is also discussed qualitatively with a focus on the types of odor sources, their intensity, </w:t>
      </w:r>
      <w:r w:rsidR="000E53ED">
        <w:t xml:space="preserve">smoke prevention measures, </w:t>
      </w:r>
      <w:r w:rsidRPr="00175715">
        <w:t xml:space="preserve">and the proximity </w:t>
      </w:r>
      <w:r w:rsidR="000E53ED">
        <w:t xml:space="preserve">of treatment activity </w:t>
      </w:r>
      <w:r w:rsidRPr="00175715">
        <w:t xml:space="preserve">to </w:t>
      </w:r>
      <w:r w:rsidR="000E53ED">
        <w:t>people</w:t>
      </w:r>
      <w:r w:rsidRPr="00175715">
        <w:rPr>
          <w:rFonts w:cs="Calibri"/>
        </w:rPr>
        <w:t>.</w:t>
      </w:r>
      <w:r w:rsidR="00670EB0">
        <w:rPr>
          <w:rFonts w:cs="Calibri"/>
        </w:rPr>
        <w:t xml:space="preserve"> </w:t>
      </w:r>
    </w:p>
    <w:p w14:paraId="1332D3A8" w14:textId="77777777" w:rsidR="00513365" w:rsidRPr="009414C1" w:rsidRDefault="00513365" w:rsidP="00513365">
      <w:pPr>
        <w:pStyle w:val="Heading4"/>
      </w:pPr>
      <w:r w:rsidRPr="009414C1">
        <w:t>Thresholds of Significance</w:t>
      </w:r>
    </w:p>
    <w:p w14:paraId="6BFAC86B" w14:textId="1FB79A9B" w:rsidR="007104D9" w:rsidRDefault="007104D9" w:rsidP="00D8409C">
      <w:pPr>
        <w:pStyle w:val="BodyText"/>
      </w:pPr>
      <w:bookmarkStart w:id="69" w:name="_Hlk3410006"/>
      <w:r>
        <w:t xml:space="preserve">Thresholds of significance are based on </w:t>
      </w:r>
      <w:r w:rsidR="00407855" w:rsidRPr="00175715">
        <w:t xml:space="preserve">Appendix G </w:t>
      </w:r>
      <w:r w:rsidR="00053A92">
        <w:t xml:space="preserve">and Section 15065 </w:t>
      </w:r>
      <w:r w:rsidR="00407855" w:rsidRPr="00175715">
        <w:t xml:space="preserve">of the </w:t>
      </w:r>
      <w:r w:rsidR="0056001F">
        <w:t xml:space="preserve">State </w:t>
      </w:r>
      <w:r w:rsidR="00407855" w:rsidRPr="00175715">
        <w:t>CEQA Guidelines</w:t>
      </w:r>
      <w:r w:rsidR="00053A92">
        <w:t>, professional judgment, and CEQA case law</w:t>
      </w:r>
      <w:r>
        <w:t xml:space="preserve">. </w:t>
      </w:r>
      <w:r w:rsidRPr="00175715">
        <w:t xml:space="preserve">As stated in Appendix G, the significance criteria established by air districts, including quantitative thresholds, may be relied upon to make </w:t>
      </w:r>
      <w:r>
        <w:t>significance</w:t>
      </w:r>
      <w:r w:rsidRPr="00175715">
        <w:t xml:space="preserve"> determinations. Multiple air districts in California have published CEQA guidance with recommended quantitative thresholds for determining whether emissions from individual projects would be considered significant in the context of CEQA</w:t>
      </w:r>
      <w:r>
        <w:t xml:space="preserve"> (also called mass emissions thresholds)</w:t>
      </w:r>
      <w:r w:rsidRPr="00175715">
        <w:t xml:space="preserve">. </w:t>
      </w:r>
      <w:r>
        <w:t xml:space="preserve">Mass emission thresholds are </w:t>
      </w:r>
      <w:r w:rsidR="007B0877">
        <w:t xml:space="preserve">the emission increments that would result in a cumulatively considerable net increase of any criteria pollutant or precursor that would exceed, or contribute to, the nonattainment status with respect to </w:t>
      </w:r>
      <w:r>
        <w:t>the CAAQS and NAAQS. Given the extensive geographic scope of the CalVTP</w:t>
      </w:r>
      <w:r w:rsidR="00670EB0">
        <w:t>’</w:t>
      </w:r>
      <w:r w:rsidR="00BB6857">
        <w:t>s treatable landscape</w:t>
      </w:r>
      <w:r>
        <w:t xml:space="preserve">, which is partially within every air </w:t>
      </w:r>
      <w:r w:rsidR="00F449E1">
        <w:t>district</w:t>
      </w:r>
      <w:r>
        <w:t xml:space="preserve"> in </w:t>
      </w:r>
      <w:r w:rsidR="00F449E1">
        <w:t>California</w:t>
      </w:r>
      <w:r>
        <w:t xml:space="preserve">, the CAAQS and NAAQS thresholds are appropriate. </w:t>
      </w:r>
    </w:p>
    <w:p w14:paraId="4E190B74" w14:textId="24A20C9A" w:rsidR="00DB72E2" w:rsidRPr="00D91627" w:rsidRDefault="00BB6857" w:rsidP="00D8409C">
      <w:pPr>
        <w:pStyle w:val="BodyText"/>
      </w:pPr>
      <w:r>
        <w:t xml:space="preserve">A treatment implemented under the proposed </w:t>
      </w:r>
      <w:r w:rsidR="007104D9">
        <w:t>CalVTP</w:t>
      </w:r>
      <w:r w:rsidR="007104D9" w:rsidRPr="00E325A0">
        <w:t xml:space="preserve"> would result in a significant </w:t>
      </w:r>
      <w:r w:rsidR="002C48FE">
        <w:t>regional and/or localized</w:t>
      </w:r>
      <w:r w:rsidR="007104D9">
        <w:t xml:space="preserve"> air quality</w:t>
      </w:r>
      <w:r w:rsidR="002C48FE">
        <w:t xml:space="preserve"> impact such that human health would be adversely affected</w:t>
      </w:r>
      <w:r w:rsidR="007104D9">
        <w:t xml:space="preserve"> if </w:t>
      </w:r>
      <w:r w:rsidR="00FE4442">
        <w:t>emissions-generating treatment activity</w:t>
      </w:r>
      <w:r w:rsidR="007104D9">
        <w:t xml:space="preserve"> would</w:t>
      </w:r>
      <w:r w:rsidR="007104D9" w:rsidRPr="00D91627">
        <w:t>:</w:t>
      </w:r>
    </w:p>
    <w:bookmarkEnd w:id="69"/>
    <w:p w14:paraId="6325F5E6" w14:textId="77777777" w:rsidR="007104D9" w:rsidRDefault="007003CF" w:rsidP="007104D9">
      <w:pPr>
        <w:pStyle w:val="Bullet1"/>
      </w:pPr>
      <w:r>
        <w:t>conflict with or obstruct implementation of the applicable air quality plan;</w:t>
      </w:r>
      <w:r w:rsidR="007104D9">
        <w:t xml:space="preserve"> specifically:</w:t>
      </w:r>
    </w:p>
    <w:p w14:paraId="075DB4DF" w14:textId="14ECA871" w:rsidR="007003CF" w:rsidRDefault="007104D9" w:rsidP="00D8409C">
      <w:pPr>
        <w:pStyle w:val="Bullet2"/>
      </w:pPr>
      <w:bookmarkStart w:id="70" w:name="_Hlk10730010"/>
      <w:r>
        <w:lastRenderedPageBreak/>
        <w:t>conflict with or obstruct implementation of CARB</w:t>
      </w:r>
      <w:r w:rsidR="00670EB0">
        <w:t>’</w:t>
      </w:r>
      <w:r>
        <w:t xml:space="preserve">s </w:t>
      </w:r>
      <w:r w:rsidR="00FE15A6">
        <w:t xml:space="preserve">State Implementation </w:t>
      </w:r>
      <w:r w:rsidR="00901ECD">
        <w:t>Plan,</w:t>
      </w:r>
      <w:r w:rsidR="00FE15A6">
        <w:t xml:space="preserve"> region-specific </w:t>
      </w:r>
      <w:r>
        <w:t>document</w:t>
      </w:r>
      <w:r w:rsidR="00FE15A6">
        <w:t>s</w:t>
      </w:r>
      <w:r>
        <w:t xml:space="preserve"> that demonstrate how </w:t>
      </w:r>
      <w:r w:rsidR="00FE15A6">
        <w:t>each region</w:t>
      </w:r>
      <w:r>
        <w:t xml:space="preserve"> can meet air quality standards;</w:t>
      </w:r>
    </w:p>
    <w:bookmarkEnd w:id="70"/>
    <w:p w14:paraId="153B0D8D" w14:textId="77CA339A" w:rsidR="007003CF" w:rsidRDefault="007003CF" w:rsidP="003A6E7A">
      <w:pPr>
        <w:pStyle w:val="Bullet1"/>
      </w:pPr>
      <w:r>
        <w:t>re</w:t>
      </w:r>
      <w:r w:rsidRPr="00737B4E">
        <w:t>sult in a cumulatively considerable net increase of any criteria pollutant for which the project region is non-attainment under an applicable federal or state ambient air quality standard</w:t>
      </w:r>
      <w:r w:rsidR="00CE3A33">
        <w:t>; an increase would be cumulatively considerable if it would:</w:t>
      </w:r>
    </w:p>
    <w:p w14:paraId="7331516A" w14:textId="6063777F" w:rsidR="00AD5297" w:rsidRDefault="00AD5297" w:rsidP="00D8409C">
      <w:pPr>
        <w:pStyle w:val="Bullet2"/>
      </w:pPr>
      <w:r>
        <w:t>generate emissions of criteria air pollutants and precursors that would exceed or contribute to exceedances of the CAAQS or NAAQS;</w:t>
      </w:r>
    </w:p>
    <w:p w14:paraId="1017EB9D" w14:textId="1C089DE8" w:rsidR="007104D9" w:rsidRDefault="007003CF" w:rsidP="007104D9">
      <w:pPr>
        <w:pStyle w:val="Bullet1"/>
      </w:pPr>
      <w:r>
        <w:t>expose sensitive receptors to substantial pollutant concentrations;</w:t>
      </w:r>
      <w:r w:rsidR="007104D9">
        <w:t xml:space="preserve"> specifically:</w:t>
      </w:r>
      <w:r w:rsidR="007104D9" w:rsidRPr="007104D9">
        <w:t xml:space="preserve"> </w:t>
      </w:r>
    </w:p>
    <w:p w14:paraId="5F4C2F5A" w14:textId="2F1082DA" w:rsidR="007104D9" w:rsidRDefault="007104D9" w:rsidP="00D8409C">
      <w:pPr>
        <w:pStyle w:val="Bullet2"/>
      </w:pPr>
      <w:r>
        <w:t>result in an incremental increase in cancer risk greater than 10 in million and/or incremental increase in noncarcinogenic Hazard Index greater than 1</w:t>
      </w:r>
      <w:r w:rsidR="002B2D2C">
        <w:t>.0</w:t>
      </w:r>
      <w:r>
        <w:t>;</w:t>
      </w:r>
      <w:r w:rsidR="00F449E1">
        <w:t xml:space="preserve"> or</w:t>
      </w:r>
    </w:p>
    <w:p w14:paraId="6F73C57F" w14:textId="1A8E370A" w:rsidR="00DB0B9E" w:rsidRDefault="007104D9" w:rsidP="00D8409C">
      <w:pPr>
        <w:pStyle w:val="Bullet2"/>
      </w:pPr>
      <w:r>
        <w:t xml:space="preserve">result in the exposure of </w:t>
      </w:r>
      <w:r w:rsidR="00686AA7">
        <w:t>people</w:t>
      </w:r>
      <w:r>
        <w:t xml:space="preserve"> to NOA</w:t>
      </w:r>
    </w:p>
    <w:p w14:paraId="6B5DD954" w14:textId="5C595B07" w:rsidR="0006166E" w:rsidRDefault="007003CF" w:rsidP="007003CF">
      <w:pPr>
        <w:pStyle w:val="Bullet1"/>
      </w:pPr>
      <w:r>
        <w:t>result in other emissions (such as those leading to</w:t>
      </w:r>
      <w:r w:rsidRPr="00737B4E">
        <w:t xml:space="preserve"> odors</w:t>
      </w:r>
      <w:r>
        <w:t>)</w:t>
      </w:r>
      <w:r w:rsidRPr="00737B4E">
        <w:t xml:space="preserve"> </w:t>
      </w:r>
      <w:r>
        <w:t xml:space="preserve">adversely </w:t>
      </w:r>
      <w:r w:rsidRPr="00737B4E">
        <w:t>affecting a substantial number of people</w:t>
      </w:r>
      <w:r w:rsidR="00DB72E2">
        <w:t>.</w:t>
      </w:r>
    </w:p>
    <w:p w14:paraId="2DF979FF" w14:textId="6813E561" w:rsidR="00053A92" w:rsidRDefault="00053A92" w:rsidP="00F20B04">
      <w:pPr>
        <w:pStyle w:val="BodyText"/>
      </w:pPr>
      <w:r>
        <w:t xml:space="preserve">According to the California Supreme Court, lead agencies, in preparing EIRs, must make </w:t>
      </w:r>
      <w:r w:rsidR="00670EB0">
        <w:t>“</w:t>
      </w:r>
      <w:r w:rsidRPr="00053A92">
        <w:t>a reasonable effort to substantively connect a project</w:t>
      </w:r>
      <w:r w:rsidR="00670EB0">
        <w:t>’</w:t>
      </w:r>
      <w:r w:rsidRPr="00053A92">
        <w:t xml:space="preserve">s air quality impacts to likely </w:t>
      </w:r>
      <w:r w:rsidRPr="00700B15">
        <w:rPr>
          <w:i/>
        </w:rPr>
        <w:t>health consequences</w:t>
      </w:r>
      <w:r w:rsidR="00700B15">
        <w:t>.</w:t>
      </w:r>
      <w:r w:rsidR="00670EB0">
        <w:t>”</w:t>
      </w:r>
      <w:r w:rsidR="00700B15">
        <w:t xml:space="preserve"> (</w:t>
      </w:r>
      <w:r w:rsidR="00700B15">
        <w:rPr>
          <w:i/>
        </w:rPr>
        <w:t>Sierra Club v. County of Fresno</w:t>
      </w:r>
      <w:r w:rsidR="00700B15">
        <w:t xml:space="preserve"> (2018) 6 Cal.5th 502, 510 [italics added].) Stated another way, the lead agency must make </w:t>
      </w:r>
      <w:r w:rsidR="00670EB0">
        <w:t>“</w:t>
      </w:r>
      <w:r w:rsidR="00700B15" w:rsidRPr="00700B15">
        <w:t>a reasonable effort to discuss relevant specifics regarding the connection between</w:t>
      </w:r>
      <w:r w:rsidR="001014A3">
        <w:t xml:space="preserve">… </w:t>
      </w:r>
      <w:r w:rsidR="00700B15" w:rsidRPr="00700B15">
        <w:t>the general health effects associated with a particular pollutant and the estimated amount of that pollutant the project will likely produce.</w:t>
      </w:r>
      <w:r w:rsidR="00670EB0">
        <w:t>”</w:t>
      </w:r>
      <w:r w:rsidR="00700B15">
        <w:t xml:space="preserve"> (</w:t>
      </w:r>
      <w:r w:rsidR="00700B15">
        <w:rPr>
          <w:i/>
        </w:rPr>
        <w:t>Id</w:t>
      </w:r>
      <w:r w:rsidR="00700B15">
        <w:t xml:space="preserve">. at p. 521.) Where air quality effects are determined to be significant, </w:t>
      </w:r>
      <w:r w:rsidR="00670EB0">
        <w:t>“</w:t>
      </w:r>
      <w:r w:rsidR="00700B15" w:rsidRPr="00700B15">
        <w:t>there must be a reasonable effort to put into a meaningful context the conclusion that the air quality impacts will be significant</w:t>
      </w:r>
      <w:r w:rsidR="001014A3">
        <w:t>[,]</w:t>
      </w:r>
      <w:r w:rsidR="00670EB0">
        <w:t>”</w:t>
      </w:r>
      <w:r w:rsidR="001014A3">
        <w:t xml:space="preserve"> expressed in terms of </w:t>
      </w:r>
      <w:r w:rsidR="00670EB0">
        <w:t>“</w:t>
      </w:r>
      <w:r w:rsidR="00700B15" w:rsidRPr="00700B15">
        <w:t>t</w:t>
      </w:r>
      <w:r w:rsidR="001014A3">
        <w:t xml:space="preserve">he nature and magnitude of the </w:t>
      </w:r>
      <w:r w:rsidR="00670EB0">
        <w:t>‘</w:t>
      </w:r>
      <w:r w:rsidR="00700B15" w:rsidRPr="00700B15">
        <w:t>health and safety problems</w:t>
      </w:r>
      <w:r w:rsidR="001014A3">
        <w:t xml:space="preserve"> caused by the physical changes</w:t>
      </w:r>
      <w:r w:rsidR="00670EB0">
        <w:t>’</w:t>
      </w:r>
      <w:r w:rsidR="00700B15" w:rsidRPr="00700B15">
        <w:t xml:space="preserve"> resulting from the Project</w:t>
      </w:r>
      <w:r w:rsidR="001014A3">
        <w:t>.</w:t>
      </w:r>
      <w:r w:rsidR="00670EB0">
        <w:t>”</w:t>
      </w:r>
      <w:r w:rsidR="001014A3">
        <w:t xml:space="preserve"> (</w:t>
      </w:r>
      <w:r w:rsidR="001014A3">
        <w:rPr>
          <w:i/>
        </w:rPr>
        <w:t>Id</w:t>
      </w:r>
      <w:r w:rsidR="001014A3">
        <w:t>. at p. 522.)</w:t>
      </w:r>
    </w:p>
    <w:p w14:paraId="0ECBEC7B" w14:textId="6F63652C" w:rsidR="00701971" w:rsidRDefault="001014A3" w:rsidP="00F20B04">
      <w:pPr>
        <w:pStyle w:val="BodyText"/>
      </w:pPr>
      <w:r>
        <w:t xml:space="preserve">The court recognized, however, that in some instances, making the desired connection </w:t>
      </w:r>
      <w:r w:rsidR="00C85F10">
        <w:t xml:space="preserve">may not be scientifically feasible. </w:t>
      </w:r>
      <w:r w:rsidR="00670EB0">
        <w:t>“</w:t>
      </w:r>
      <w:r w:rsidR="00C85F10">
        <w:t>[I]</w:t>
      </w:r>
      <w:r w:rsidR="00C85F10" w:rsidRPr="00C85F10">
        <w:t>f it is not scientifically possible to do more than has already been done to connect air quality effects with potential human health impacts, the EIR itself must explain why, in a manner reasonably calculated to inform the public of the scope of what is and is not yet known about the Project</w:t>
      </w:r>
      <w:r w:rsidR="00670EB0">
        <w:t>’</w:t>
      </w:r>
      <w:r w:rsidR="00C85F10" w:rsidRPr="00C85F10">
        <w:t>s impacts.</w:t>
      </w:r>
      <w:r w:rsidR="00670EB0">
        <w:t>”</w:t>
      </w:r>
      <w:r w:rsidR="00C85F10">
        <w:t xml:space="preserve"> (</w:t>
      </w:r>
      <w:r w:rsidR="00C85F10">
        <w:rPr>
          <w:i/>
        </w:rPr>
        <w:t>Id</w:t>
      </w:r>
      <w:r w:rsidR="00C85F10">
        <w:t>. at p. 520.)</w:t>
      </w:r>
    </w:p>
    <w:p w14:paraId="56CA05C6" w14:textId="3C117F22" w:rsidR="00053A92" w:rsidRPr="00F20B04" w:rsidRDefault="00C85F10" w:rsidP="00F20B04">
      <w:pPr>
        <w:pStyle w:val="BodyText"/>
      </w:pPr>
      <w:r>
        <w:t xml:space="preserve">Under </w:t>
      </w:r>
      <w:r w:rsidR="004B6434">
        <w:t xml:space="preserve">State </w:t>
      </w:r>
      <w:r>
        <w:t xml:space="preserve">CEQA Guidelines section 15065, subdivision (a)(4), the environmental effects of a project are significant where they </w:t>
      </w:r>
      <w:r w:rsidR="00670EB0">
        <w:t>“</w:t>
      </w:r>
      <w:r>
        <w:t>will cause substantial adverse effects on human beings, either directly or indirectly.</w:t>
      </w:r>
      <w:r w:rsidR="00670EB0">
        <w:t>”</w:t>
      </w:r>
      <w:r>
        <w:t xml:space="preserve"> (See also </w:t>
      </w:r>
      <w:r w:rsidR="00701971" w:rsidRPr="00701971">
        <w:rPr>
          <w:i/>
        </w:rPr>
        <w:t>California Building Industry Assn. v. Bay Area Air Quality Management Dist.</w:t>
      </w:r>
      <w:r w:rsidR="00701971">
        <w:t xml:space="preserve"> (2015) 62 Cal.4th 369, 799.) For purposes of this </w:t>
      </w:r>
      <w:r w:rsidR="004B6434">
        <w:t>P</w:t>
      </w:r>
      <w:r w:rsidR="00701971">
        <w:t xml:space="preserve">EIR, </w:t>
      </w:r>
      <w:r w:rsidR="00670EB0">
        <w:t>“</w:t>
      </w:r>
      <w:r w:rsidR="00582B8C">
        <w:t>substantial adverse effects on human beings</w:t>
      </w:r>
      <w:r w:rsidR="00670EB0">
        <w:t>”</w:t>
      </w:r>
      <w:r w:rsidR="00582B8C">
        <w:t xml:space="preserve"> means </w:t>
      </w:r>
      <w:r w:rsidR="004434FC">
        <w:t>emitting criteria air pollutants or precursors that could result in in, o</w:t>
      </w:r>
      <w:r w:rsidR="00546746">
        <w:t>r</w:t>
      </w:r>
      <w:r w:rsidR="004434FC">
        <w:t xml:space="preserve"> contribute to, an exceedance of the NAAQS or CAAQS in an air basin or at any location where people may be present; the exposure of people to a dose of TACs that results in an incremental increase in cancer risk greater than 10 in one million or a Hazard Index for acute or </w:t>
      </w:r>
      <w:r w:rsidR="00686AA7">
        <w:t>chronic</w:t>
      </w:r>
      <w:r w:rsidR="004434FC">
        <w:t xml:space="preserve"> risk greater than 1.0; </w:t>
      </w:r>
      <w:r w:rsidR="00CB2149">
        <w:t>expos</w:t>
      </w:r>
      <w:r w:rsidR="00D93D18">
        <w:t>ure of</w:t>
      </w:r>
      <w:r w:rsidR="00CB2149">
        <w:t xml:space="preserve"> people to </w:t>
      </w:r>
      <w:r w:rsidR="00D93D18">
        <w:t xml:space="preserve">airborne </w:t>
      </w:r>
      <w:r w:rsidR="00CB2149">
        <w:t xml:space="preserve">NOA; </w:t>
      </w:r>
      <w:r w:rsidR="004434FC">
        <w:t>or expos</w:t>
      </w:r>
      <w:r w:rsidR="00546746">
        <w:t xml:space="preserve">ing </w:t>
      </w:r>
      <w:r w:rsidR="001A6545">
        <w:t xml:space="preserve">a substantial number of </w:t>
      </w:r>
      <w:r w:rsidR="00546746">
        <w:t>people to objectionable</w:t>
      </w:r>
      <w:r w:rsidR="004434FC">
        <w:t xml:space="preserve"> odor</w:t>
      </w:r>
      <w:r w:rsidR="00546746">
        <w:t>s.</w:t>
      </w:r>
    </w:p>
    <w:p w14:paraId="1DF4F11F" w14:textId="34AE7134" w:rsidR="004A3263" w:rsidRDefault="004A3263" w:rsidP="004A3263">
      <w:pPr>
        <w:pStyle w:val="Heading4"/>
      </w:pPr>
      <w:r w:rsidRPr="009414C1">
        <w:t xml:space="preserve">ISSUES NOT </w:t>
      </w:r>
      <w:r w:rsidR="00AA6FE7">
        <w:t>Evaluated</w:t>
      </w:r>
      <w:r w:rsidR="00AA6FE7" w:rsidRPr="009414C1">
        <w:t xml:space="preserve"> </w:t>
      </w:r>
      <w:r w:rsidRPr="009414C1">
        <w:t>FURTHER</w:t>
      </w:r>
    </w:p>
    <w:p w14:paraId="5111B120" w14:textId="01C60204" w:rsidR="00A63EF9" w:rsidRPr="00A63EF9" w:rsidRDefault="002208FB" w:rsidP="00B223A0">
      <w:pPr>
        <w:pStyle w:val="BodyText"/>
      </w:pPr>
      <w:r>
        <w:t xml:space="preserve">All issues </w:t>
      </w:r>
      <w:r w:rsidR="004B6434">
        <w:t xml:space="preserve">identified in State CEQA Guidelines Appendix G and listed above under Thresholds of Significance </w:t>
      </w:r>
      <w:r>
        <w:t xml:space="preserve">are discussed below. </w:t>
      </w:r>
    </w:p>
    <w:p w14:paraId="5C860254" w14:textId="77777777" w:rsidR="00BE5965" w:rsidRPr="00B75E60" w:rsidRDefault="00BE5965" w:rsidP="00BE5965">
      <w:pPr>
        <w:pStyle w:val="Heading4"/>
      </w:pPr>
      <w:bookmarkStart w:id="71" w:name="_Toc464034589"/>
      <w:r>
        <w:lastRenderedPageBreak/>
        <w:t>Environmental Impacts and Mitigation Measures</w:t>
      </w:r>
    </w:p>
    <w:p w14:paraId="645C6D4A" w14:textId="485EA9B0" w:rsidR="008F3011" w:rsidRPr="00CC6793" w:rsidRDefault="008F3011" w:rsidP="008F3011">
      <w:pPr>
        <w:pStyle w:val="ImpactNo"/>
      </w:pPr>
      <w:r w:rsidRPr="00CC6793">
        <w:t xml:space="preserve">Impact </w:t>
      </w:r>
      <w:r>
        <w:t>AQ-</w:t>
      </w:r>
      <w:r w:rsidR="00EC4F95">
        <w:t>1</w:t>
      </w:r>
      <w:r w:rsidRPr="00CC6793">
        <w:t xml:space="preserve">: </w:t>
      </w:r>
      <w:r>
        <w:t xml:space="preserve">Generate </w:t>
      </w:r>
      <w:r w:rsidRPr="007976EB">
        <w:t xml:space="preserve">Emissions of Criteria Air Pollutants and Precursors </w:t>
      </w:r>
      <w:r w:rsidR="00045AE7">
        <w:t>d</w:t>
      </w:r>
      <w:r>
        <w:t>uring</w:t>
      </w:r>
      <w:r w:rsidRPr="007976EB">
        <w:t xml:space="preserve"> </w:t>
      </w:r>
      <w:r w:rsidR="00405D08">
        <w:t>Treatmen</w:t>
      </w:r>
      <w:r w:rsidR="00662435">
        <w:t>t</w:t>
      </w:r>
      <w:r w:rsidR="00405D08">
        <w:t xml:space="preserve"> Activities </w:t>
      </w:r>
      <w:r>
        <w:t xml:space="preserve">that </w:t>
      </w:r>
      <w:r w:rsidR="00045AE7">
        <w:t>W</w:t>
      </w:r>
      <w:r>
        <w:t xml:space="preserve">ould </w:t>
      </w:r>
      <w:r w:rsidR="00045AE7">
        <w:t>E</w:t>
      </w:r>
      <w:r>
        <w:t>xceed CAAQS or NAAQS</w:t>
      </w:r>
      <w:r w:rsidR="00783731">
        <w:t xml:space="preserve"> and Conflict with Regional Air Quality Plans</w:t>
      </w:r>
    </w:p>
    <w:p w14:paraId="37BBB2F6" w14:textId="5DA88C9D" w:rsidR="00E76641" w:rsidRPr="00CC6793" w:rsidRDefault="00E76641" w:rsidP="00901ECD">
      <w:pPr>
        <w:pStyle w:val="Impactdescription"/>
      </w:pPr>
      <w:r>
        <w:t>E</w:t>
      </w:r>
      <w:r w:rsidRPr="00D26918">
        <w:t>missions of criteria air pollutants and precursors generated by mechanical and manual treatments, prescribed herbivory, herbicide application</w:t>
      </w:r>
      <w:r>
        <w:t>, and prescribe</w:t>
      </w:r>
      <w:r w:rsidR="008F4736">
        <w:t>d</w:t>
      </w:r>
      <w:r>
        <w:t xml:space="preserve"> burns</w:t>
      </w:r>
      <w:r w:rsidRPr="00D26918">
        <w:t xml:space="preserve"> under the CalVTP </w:t>
      </w:r>
      <w:r>
        <w:t>w</w:t>
      </w:r>
      <w:r w:rsidRPr="00D26918">
        <w:t xml:space="preserve">ould </w:t>
      </w:r>
      <w:r>
        <w:t xml:space="preserve">likely </w:t>
      </w:r>
      <w:r w:rsidRPr="00D26918">
        <w:t xml:space="preserve">exceed air district–established mass emission thresholds and, therefore, </w:t>
      </w:r>
      <w:r w:rsidRPr="00901ECD">
        <w:t>result</w:t>
      </w:r>
      <w:r w:rsidRPr="00D26918">
        <w:t xml:space="preserve"> in</w:t>
      </w:r>
      <w:r>
        <w:t xml:space="preserve">, or contribute to, the nonattainment status with respect to the NAAQS and CAAQS </w:t>
      </w:r>
      <w:r w:rsidRPr="00E90D1E">
        <w:t>in one or more air basins</w:t>
      </w:r>
      <w:r>
        <w:t>.</w:t>
      </w:r>
      <w:r w:rsidRPr="00D26918">
        <w:t xml:space="preserve"> </w:t>
      </w:r>
      <w:r w:rsidRPr="00E90D1E">
        <w:t xml:space="preserve">In addition, </w:t>
      </w:r>
      <w:r>
        <w:t>treatment activity–related emissions could result in, or contribute to, localized exceedances of NAAQS and CAAQS for CO, PM</w:t>
      </w:r>
      <w:r w:rsidRPr="006E68C7">
        <w:rPr>
          <w:vertAlign w:val="subscript"/>
        </w:rPr>
        <w:t>10</w:t>
      </w:r>
      <w:r>
        <w:t>, and PM</w:t>
      </w:r>
      <w:r>
        <w:rPr>
          <w:vertAlign w:val="subscript"/>
        </w:rPr>
        <w:t>2.5</w:t>
      </w:r>
      <w:r>
        <w:t xml:space="preserve"> in areas where people reside and work</w:t>
      </w:r>
      <w:r w:rsidR="0091450C">
        <w:t xml:space="preserve">, thereby </w:t>
      </w:r>
      <w:r w:rsidR="00A64CCD">
        <w:t xml:space="preserve">also </w:t>
      </w:r>
      <w:r w:rsidR="0091450C">
        <w:t>conflicting with the air quality planning efforts of regional air districts</w:t>
      </w:r>
      <w:r w:rsidR="00B57A98">
        <w:t>, including those that comprise the SIP</w:t>
      </w:r>
      <w:r>
        <w:t>.</w:t>
      </w:r>
      <w:r w:rsidRPr="00D26918">
        <w:t xml:space="preserve"> </w:t>
      </w:r>
      <w:r>
        <w:t>This could result in health complications experienced by receptors, which</w:t>
      </w:r>
      <w:r w:rsidR="00FA423D">
        <w:t>, if it occurred,</w:t>
      </w:r>
      <w:r w:rsidRPr="00D26918">
        <w:t xml:space="preserve"> would be </w:t>
      </w:r>
      <w:r>
        <w:t xml:space="preserve">a </w:t>
      </w:r>
      <w:r w:rsidR="00FA423D" w:rsidRPr="00FA423D">
        <w:rPr>
          <w:b/>
        </w:rPr>
        <w:t>potentially</w:t>
      </w:r>
      <w:r w:rsidR="00FA423D">
        <w:t xml:space="preserve"> </w:t>
      </w:r>
      <w:r w:rsidRPr="00D26918">
        <w:rPr>
          <w:b/>
        </w:rPr>
        <w:t xml:space="preserve">significant </w:t>
      </w:r>
      <w:r w:rsidRPr="008F4736">
        <w:t>impact</w:t>
      </w:r>
      <w:r w:rsidRPr="00D26918">
        <w:t>.</w:t>
      </w:r>
    </w:p>
    <w:p w14:paraId="6B8A8121" w14:textId="4A107156" w:rsidR="00405D08" w:rsidRDefault="00405D08" w:rsidP="004648E3">
      <w:pPr>
        <w:pStyle w:val="BodyText"/>
      </w:pPr>
      <w:r>
        <w:t>Treatment activities</w:t>
      </w:r>
      <w:r w:rsidR="008F3011" w:rsidRPr="008274CC">
        <w:t xml:space="preserve"> implemented under the CalVTP would result in emissions of </w:t>
      </w:r>
      <w:r w:rsidR="008F3011">
        <w:t>criteria air pollutants and precursors</w:t>
      </w:r>
      <w:r>
        <w:t xml:space="preserve"> from several sources</w:t>
      </w:r>
      <w:r w:rsidR="00E843E8">
        <w:t>, including</w:t>
      </w:r>
      <w:r>
        <w:t>:</w:t>
      </w:r>
    </w:p>
    <w:p w14:paraId="5FAA609C" w14:textId="6AE57212" w:rsidR="00405D08" w:rsidRDefault="004648E3" w:rsidP="00405D08">
      <w:pPr>
        <w:pStyle w:val="Bullet1"/>
      </w:pPr>
      <w:r>
        <w:t xml:space="preserve">exhaust </w:t>
      </w:r>
      <w:r w:rsidR="00554746">
        <w:t>generated by</w:t>
      </w:r>
      <w:r w:rsidR="00405D08">
        <w:t xml:space="preserve"> off-road equipment, </w:t>
      </w:r>
      <w:r w:rsidR="008F4736">
        <w:t>machine-</w:t>
      </w:r>
      <w:r w:rsidR="00405D08">
        <w:t>power</w:t>
      </w:r>
      <w:r w:rsidR="008F4736">
        <w:t>ed</w:t>
      </w:r>
      <w:r w:rsidR="00405D08">
        <w:t xml:space="preserve"> </w:t>
      </w:r>
      <w:r w:rsidR="008F4736">
        <w:t xml:space="preserve">hand </w:t>
      </w:r>
      <w:r w:rsidR="00405D08">
        <w:t>tools, and helicopters</w:t>
      </w:r>
      <w:r w:rsidR="00C7183B">
        <w:t>;</w:t>
      </w:r>
      <w:r w:rsidR="00D11BCF">
        <w:t xml:space="preserve"> </w:t>
      </w:r>
    </w:p>
    <w:p w14:paraId="6FF3A715" w14:textId="26151149" w:rsidR="00D11BCF" w:rsidRDefault="004648E3" w:rsidP="00D11BCF">
      <w:pPr>
        <w:pStyle w:val="Bullet1"/>
      </w:pPr>
      <w:r>
        <w:t xml:space="preserve">exhaust </w:t>
      </w:r>
      <w:r w:rsidR="00D11BCF">
        <w:t xml:space="preserve">from on-road vehicle trips associated with worker commutes and transport of equipment, as well as the </w:t>
      </w:r>
      <w:r w:rsidR="00D11BCF" w:rsidRPr="004B76B4">
        <w:t xml:space="preserve">hauling </w:t>
      </w:r>
      <w:r w:rsidR="008F4736" w:rsidRPr="004B76B4">
        <w:t xml:space="preserve">and </w:t>
      </w:r>
      <w:r w:rsidR="004B76B4">
        <w:t>processing</w:t>
      </w:r>
      <w:r w:rsidR="008F4736">
        <w:t xml:space="preserve"> </w:t>
      </w:r>
      <w:r w:rsidR="00D11BCF">
        <w:t xml:space="preserve">of biomass; </w:t>
      </w:r>
    </w:p>
    <w:p w14:paraId="26493929" w14:textId="1C4B67AF" w:rsidR="00405D08" w:rsidRDefault="004648E3" w:rsidP="00405D08">
      <w:pPr>
        <w:pStyle w:val="Bullet1"/>
      </w:pPr>
      <w:r>
        <w:t xml:space="preserve">fugitive </w:t>
      </w:r>
      <w:r w:rsidR="00405D08">
        <w:t>PM</w:t>
      </w:r>
      <w:r w:rsidR="00405D08">
        <w:rPr>
          <w:vertAlign w:val="subscript"/>
        </w:rPr>
        <w:t>10</w:t>
      </w:r>
      <w:r w:rsidR="00405D08">
        <w:t xml:space="preserve"> and PM</w:t>
      </w:r>
      <w:r w:rsidR="00405D08">
        <w:rPr>
          <w:vertAlign w:val="subscript"/>
        </w:rPr>
        <w:t>2.5</w:t>
      </w:r>
      <w:r w:rsidR="00405D08">
        <w:t xml:space="preserve"> dust emissions generated by ground disturb</w:t>
      </w:r>
      <w:r w:rsidR="00EB50A9">
        <w:t>ance</w:t>
      </w:r>
      <w:r w:rsidR="00405D08">
        <w:t xml:space="preserve"> activities </w:t>
      </w:r>
      <w:r w:rsidR="00E843E8">
        <w:t>and vehicle travel on unpaved roads</w:t>
      </w:r>
      <w:r w:rsidR="00405D08">
        <w:t xml:space="preserve">; </w:t>
      </w:r>
      <w:r w:rsidR="00E843E8">
        <w:t xml:space="preserve">and </w:t>
      </w:r>
    </w:p>
    <w:p w14:paraId="6222905E" w14:textId="0610F9FB" w:rsidR="00405D08" w:rsidRDefault="004648E3" w:rsidP="00405D08">
      <w:pPr>
        <w:pStyle w:val="Bullet1"/>
      </w:pPr>
      <w:r>
        <w:t xml:space="preserve">smoke </w:t>
      </w:r>
      <w:r w:rsidR="00405D08">
        <w:t xml:space="preserve">generated by </w:t>
      </w:r>
      <w:r w:rsidR="00E843E8">
        <w:t xml:space="preserve">the </w:t>
      </w:r>
      <w:r w:rsidR="00405D08">
        <w:t>combustion of vegetation</w:t>
      </w:r>
      <w:r w:rsidR="00B41711">
        <w:t xml:space="preserve"> during prescribed burns</w:t>
      </w:r>
      <w:r w:rsidR="00E843E8">
        <w:t>.</w:t>
      </w:r>
      <w:r w:rsidR="00670EB0">
        <w:t xml:space="preserve"> </w:t>
      </w:r>
    </w:p>
    <w:p w14:paraId="5F0774A1" w14:textId="77777777" w:rsidR="00E17619" w:rsidRDefault="008F3011" w:rsidP="000D2B79">
      <w:pPr>
        <w:pStyle w:val="BodyText"/>
      </w:pPr>
      <w:r w:rsidRPr="008274CC">
        <w:t>Mechanical treatment</w:t>
      </w:r>
      <w:r>
        <w:t>s</w:t>
      </w:r>
      <w:r w:rsidRPr="008274CC">
        <w:t xml:space="preserve"> </w:t>
      </w:r>
      <w:r>
        <w:t xml:space="preserve">would be performed with heavy-duty off-road equipment such as </w:t>
      </w:r>
      <w:r w:rsidRPr="00F56DE1">
        <w:t xml:space="preserve">wheeled tractors, crawler-type tractors, </w:t>
      </w:r>
      <w:r>
        <w:t>excavators, feller/</w:t>
      </w:r>
      <w:proofErr w:type="spellStart"/>
      <w:r>
        <w:t>bunchers</w:t>
      </w:r>
      <w:proofErr w:type="spellEnd"/>
      <w:r>
        <w:t xml:space="preserve">, skidders, chippers, masticators </w:t>
      </w:r>
      <w:r w:rsidRPr="00F56DE1">
        <w:t xml:space="preserve">or </w:t>
      </w:r>
      <w:r>
        <w:t xml:space="preserve">other </w:t>
      </w:r>
      <w:r w:rsidRPr="00F56DE1">
        <w:t xml:space="preserve">specially designed </w:t>
      </w:r>
      <w:r>
        <w:t>tractors</w:t>
      </w:r>
      <w:r w:rsidRPr="00F56DE1">
        <w:t xml:space="preserve"> with attached implements designed to </w:t>
      </w:r>
      <w:r>
        <w:t xml:space="preserve">selectively </w:t>
      </w:r>
      <w:r w:rsidRPr="00F56DE1">
        <w:t xml:space="preserve">cut, uproot, crush/compact, or chop </w:t>
      </w:r>
      <w:r>
        <w:t xml:space="preserve">target </w:t>
      </w:r>
      <w:r w:rsidRPr="00F56DE1">
        <w:t>vegetation</w:t>
      </w:r>
      <w:r>
        <w:t>.</w:t>
      </w:r>
      <w:r w:rsidR="00E17619">
        <w:t xml:space="preserve"> </w:t>
      </w:r>
    </w:p>
    <w:p w14:paraId="1FF6D91C" w14:textId="14EB8F9D" w:rsidR="00E17619" w:rsidRDefault="008F3011" w:rsidP="000D2B79">
      <w:pPr>
        <w:pStyle w:val="BodyText"/>
      </w:pPr>
      <w:r w:rsidRPr="008274CC">
        <w:t>Manual treatment</w:t>
      </w:r>
      <w:r>
        <w:t>s</w:t>
      </w:r>
      <w:r w:rsidRPr="008274CC">
        <w:t xml:space="preserve"> </w:t>
      </w:r>
      <w:r>
        <w:t xml:space="preserve">are typically conducted by one or two hand crews (i.e., 20–40 crew members) using four to eight </w:t>
      </w:r>
      <w:r w:rsidRPr="001B2936">
        <w:t>chainsaws</w:t>
      </w:r>
      <w:r>
        <w:t>. M</w:t>
      </w:r>
      <w:r w:rsidRPr="001B2936">
        <w:t>asticators</w:t>
      </w:r>
      <w:r>
        <w:t xml:space="preserve"> </w:t>
      </w:r>
      <w:r w:rsidRPr="001B2936">
        <w:t>and chippers</w:t>
      </w:r>
      <w:r>
        <w:t xml:space="preserve"> may also be used at some manual treatment sites to assist with biomass disposition.</w:t>
      </w:r>
      <w:r w:rsidR="00E17619">
        <w:t xml:space="preserve"> </w:t>
      </w:r>
    </w:p>
    <w:p w14:paraId="1D7CD979" w14:textId="42F36831" w:rsidR="008F3011" w:rsidRDefault="008F3011" w:rsidP="000D2B79">
      <w:pPr>
        <w:pStyle w:val="BodyText"/>
      </w:pPr>
      <w:bookmarkStart w:id="72" w:name="_Hlk6978353"/>
      <w:r>
        <w:t xml:space="preserve">The </w:t>
      </w:r>
      <w:r w:rsidR="00696E06">
        <w:t xml:space="preserve">vegetative debris </w:t>
      </w:r>
      <w:r>
        <w:t xml:space="preserve">produced by mechanical or manual treatments may be </w:t>
      </w:r>
      <w:r w:rsidR="00C50AE6">
        <w:t>processed in</w:t>
      </w:r>
      <w:r w:rsidR="00B36E97">
        <w:t>to several products: electricity, soil additives and amendments, engineered/composite wood, firewood, paper, densified wood, and potentially biofuels. This could result in additional haul truck trips to processing facilities, which</w:t>
      </w:r>
      <w:r>
        <w:t xml:space="preserve"> would generate </w:t>
      </w:r>
      <w:bookmarkEnd w:id="72"/>
      <w:r>
        <w:t xml:space="preserve">additional emissions of both exhaust and fugitive dust. </w:t>
      </w:r>
      <w:r w:rsidR="00867927">
        <w:t>E</w:t>
      </w:r>
      <w:r w:rsidR="00B36E97">
        <w:t xml:space="preserve">missions would also be generated </w:t>
      </w:r>
      <w:r w:rsidR="00867927">
        <w:t xml:space="preserve">by equipment used to </w:t>
      </w:r>
      <w:r w:rsidR="00B36E97">
        <w:t>process the raw vegetative debris.</w:t>
      </w:r>
    </w:p>
    <w:p w14:paraId="59AFAABB" w14:textId="3F81552B" w:rsidR="008F3011" w:rsidRDefault="008F3011" w:rsidP="000D2B79">
      <w:pPr>
        <w:pStyle w:val="BodyText"/>
      </w:pPr>
      <w:r>
        <w:t>Prescribed herbivory may require intermittent use of an all-terrain vehicle or utility vehicle for herding livestock</w:t>
      </w:r>
      <w:r w:rsidR="00C76DAF">
        <w:t xml:space="preserve"> or transporting temporary fencing</w:t>
      </w:r>
      <w:r>
        <w:t>. On-road trucks would be used to haul livestock to and from sites where prescribed herbivory would be conducted.</w:t>
      </w:r>
      <w:r w:rsidRPr="00844909">
        <w:t xml:space="preserve"> </w:t>
      </w:r>
    </w:p>
    <w:p w14:paraId="4335B57B" w14:textId="0EF0E4F7" w:rsidR="008F3011" w:rsidRDefault="008F3011" w:rsidP="000D2B79">
      <w:pPr>
        <w:pStyle w:val="BodyText"/>
      </w:pPr>
      <w:r>
        <w:t xml:space="preserve">Herbicide application may require all-terrain vehicles or tractors. However, few pieces of emission-generating equipment would be required, </w:t>
      </w:r>
      <w:r w:rsidR="00B41711">
        <w:t>bec</w:t>
      </w:r>
      <w:r>
        <w:t>a</w:t>
      </w:r>
      <w:r w:rsidR="00B41711">
        <w:t>u</w:t>
      </w:r>
      <w:r>
        <w:t>s</w:t>
      </w:r>
      <w:r w:rsidR="00B41711">
        <w:t>e</w:t>
      </w:r>
      <w:r>
        <w:t xml:space="preserve"> </w:t>
      </w:r>
      <w:r w:rsidR="00A303BC">
        <w:t xml:space="preserve">herbicides </w:t>
      </w:r>
      <w:r w:rsidR="00696E06">
        <w:t xml:space="preserve">would </w:t>
      </w:r>
      <w:r w:rsidR="00A303BC">
        <w:t xml:space="preserve">most frequently </w:t>
      </w:r>
      <w:r w:rsidR="00696E06">
        <w:t xml:space="preserve">be </w:t>
      </w:r>
      <w:r w:rsidR="00A303BC">
        <w:t xml:space="preserve">applied </w:t>
      </w:r>
      <w:r w:rsidR="00696E06">
        <w:t>by hand</w:t>
      </w:r>
      <w:r w:rsidR="00B41711">
        <w:t xml:space="preserve"> </w:t>
      </w:r>
      <w:r w:rsidR="00696E06">
        <w:t>(</w:t>
      </w:r>
      <w:r w:rsidR="00B41711">
        <w:t xml:space="preserve">manual application of </w:t>
      </w:r>
      <w:r>
        <w:t>herbicides</w:t>
      </w:r>
      <w:r w:rsidR="00696E06">
        <w:t>)</w:t>
      </w:r>
      <w:r>
        <w:t xml:space="preserve">. </w:t>
      </w:r>
    </w:p>
    <w:p w14:paraId="4F27F8BD" w14:textId="0898E7C0" w:rsidR="00E17619" w:rsidRDefault="00B07516" w:rsidP="000D2B79">
      <w:pPr>
        <w:pStyle w:val="BodyText"/>
      </w:pPr>
      <w:r>
        <w:t xml:space="preserve">Prior to </w:t>
      </w:r>
      <w:r w:rsidR="00696E06">
        <w:t xml:space="preserve">implementing a </w:t>
      </w:r>
      <w:r>
        <w:t>p</w:t>
      </w:r>
      <w:r w:rsidR="00C7183B">
        <w:t>rescribed burn</w:t>
      </w:r>
      <w:r w:rsidR="00696E06">
        <w:t>,</w:t>
      </w:r>
      <w:r w:rsidR="00C7183B">
        <w:t xml:space="preserve"> heavy-duty off-road equipment such as </w:t>
      </w:r>
      <w:r w:rsidR="00405D08">
        <w:t xml:space="preserve">bulldozers, bulldozer transports, and masticators or track chippers </w:t>
      </w:r>
      <w:r>
        <w:t xml:space="preserve">may be used </w:t>
      </w:r>
      <w:r w:rsidR="00405D08">
        <w:t xml:space="preserve">to create a </w:t>
      </w:r>
      <w:r w:rsidR="00696E06">
        <w:t>fire containment (</w:t>
      </w:r>
      <w:r w:rsidR="00405D08">
        <w:t>fuel break</w:t>
      </w:r>
      <w:r w:rsidR="00696E06">
        <w:t>)</w:t>
      </w:r>
      <w:r w:rsidR="00405D08">
        <w:t xml:space="preserve"> perimeter. </w:t>
      </w:r>
      <w:r w:rsidR="00C7183B">
        <w:t>F</w:t>
      </w:r>
      <w:r w:rsidR="00405D08">
        <w:t>ire engines</w:t>
      </w:r>
      <w:r w:rsidR="00C7183B">
        <w:t xml:space="preserve"> and </w:t>
      </w:r>
      <w:r w:rsidR="00405D08">
        <w:t>water trucks</w:t>
      </w:r>
      <w:r w:rsidR="00C7183B">
        <w:t xml:space="preserve"> would be stationed on-site for safety.</w:t>
      </w:r>
      <w:r w:rsidR="00405D08">
        <w:t xml:space="preserve"> </w:t>
      </w:r>
      <w:r w:rsidR="00696E06">
        <w:t>H</w:t>
      </w:r>
      <w:r w:rsidR="00405D08">
        <w:t xml:space="preserve">and tools </w:t>
      </w:r>
      <w:r w:rsidR="00696E06">
        <w:t xml:space="preserve">to ignite the prescribed burn </w:t>
      </w:r>
      <w:r w:rsidR="00405D08">
        <w:t xml:space="preserve">could include drip torches and Terra torches, which </w:t>
      </w:r>
      <w:r>
        <w:t>contain</w:t>
      </w:r>
      <w:r w:rsidR="00405D08">
        <w:t xml:space="preserve"> a blend of diesel fuel and gasoline. </w:t>
      </w:r>
      <w:r w:rsidR="00405D08" w:rsidRPr="00EF3617">
        <w:t xml:space="preserve">A helicopter with a </w:t>
      </w:r>
      <w:proofErr w:type="spellStart"/>
      <w:r w:rsidR="00405D08" w:rsidRPr="00EF3617">
        <w:t>helitorch</w:t>
      </w:r>
      <w:proofErr w:type="spellEnd"/>
      <w:r w:rsidR="00405D08" w:rsidRPr="00EF3617">
        <w:t xml:space="preserve"> may </w:t>
      </w:r>
      <w:r>
        <w:t xml:space="preserve">also </w:t>
      </w:r>
      <w:r w:rsidR="00405D08" w:rsidRPr="00EF3617">
        <w:t xml:space="preserve">be used when a large area needs to be burned or </w:t>
      </w:r>
      <w:r w:rsidR="00696E06">
        <w:t xml:space="preserve">in </w:t>
      </w:r>
      <w:r w:rsidR="00405D08" w:rsidRPr="00EF3617">
        <w:t xml:space="preserve">an area </w:t>
      </w:r>
      <w:r w:rsidR="00696E06">
        <w:t>with</w:t>
      </w:r>
      <w:r w:rsidR="00696E06" w:rsidRPr="00EF3617">
        <w:t xml:space="preserve"> </w:t>
      </w:r>
      <w:r w:rsidR="00405D08" w:rsidRPr="00EF3617">
        <w:t xml:space="preserve">terrain </w:t>
      </w:r>
      <w:r w:rsidR="00696E06">
        <w:t xml:space="preserve">that provides </w:t>
      </w:r>
      <w:r w:rsidR="00405D08" w:rsidRPr="00EF3617">
        <w:t>limited accessibility.</w:t>
      </w:r>
      <w:r w:rsidR="00405D08">
        <w:t xml:space="preserve"> C</w:t>
      </w:r>
      <w:r w:rsidR="00405D08" w:rsidRPr="00C244EE">
        <w:t>ombustion of vegetation from prescribed burn</w:t>
      </w:r>
      <w:r w:rsidR="004358D1">
        <w:t>s</w:t>
      </w:r>
      <w:r w:rsidR="00405D08" w:rsidRPr="00C244EE">
        <w:t xml:space="preserve"> would produce emissions of criteria air pollutants. </w:t>
      </w:r>
      <w:r w:rsidR="00405D08">
        <w:t>T</w:t>
      </w:r>
      <w:r w:rsidR="00405D08" w:rsidRPr="00FC6EC1">
        <w:t>he combustion of vegetation produces smoke, which is composed of a complex mixture of compounds, including criteria air pollutants</w:t>
      </w:r>
      <w:r w:rsidR="00E17619">
        <w:t xml:space="preserve"> and precursors</w:t>
      </w:r>
      <w:r w:rsidR="00405D08" w:rsidRPr="00FC6EC1">
        <w:t>.</w:t>
      </w:r>
    </w:p>
    <w:p w14:paraId="39ECDD57" w14:textId="466C8EB3" w:rsidR="00E17619" w:rsidRDefault="00E17619" w:rsidP="000D2B79">
      <w:pPr>
        <w:pStyle w:val="BodyText"/>
      </w:pPr>
      <w:r>
        <w:lastRenderedPageBreak/>
        <w:t>Worker commute trips associated with all treatment activities would generate exhaust emissions of criteria air pollutants and precursors. If large crews are required, they would generally carpool to the site on a crew bus, which would also generate exhaust emissions.</w:t>
      </w:r>
      <w:r w:rsidRPr="005B792F">
        <w:t xml:space="preserve"> </w:t>
      </w:r>
      <w:r>
        <w:t>In addition, worker trips and truck trips on unpaved roads would result in fugitive PM</w:t>
      </w:r>
      <w:r>
        <w:rPr>
          <w:vertAlign w:val="subscript"/>
        </w:rPr>
        <w:t>10</w:t>
      </w:r>
      <w:r>
        <w:t xml:space="preserve"> and PM</w:t>
      </w:r>
      <w:r>
        <w:rPr>
          <w:vertAlign w:val="subscript"/>
        </w:rPr>
        <w:t>2.5</w:t>
      </w:r>
      <w:r>
        <w:t xml:space="preserve"> dust emissions.</w:t>
      </w:r>
    </w:p>
    <w:p w14:paraId="79FBCC9E" w14:textId="4CB01247" w:rsidR="004C2FB9" w:rsidRDefault="00E17619" w:rsidP="000D2B79">
      <w:pPr>
        <w:pStyle w:val="BodyText"/>
      </w:pPr>
      <w:bookmarkStart w:id="73" w:name="_Hlk6930202"/>
      <w:r>
        <w:t xml:space="preserve">As discussed in Chapter 2, </w:t>
      </w:r>
      <w:r w:rsidR="00670EB0">
        <w:t>“</w:t>
      </w:r>
      <w:r>
        <w:t>Program Description,</w:t>
      </w:r>
      <w:r w:rsidR="00670EB0">
        <w:t>”</w:t>
      </w:r>
      <w:r>
        <w:t xml:space="preserve"> treatment activities would be selected based on several parameters including site</w:t>
      </w:r>
      <w:r w:rsidR="00105687">
        <w:t>-specific</w:t>
      </w:r>
      <w:r>
        <w:t xml:space="preserve"> characteristics (e.g., types </w:t>
      </w:r>
      <w:r w:rsidR="00105687">
        <w:t xml:space="preserve">and maturity </w:t>
      </w:r>
      <w:r>
        <w:t xml:space="preserve">of vegetation, soil characteristics, terrain, proximity to sensitive areas, topography), weather conditions, </w:t>
      </w:r>
      <w:r w:rsidR="00242225">
        <w:t xml:space="preserve">treatment </w:t>
      </w:r>
      <w:r>
        <w:t>objectives, cost and available funding, and input from communit</w:t>
      </w:r>
      <w:r w:rsidR="00E447C6">
        <w:t>ies</w:t>
      </w:r>
      <w:r>
        <w:t xml:space="preserve">. </w:t>
      </w:r>
      <w:r w:rsidR="00631D9F">
        <w:t>Furthermore, the treatable landscape encompasses many different vegetation types, which can be grouped into three broad categories: tree</w:t>
      </w:r>
      <w:r w:rsidR="00026B7B">
        <w:t>, shrub, and grass</w:t>
      </w:r>
      <w:r w:rsidR="00631D9F">
        <w:t xml:space="preserve">. </w:t>
      </w:r>
      <w:r w:rsidR="00696E06">
        <w:t>Given this wide variability over an expansive geographic area</w:t>
      </w:r>
      <w:r>
        <w:t xml:space="preserve">, </w:t>
      </w:r>
      <w:r w:rsidR="004C2FB9">
        <w:t>there is no</w:t>
      </w:r>
      <w:r w:rsidR="001D3B0A">
        <w:t xml:space="preserve"> set of</w:t>
      </w:r>
      <w:r w:rsidR="004C2FB9">
        <w:t xml:space="preserve"> </w:t>
      </w:r>
      <w:r w:rsidR="00670EB0">
        <w:t>“</w:t>
      </w:r>
      <w:r w:rsidR="004C2FB9">
        <w:t>typical</w:t>
      </w:r>
      <w:r w:rsidR="00670EB0">
        <w:t>”</w:t>
      </w:r>
      <w:r w:rsidR="004C2FB9">
        <w:t xml:space="preserve"> treatment</w:t>
      </w:r>
      <w:r w:rsidR="00696E06">
        <w:t xml:space="preserve"> </w:t>
      </w:r>
      <w:r w:rsidR="001D3B0A">
        <w:t xml:space="preserve">characteristics </w:t>
      </w:r>
      <w:r w:rsidR="00696E06">
        <w:t xml:space="preserve">that can be used to </w:t>
      </w:r>
      <w:r w:rsidR="001D3B0A">
        <w:t xml:space="preserve">represent </w:t>
      </w:r>
      <w:r w:rsidR="00631D9F">
        <w:t>each type of treatment activity</w:t>
      </w:r>
      <w:r w:rsidR="001D3B0A">
        <w:t xml:space="preserve"> under the CalVTP</w:t>
      </w:r>
      <w:r w:rsidR="004C2FB9">
        <w:t>.</w:t>
      </w:r>
      <w:r w:rsidR="00631D9F">
        <w:t xml:space="preserve"> For instance, mechanical treatments conducted in a grass fuel type environment may </w:t>
      </w:r>
      <w:r w:rsidR="00AF0D71">
        <w:t>use</w:t>
      </w:r>
      <w:r w:rsidR="00631D9F">
        <w:t xml:space="preserve"> mowers</w:t>
      </w:r>
      <w:r w:rsidR="00AF0D71">
        <w:t>, whereas mechanical treatments conducted in a tree fuel type environment may use feller/</w:t>
      </w:r>
      <w:proofErr w:type="spellStart"/>
      <w:r w:rsidR="00AF0D71">
        <w:t>bunchers</w:t>
      </w:r>
      <w:proofErr w:type="spellEnd"/>
      <w:r w:rsidR="00AF0D71">
        <w:t xml:space="preserve">. Even the same treatment activity in the same fuel type could </w:t>
      </w:r>
      <w:r w:rsidR="008544FF">
        <w:t xml:space="preserve">also </w:t>
      </w:r>
      <w:r w:rsidR="00AF0D71">
        <w:t>vary</w:t>
      </w:r>
      <w:r w:rsidR="008544FF">
        <w:t>.</w:t>
      </w:r>
      <w:r w:rsidR="00AF0D71">
        <w:t xml:space="preserve"> </w:t>
      </w:r>
      <w:r w:rsidR="008544FF">
        <w:t>F</w:t>
      </w:r>
      <w:r w:rsidR="001D3B0A">
        <w:t xml:space="preserve">or instance, a mechanical treatment for a WUI fuel reduction treatment </w:t>
      </w:r>
      <w:r w:rsidR="00AF0D71">
        <w:t xml:space="preserve">in a tree fuel type environment </w:t>
      </w:r>
      <w:r w:rsidR="001D3B0A">
        <w:t>where biomass may be masticated and left in place may use chippers and masticators, whereas a mechanical treatment to establish a fuel break</w:t>
      </w:r>
      <w:r w:rsidR="00AF0D71" w:rsidRPr="00AF0D71">
        <w:t xml:space="preserve"> </w:t>
      </w:r>
      <w:r w:rsidR="00AF0D71">
        <w:t>in a tree fuel type environment</w:t>
      </w:r>
      <w:r w:rsidR="001D3B0A">
        <w:t xml:space="preserve"> may use feller/</w:t>
      </w:r>
      <w:proofErr w:type="spellStart"/>
      <w:r w:rsidR="001D3B0A">
        <w:t>bunchers</w:t>
      </w:r>
      <w:proofErr w:type="spellEnd"/>
      <w:r w:rsidR="001D3B0A">
        <w:t xml:space="preserve">, skidders, or cut-to-length systems to fell and remove </w:t>
      </w:r>
      <w:r w:rsidR="00867927">
        <w:t xml:space="preserve">select </w:t>
      </w:r>
      <w:r w:rsidR="001D3B0A">
        <w:t>trees.</w:t>
      </w:r>
    </w:p>
    <w:p w14:paraId="317A5BE4" w14:textId="3141E4C9" w:rsidR="00BA4965" w:rsidRDefault="00696E06" w:rsidP="000D2B79">
      <w:pPr>
        <w:pStyle w:val="BodyText"/>
      </w:pPr>
      <w:r>
        <w:t xml:space="preserve">To </w:t>
      </w:r>
      <w:r w:rsidR="001D3B0A">
        <w:t xml:space="preserve">provide a general </w:t>
      </w:r>
      <w:r w:rsidR="00BA3D20">
        <w:t>sense</w:t>
      </w:r>
      <w:r w:rsidR="001D3B0A">
        <w:t xml:space="preserve"> of the scale of emissions that may be associated with treatment activities,</w:t>
      </w:r>
      <w:r w:rsidR="00E17619">
        <w:t xml:space="preserve"> the rates of emissions associated with each treatment </w:t>
      </w:r>
      <w:r w:rsidR="004C2FB9">
        <w:t>activity</w:t>
      </w:r>
      <w:r w:rsidR="00AF0D71">
        <w:t xml:space="preserve"> (i.e., mechanical treatment, manual treatment, prescribed herbivory, herbicide application, and prescribed burning) in each fuel type (i.e., tree</w:t>
      </w:r>
      <w:r w:rsidR="00026B7B">
        <w:t>, shrub, and grass</w:t>
      </w:r>
      <w:r w:rsidR="00AF0D71">
        <w:t>)</w:t>
      </w:r>
      <w:r w:rsidR="00E17619">
        <w:t xml:space="preserve"> </w:t>
      </w:r>
      <w:r w:rsidR="00242225">
        <w:t>are</w:t>
      </w:r>
      <w:r w:rsidR="00E17619">
        <w:t xml:space="preserve"> estimated on a per-acre basis using assumptions about the types and number of equipment that would be used by </w:t>
      </w:r>
      <w:r w:rsidR="00242225">
        <w:t xml:space="preserve">a </w:t>
      </w:r>
      <w:r w:rsidR="00E17619">
        <w:t>treatment crew, as well as the number of workers per treatment crew.</w:t>
      </w:r>
      <w:r w:rsidR="00AF0D71">
        <w:t xml:space="preserve"> Treatment activities are subdivided by type because the types of equipment that </w:t>
      </w:r>
      <w:r w:rsidR="008B1FD6">
        <w:t>c</w:t>
      </w:r>
      <w:r w:rsidR="00AF0D71">
        <w:t xml:space="preserve">ould be used within each fuel type are distinct. </w:t>
      </w:r>
      <w:r w:rsidR="00E17619">
        <w:t xml:space="preserve">These emission rates are summarized in Table </w:t>
      </w:r>
      <w:r w:rsidR="00E17619" w:rsidRPr="0078274B">
        <w:t>3.4-</w:t>
      </w:r>
      <w:r w:rsidR="009D5745">
        <w:t>6</w:t>
      </w:r>
      <w:r w:rsidR="0078274B">
        <w:t xml:space="preserve">. See </w:t>
      </w:r>
      <w:r w:rsidR="0078274B" w:rsidRPr="009D5745">
        <w:t xml:space="preserve">Appendix </w:t>
      </w:r>
      <w:r w:rsidR="009D5745" w:rsidRPr="009D5745">
        <w:t>AQ-1</w:t>
      </w:r>
      <w:r w:rsidR="0078274B" w:rsidRPr="009D5745">
        <w:t xml:space="preserve"> for</w:t>
      </w:r>
      <w:r w:rsidR="0078274B">
        <w:t xml:space="preserve"> </w:t>
      </w:r>
      <w:r w:rsidR="00E17619" w:rsidRPr="00D11F03">
        <w:rPr>
          <w:strike/>
        </w:rPr>
        <w:t>and</w:t>
      </w:r>
      <w:r w:rsidR="00E17619" w:rsidRPr="00E15BFA">
        <w:rPr>
          <w:strike/>
        </w:rPr>
        <w:t xml:space="preserve"> </w:t>
      </w:r>
      <w:r w:rsidR="00E17619">
        <w:t xml:space="preserve">detailed input parameters and assumptions. </w:t>
      </w:r>
      <w:r w:rsidR="004C2FB9" w:rsidRPr="009608F3">
        <w:t xml:space="preserve">Exact emissions for </w:t>
      </w:r>
      <w:r w:rsidR="0078274B">
        <w:t>treatment activities</w:t>
      </w:r>
      <w:r w:rsidR="004C2FB9" w:rsidRPr="009608F3">
        <w:t xml:space="preserve"> conducted under the CalVTP may differ from these </w:t>
      </w:r>
      <w:r w:rsidR="00CE3A33">
        <w:t>hypothetical</w:t>
      </w:r>
      <w:r w:rsidR="00CE3A33" w:rsidRPr="009608F3">
        <w:t xml:space="preserve"> </w:t>
      </w:r>
      <w:r w:rsidR="004C2FB9" w:rsidRPr="009608F3">
        <w:t>treatment</w:t>
      </w:r>
      <w:r w:rsidR="00CE3A33">
        <w:t xml:space="preserve"> scenarios</w:t>
      </w:r>
      <w:r w:rsidR="004C2FB9" w:rsidRPr="009608F3">
        <w:t xml:space="preserve"> </w:t>
      </w:r>
      <w:r w:rsidR="00CE3A33">
        <w:t xml:space="preserve">because </w:t>
      </w:r>
      <w:r w:rsidR="00BA3D20">
        <w:t xml:space="preserve">equipment, crew size, </w:t>
      </w:r>
      <w:r w:rsidR="00E447C6">
        <w:t xml:space="preserve">and </w:t>
      </w:r>
      <w:r w:rsidR="00702000">
        <w:t>area treated per day</w:t>
      </w:r>
      <w:r w:rsidR="00BA3D20">
        <w:t xml:space="preserve"> could vary</w:t>
      </w:r>
      <w:r w:rsidR="00215EC5">
        <w:t xml:space="preserve"> widely</w:t>
      </w:r>
      <w:r w:rsidR="00CE3A33">
        <w:t>. However, these</w:t>
      </w:r>
      <w:r w:rsidR="0078274B">
        <w:t xml:space="preserve"> </w:t>
      </w:r>
      <w:r w:rsidR="00CE3A33">
        <w:t>scenarios</w:t>
      </w:r>
      <w:r w:rsidR="00CE3A33" w:rsidRPr="009608F3">
        <w:t xml:space="preserve"> </w:t>
      </w:r>
      <w:r w:rsidR="007F5BD1">
        <w:t xml:space="preserve">are intended to </w:t>
      </w:r>
      <w:r w:rsidR="0078274B">
        <w:t>provide</w:t>
      </w:r>
      <w:r w:rsidR="004C2FB9" w:rsidRPr="009608F3">
        <w:t xml:space="preserve"> a reasonable approximation of the emissions such activities would generate</w:t>
      </w:r>
      <w:r w:rsidR="00CE3A33">
        <w:t xml:space="preserve"> because </w:t>
      </w:r>
      <w:r w:rsidR="00BA3D20">
        <w:t xml:space="preserve">they </w:t>
      </w:r>
      <w:r w:rsidR="00215EC5">
        <w:t>are</w:t>
      </w:r>
      <w:r w:rsidR="00BA3D20">
        <w:t xml:space="preserve"> based on past </w:t>
      </w:r>
      <w:r w:rsidR="00026B7B">
        <w:t>vegetation</w:t>
      </w:r>
      <w:r w:rsidR="00BA3D20">
        <w:t xml:space="preserve"> treatment projects </w:t>
      </w:r>
      <w:r w:rsidR="00631D9F">
        <w:t xml:space="preserve">conducted </w:t>
      </w:r>
      <w:r w:rsidR="00BA3D20">
        <w:t>in California</w:t>
      </w:r>
      <w:r w:rsidR="004C2FB9" w:rsidRPr="009608F3">
        <w:t>.</w:t>
      </w:r>
      <w:r w:rsidR="000F2D83">
        <w:t xml:space="preserve"> </w:t>
      </w:r>
      <w:bookmarkStart w:id="74" w:name="_Hlk8044567"/>
    </w:p>
    <w:p w14:paraId="01E7C6B6" w14:textId="1B756364" w:rsidR="00901ECD" w:rsidRDefault="00901ECD" w:rsidP="00901ECD">
      <w:pPr>
        <w:pStyle w:val="BodyText12ptbefore"/>
      </w:pPr>
      <w:r>
        <w:t xml:space="preserve">The emission rates presented in Table </w:t>
      </w:r>
      <w:r w:rsidR="00AE2BD5" w:rsidRPr="00D11F03">
        <w:rPr>
          <w:u w:val="single"/>
        </w:rPr>
        <w:t>3.4-6</w:t>
      </w:r>
      <w:r w:rsidRPr="00D11F03">
        <w:rPr>
          <w:strike/>
        </w:rPr>
        <w:t>3.8-3</w:t>
      </w:r>
      <w:r>
        <w:t xml:space="preserve"> do not include emissions generated by trucks hauling equipment or livestock to and from treatment sites at the beginning and end of each treatment because the emissions associated with the transport of equipment and livestock would vary considerably depending on the size of a treatment site, trip distance, and the number of crews working at each site. </w:t>
      </w:r>
      <w:bookmarkStart w:id="75" w:name="_Hlk20857806"/>
      <w:bookmarkStart w:id="76" w:name="_Hlk18246188"/>
      <w:r>
        <w:t>The emission rates presented in Table 3.4-6 also do not include emissions associated with any hauling or processing of biomass, which may occur as part of some manual and mechanical treatment activities as conditions warrant.</w:t>
      </w:r>
      <w:bookmarkEnd w:id="75"/>
      <w:r>
        <w:t xml:space="preserve"> A</w:t>
      </w:r>
      <w:r w:rsidRPr="00307F7B">
        <w:t xml:space="preserve">s discussed in Section 2.5.2, </w:t>
      </w:r>
      <w:r>
        <w:t>“</w:t>
      </w:r>
      <w:r w:rsidRPr="00307F7B">
        <w:t>Description of Treatment Activities,</w:t>
      </w:r>
      <w:r>
        <w:t>”</w:t>
      </w:r>
      <w:r w:rsidRPr="00307F7B">
        <w:t xml:space="preserve"> the percentage of vegetation hauled to biomass facilities for energy generation is expected to increase over time.</w:t>
      </w:r>
      <w:r>
        <w:t xml:space="preserve"> </w:t>
      </w:r>
      <w:bookmarkStart w:id="77" w:name="_Hlk6930878"/>
      <w:r>
        <w:t>These emissions are not quantified due to the high level of uncertainty about what types of processing-related activities would occur</w:t>
      </w:r>
      <w:r w:rsidRPr="008A6C58">
        <w:t xml:space="preserve"> </w:t>
      </w:r>
      <w:r>
        <w:t xml:space="preserve">and the distances feedstock would be hauled. Additionally, new biomass processing facilities that would require a discretionary decision from a lead agency would be subject to its own CEQA review. </w:t>
      </w:r>
      <w:bookmarkEnd w:id="76"/>
      <w:bookmarkEnd w:id="77"/>
    </w:p>
    <w:p w14:paraId="33BEE293" w14:textId="3CDF4204" w:rsidR="00901ECD" w:rsidRDefault="00901ECD" w:rsidP="00901ECD">
      <w:pPr>
        <w:pStyle w:val="BodyText"/>
      </w:pPr>
      <w:r>
        <w:t xml:space="preserve">The potential for treatment-related emissions of criteria air pollutants and precursors to contribute to regional air quality impacts and the potential for these emissions to result in high localized concentrations of criteria air pollutants are discussed separately below. </w:t>
      </w:r>
    </w:p>
    <w:bookmarkEnd w:id="73"/>
    <w:p w14:paraId="6E49BCFB" w14:textId="77777777" w:rsidR="00335804" w:rsidRDefault="00335804">
      <w:pPr>
        <w:spacing w:after="200" w:line="276" w:lineRule="auto"/>
        <w:rPr>
          <w:rFonts w:ascii="Segoe UI Semibold" w:hAnsi="Segoe UI Semibold" w:cs="Segoe UI Semibold"/>
          <w:bCs/>
        </w:rPr>
      </w:pPr>
      <w:r>
        <w:br w:type="page"/>
      </w:r>
    </w:p>
    <w:p w14:paraId="4DADFB8C" w14:textId="6E69DCD5" w:rsidR="00901ECD" w:rsidRDefault="00335804" w:rsidP="00335804">
      <w:pPr>
        <w:pStyle w:val="TableHeader"/>
      </w:pPr>
      <w:bookmarkStart w:id="78" w:name="_Toc23834436"/>
      <w:r w:rsidRPr="00846103">
        <w:lastRenderedPageBreak/>
        <w:t>Table 3.4-</w:t>
      </w:r>
      <w:r>
        <w:t>6</w:t>
      </w:r>
      <w:r>
        <w:tab/>
      </w:r>
      <w:r w:rsidRPr="00846103">
        <w:t>Emissions of Criteria Air Pollutants and Precursors Associated with a Single Treatment Crew</w:t>
      </w:r>
      <w:r>
        <w:t xml:space="preserve"> During a One-Acre Treatment</w:t>
      </w:r>
      <w:bookmarkEnd w:id="78"/>
    </w:p>
    <w:tbl>
      <w:tblPr>
        <w:tblW w:w="10080" w:type="dxa"/>
        <w:jc w:val="center"/>
        <w:tblBorders>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050"/>
        <w:gridCol w:w="1507"/>
        <w:gridCol w:w="1508"/>
        <w:gridCol w:w="1507"/>
        <w:gridCol w:w="1508"/>
      </w:tblGrid>
      <w:tr w:rsidR="00E16520" w:rsidRPr="00846103" w14:paraId="70F8B0D4" w14:textId="77777777" w:rsidTr="00532E5D">
        <w:trPr>
          <w:trHeight w:val="20"/>
          <w:tblHeader/>
          <w:jc w:val="center"/>
        </w:trPr>
        <w:tc>
          <w:tcPr>
            <w:tcW w:w="4050" w:type="dxa"/>
            <w:tcBorders>
              <w:top w:val="single" w:sz="4" w:space="0" w:color="auto"/>
              <w:bottom w:val="single" w:sz="4" w:space="0" w:color="auto"/>
            </w:tcBorders>
            <w:shd w:val="clear" w:color="auto" w:fill="D9D9D9" w:themeFill="background1" w:themeFillShade="D9"/>
            <w:noWrap/>
            <w:vAlign w:val="bottom"/>
            <w:hideMark/>
          </w:tcPr>
          <w:p w14:paraId="13DFB3BD" w14:textId="77777777" w:rsidR="00E16520" w:rsidRPr="00846103" w:rsidRDefault="00E16520" w:rsidP="005A4B7B">
            <w:pPr>
              <w:pStyle w:val="TableColumn"/>
            </w:pPr>
          </w:p>
        </w:tc>
        <w:tc>
          <w:tcPr>
            <w:tcW w:w="1507" w:type="dxa"/>
            <w:tcBorders>
              <w:top w:val="single" w:sz="4" w:space="0" w:color="auto"/>
              <w:bottom w:val="single" w:sz="4" w:space="0" w:color="auto"/>
            </w:tcBorders>
            <w:shd w:val="clear" w:color="auto" w:fill="D9D9D9" w:themeFill="background1" w:themeFillShade="D9"/>
            <w:noWrap/>
            <w:vAlign w:val="bottom"/>
            <w:hideMark/>
          </w:tcPr>
          <w:p w14:paraId="07FF1FF2" w14:textId="13DEF580" w:rsidR="00E16520" w:rsidRPr="00846103" w:rsidRDefault="00335804" w:rsidP="005A4B7B">
            <w:pPr>
              <w:pStyle w:val="TableColumn"/>
            </w:pPr>
            <w:r w:rsidRPr="00846103">
              <w:t>Emissions per Acre Treated (</w:t>
            </w:r>
            <w:proofErr w:type="spellStart"/>
            <w:r w:rsidRPr="00846103">
              <w:t>lb</w:t>
            </w:r>
            <w:proofErr w:type="spellEnd"/>
            <w:r w:rsidRPr="00846103">
              <w:t>/acre)</w:t>
            </w:r>
            <w:r>
              <w:t xml:space="preserve"> </w:t>
            </w:r>
            <w:r w:rsidR="00E16520" w:rsidRPr="00846103">
              <w:t>ROG</w:t>
            </w:r>
          </w:p>
        </w:tc>
        <w:tc>
          <w:tcPr>
            <w:tcW w:w="1508" w:type="dxa"/>
            <w:tcBorders>
              <w:top w:val="single" w:sz="4" w:space="0" w:color="auto"/>
              <w:bottom w:val="single" w:sz="4" w:space="0" w:color="auto"/>
            </w:tcBorders>
            <w:shd w:val="clear" w:color="auto" w:fill="D9D9D9" w:themeFill="background1" w:themeFillShade="D9"/>
            <w:noWrap/>
            <w:vAlign w:val="bottom"/>
            <w:hideMark/>
          </w:tcPr>
          <w:p w14:paraId="617948ED" w14:textId="3221F6BA" w:rsidR="00E16520" w:rsidRPr="00846103" w:rsidRDefault="00335804" w:rsidP="005A4B7B">
            <w:pPr>
              <w:pStyle w:val="TableColumn"/>
            </w:pPr>
            <w:r w:rsidRPr="00846103">
              <w:t>Emissions per Acre Treated (</w:t>
            </w:r>
            <w:proofErr w:type="spellStart"/>
            <w:r w:rsidRPr="00846103">
              <w:t>lb</w:t>
            </w:r>
            <w:proofErr w:type="spellEnd"/>
            <w:r w:rsidRPr="00846103">
              <w:t>/acre)</w:t>
            </w:r>
            <w:r>
              <w:t xml:space="preserve"> </w:t>
            </w:r>
            <w:r w:rsidR="00E16520" w:rsidRPr="00846103">
              <w:t>NO</w:t>
            </w:r>
            <w:r w:rsidR="00382485">
              <w:rPr>
                <w:vertAlign w:val="subscript"/>
              </w:rPr>
              <w:t>X</w:t>
            </w:r>
          </w:p>
        </w:tc>
        <w:tc>
          <w:tcPr>
            <w:tcW w:w="1507" w:type="dxa"/>
            <w:tcBorders>
              <w:top w:val="single" w:sz="4" w:space="0" w:color="auto"/>
              <w:bottom w:val="single" w:sz="4" w:space="0" w:color="auto"/>
            </w:tcBorders>
            <w:shd w:val="clear" w:color="auto" w:fill="D9D9D9" w:themeFill="background1" w:themeFillShade="D9"/>
            <w:noWrap/>
            <w:vAlign w:val="bottom"/>
            <w:hideMark/>
          </w:tcPr>
          <w:p w14:paraId="04EF86EA" w14:textId="79225CCD" w:rsidR="00E16520" w:rsidRPr="00846103" w:rsidRDefault="00335804" w:rsidP="005A4B7B">
            <w:pPr>
              <w:pStyle w:val="TableColumn"/>
            </w:pPr>
            <w:r w:rsidRPr="00846103">
              <w:t>Emissions per Acre Treated (</w:t>
            </w:r>
            <w:proofErr w:type="spellStart"/>
            <w:r w:rsidRPr="00846103">
              <w:t>lb</w:t>
            </w:r>
            <w:proofErr w:type="spellEnd"/>
            <w:r w:rsidRPr="00846103">
              <w:t>/acre)</w:t>
            </w:r>
            <w:r>
              <w:t xml:space="preserve"> </w:t>
            </w:r>
            <w:r w:rsidR="00E16520" w:rsidRPr="00846103">
              <w:t>PM</w:t>
            </w:r>
            <w:r w:rsidR="00E16520" w:rsidRPr="00846103">
              <w:rPr>
                <w:vertAlign w:val="subscript"/>
              </w:rPr>
              <w:t>10</w:t>
            </w:r>
          </w:p>
        </w:tc>
        <w:tc>
          <w:tcPr>
            <w:tcW w:w="1508" w:type="dxa"/>
            <w:tcBorders>
              <w:top w:val="single" w:sz="4" w:space="0" w:color="auto"/>
              <w:bottom w:val="single" w:sz="4" w:space="0" w:color="auto"/>
            </w:tcBorders>
            <w:shd w:val="clear" w:color="auto" w:fill="D9D9D9" w:themeFill="background1" w:themeFillShade="D9"/>
            <w:noWrap/>
            <w:vAlign w:val="bottom"/>
            <w:hideMark/>
          </w:tcPr>
          <w:p w14:paraId="7417782D" w14:textId="163BC737" w:rsidR="00E16520" w:rsidRPr="00846103" w:rsidRDefault="00335804" w:rsidP="005A4B7B">
            <w:pPr>
              <w:pStyle w:val="TableColumn"/>
            </w:pPr>
            <w:r w:rsidRPr="00846103">
              <w:t>Emissions per Acre Treated (</w:t>
            </w:r>
            <w:proofErr w:type="spellStart"/>
            <w:r w:rsidRPr="00846103">
              <w:t>lb</w:t>
            </w:r>
            <w:proofErr w:type="spellEnd"/>
            <w:r w:rsidRPr="00846103">
              <w:t>/acre)</w:t>
            </w:r>
            <w:r>
              <w:t xml:space="preserve"> </w:t>
            </w:r>
            <w:r w:rsidR="00E16520" w:rsidRPr="00846103">
              <w:t>PM</w:t>
            </w:r>
            <w:r w:rsidR="00E16520" w:rsidRPr="00846103">
              <w:rPr>
                <w:vertAlign w:val="subscript"/>
              </w:rPr>
              <w:t>2.5</w:t>
            </w:r>
          </w:p>
        </w:tc>
      </w:tr>
      <w:tr w:rsidR="00E05D96" w:rsidRPr="00846103" w14:paraId="10FB7C12" w14:textId="77777777" w:rsidTr="00F21E66">
        <w:trPr>
          <w:trHeight w:val="20"/>
          <w:jc w:val="center"/>
        </w:trPr>
        <w:tc>
          <w:tcPr>
            <w:tcW w:w="4050" w:type="dxa"/>
            <w:tcBorders>
              <w:top w:val="single" w:sz="4" w:space="0" w:color="auto"/>
              <w:bottom w:val="single" w:sz="4" w:space="0" w:color="auto"/>
              <w:right w:val="nil"/>
            </w:tcBorders>
            <w:shd w:val="clear" w:color="auto" w:fill="F2F2F2" w:themeFill="background1" w:themeFillShade="F2"/>
            <w:noWrap/>
            <w:vAlign w:val="bottom"/>
          </w:tcPr>
          <w:p w14:paraId="6B871C78" w14:textId="64A91B96" w:rsidR="00E05D96" w:rsidRPr="00846103" w:rsidRDefault="00E05D96" w:rsidP="00E05D96">
            <w:pPr>
              <w:pStyle w:val="TableRow"/>
            </w:pPr>
            <w:r w:rsidRPr="00846103">
              <w:t>Prescribed Burning</w:t>
            </w:r>
            <w:r w:rsidR="003119C6" w:rsidRPr="00D11F03">
              <w:rPr>
                <w:u w:val="single"/>
                <w:vertAlign w:val="superscript"/>
              </w:rPr>
              <w:t>1</w:t>
            </w:r>
          </w:p>
        </w:tc>
        <w:tc>
          <w:tcPr>
            <w:tcW w:w="1507" w:type="dxa"/>
            <w:tcBorders>
              <w:top w:val="single" w:sz="4" w:space="0" w:color="auto"/>
              <w:left w:val="nil"/>
              <w:bottom w:val="single" w:sz="4" w:space="0" w:color="auto"/>
              <w:right w:val="nil"/>
            </w:tcBorders>
            <w:shd w:val="clear" w:color="auto" w:fill="F2F2F2" w:themeFill="background1" w:themeFillShade="F2"/>
            <w:noWrap/>
            <w:vAlign w:val="bottom"/>
          </w:tcPr>
          <w:p w14:paraId="395C0807" w14:textId="77777777" w:rsidR="00E05D96" w:rsidRPr="008924BC" w:rsidRDefault="00E05D96" w:rsidP="00E05D96">
            <w:pPr>
              <w:pStyle w:val="TableRow"/>
            </w:pPr>
          </w:p>
        </w:tc>
        <w:tc>
          <w:tcPr>
            <w:tcW w:w="1508" w:type="dxa"/>
            <w:tcBorders>
              <w:top w:val="single" w:sz="4" w:space="0" w:color="auto"/>
              <w:left w:val="nil"/>
              <w:bottom w:val="single" w:sz="4" w:space="0" w:color="auto"/>
              <w:right w:val="nil"/>
            </w:tcBorders>
            <w:shd w:val="clear" w:color="auto" w:fill="F2F2F2" w:themeFill="background1" w:themeFillShade="F2"/>
            <w:noWrap/>
            <w:vAlign w:val="bottom"/>
          </w:tcPr>
          <w:p w14:paraId="1AACC5B1" w14:textId="77777777" w:rsidR="00E05D96" w:rsidRPr="008924BC" w:rsidRDefault="00E05D96" w:rsidP="00E05D96">
            <w:pPr>
              <w:pStyle w:val="TableRow"/>
            </w:pPr>
          </w:p>
        </w:tc>
        <w:tc>
          <w:tcPr>
            <w:tcW w:w="1507" w:type="dxa"/>
            <w:tcBorders>
              <w:top w:val="single" w:sz="4" w:space="0" w:color="auto"/>
              <w:left w:val="nil"/>
              <w:bottom w:val="single" w:sz="4" w:space="0" w:color="auto"/>
              <w:right w:val="nil"/>
            </w:tcBorders>
            <w:shd w:val="clear" w:color="auto" w:fill="F2F2F2" w:themeFill="background1" w:themeFillShade="F2"/>
            <w:noWrap/>
            <w:vAlign w:val="bottom"/>
          </w:tcPr>
          <w:p w14:paraId="7128E646" w14:textId="77777777" w:rsidR="00E05D96" w:rsidRPr="008924BC" w:rsidRDefault="00E05D96" w:rsidP="00E05D96">
            <w:pPr>
              <w:pStyle w:val="TableRow"/>
            </w:pPr>
          </w:p>
        </w:tc>
        <w:tc>
          <w:tcPr>
            <w:tcW w:w="1508" w:type="dxa"/>
            <w:tcBorders>
              <w:top w:val="single" w:sz="4" w:space="0" w:color="auto"/>
              <w:left w:val="nil"/>
              <w:bottom w:val="single" w:sz="4" w:space="0" w:color="auto"/>
            </w:tcBorders>
            <w:shd w:val="clear" w:color="auto" w:fill="F2F2F2" w:themeFill="background1" w:themeFillShade="F2"/>
            <w:noWrap/>
            <w:vAlign w:val="bottom"/>
          </w:tcPr>
          <w:p w14:paraId="4916F681" w14:textId="77777777" w:rsidR="00E05D96" w:rsidRPr="008924BC" w:rsidRDefault="00E05D96" w:rsidP="00E05D96">
            <w:pPr>
              <w:pStyle w:val="TableRow"/>
            </w:pPr>
          </w:p>
        </w:tc>
      </w:tr>
      <w:tr w:rsidR="008924BC" w:rsidRPr="00846103" w14:paraId="53A3C19C" w14:textId="77777777" w:rsidTr="00F21E66">
        <w:trPr>
          <w:trHeight w:val="20"/>
          <w:jc w:val="center"/>
        </w:trPr>
        <w:tc>
          <w:tcPr>
            <w:tcW w:w="4050" w:type="dxa"/>
            <w:tcBorders>
              <w:top w:val="single" w:sz="4" w:space="0" w:color="auto"/>
            </w:tcBorders>
            <w:shd w:val="clear" w:color="auto" w:fill="auto"/>
            <w:noWrap/>
            <w:vAlign w:val="bottom"/>
            <w:hideMark/>
          </w:tcPr>
          <w:p w14:paraId="6944A8F0" w14:textId="1D4CED0B" w:rsidR="008924BC" w:rsidRPr="00846103" w:rsidRDefault="008924BC" w:rsidP="008924BC">
            <w:pPr>
              <w:pStyle w:val="TableTextL"/>
              <w:ind w:left="155"/>
            </w:pPr>
            <w:r w:rsidRPr="00846103">
              <w:t>Tree</w:t>
            </w:r>
            <w:r>
              <w:t xml:space="preserve"> Fuel Type</w:t>
            </w:r>
          </w:p>
        </w:tc>
        <w:tc>
          <w:tcPr>
            <w:tcW w:w="1507" w:type="dxa"/>
            <w:tcBorders>
              <w:top w:val="single" w:sz="4" w:space="0" w:color="auto"/>
            </w:tcBorders>
            <w:shd w:val="clear" w:color="auto" w:fill="auto"/>
            <w:noWrap/>
            <w:vAlign w:val="bottom"/>
            <w:hideMark/>
          </w:tcPr>
          <w:p w14:paraId="0A11FF8B" w14:textId="312AAF88" w:rsidR="008924BC" w:rsidRPr="00846103" w:rsidRDefault="008924BC" w:rsidP="008924BC">
            <w:pPr>
              <w:pStyle w:val="TableText"/>
            </w:pPr>
            <w:r w:rsidRPr="008924BC">
              <w:t>2,186.6</w:t>
            </w:r>
          </w:p>
        </w:tc>
        <w:tc>
          <w:tcPr>
            <w:tcW w:w="1508" w:type="dxa"/>
            <w:tcBorders>
              <w:top w:val="single" w:sz="4" w:space="0" w:color="auto"/>
            </w:tcBorders>
            <w:shd w:val="clear" w:color="auto" w:fill="auto"/>
            <w:noWrap/>
            <w:vAlign w:val="bottom"/>
            <w:hideMark/>
          </w:tcPr>
          <w:p w14:paraId="6F8530BD" w14:textId="142DF239" w:rsidR="008924BC" w:rsidRPr="00846103" w:rsidRDefault="008924BC" w:rsidP="008924BC">
            <w:pPr>
              <w:pStyle w:val="TableText"/>
            </w:pPr>
            <w:r w:rsidRPr="008924BC">
              <w:t>166.0</w:t>
            </w:r>
          </w:p>
        </w:tc>
        <w:tc>
          <w:tcPr>
            <w:tcW w:w="1507" w:type="dxa"/>
            <w:tcBorders>
              <w:top w:val="single" w:sz="4" w:space="0" w:color="auto"/>
            </w:tcBorders>
            <w:shd w:val="clear" w:color="auto" w:fill="auto"/>
            <w:noWrap/>
            <w:vAlign w:val="bottom"/>
            <w:hideMark/>
          </w:tcPr>
          <w:p w14:paraId="63ABBA2B" w14:textId="6EE6D4C3" w:rsidR="008924BC" w:rsidRPr="00846103" w:rsidRDefault="008924BC" w:rsidP="008924BC">
            <w:pPr>
              <w:pStyle w:val="TableText"/>
            </w:pPr>
            <w:r w:rsidRPr="008924BC">
              <w:t>1,421.3</w:t>
            </w:r>
          </w:p>
        </w:tc>
        <w:tc>
          <w:tcPr>
            <w:tcW w:w="1508" w:type="dxa"/>
            <w:tcBorders>
              <w:top w:val="single" w:sz="4" w:space="0" w:color="auto"/>
            </w:tcBorders>
            <w:shd w:val="clear" w:color="auto" w:fill="auto"/>
            <w:noWrap/>
            <w:vAlign w:val="bottom"/>
            <w:hideMark/>
          </w:tcPr>
          <w:p w14:paraId="4E11F908" w14:textId="6861F7BE" w:rsidR="008924BC" w:rsidRPr="00846103" w:rsidRDefault="008924BC" w:rsidP="008924BC">
            <w:pPr>
              <w:pStyle w:val="TableText"/>
            </w:pPr>
            <w:r w:rsidRPr="008924BC">
              <w:t>1,421.3</w:t>
            </w:r>
          </w:p>
        </w:tc>
      </w:tr>
      <w:tr w:rsidR="008924BC" w:rsidRPr="00846103" w14:paraId="79C360CB" w14:textId="77777777" w:rsidTr="00F21E66">
        <w:trPr>
          <w:trHeight w:val="20"/>
          <w:jc w:val="center"/>
        </w:trPr>
        <w:tc>
          <w:tcPr>
            <w:tcW w:w="4050" w:type="dxa"/>
            <w:shd w:val="clear" w:color="auto" w:fill="auto"/>
            <w:noWrap/>
            <w:vAlign w:val="bottom"/>
            <w:hideMark/>
          </w:tcPr>
          <w:p w14:paraId="4C4755CA" w14:textId="33AD524E" w:rsidR="008924BC" w:rsidRPr="00846103" w:rsidRDefault="008924BC" w:rsidP="008924BC">
            <w:pPr>
              <w:pStyle w:val="TableTextL"/>
              <w:ind w:left="155"/>
            </w:pPr>
            <w:r w:rsidRPr="00846103">
              <w:t>Shrub</w:t>
            </w:r>
            <w:r>
              <w:t xml:space="preserve"> Fuel Type</w:t>
            </w:r>
          </w:p>
        </w:tc>
        <w:tc>
          <w:tcPr>
            <w:tcW w:w="1507" w:type="dxa"/>
            <w:shd w:val="clear" w:color="auto" w:fill="auto"/>
            <w:noWrap/>
            <w:vAlign w:val="bottom"/>
            <w:hideMark/>
          </w:tcPr>
          <w:p w14:paraId="67B2F13C" w14:textId="2FF2A2CF" w:rsidR="008924BC" w:rsidRPr="00846103" w:rsidRDefault="008924BC" w:rsidP="008924BC">
            <w:pPr>
              <w:pStyle w:val="TableText"/>
            </w:pPr>
            <w:r w:rsidRPr="008924BC">
              <w:t>352.8</w:t>
            </w:r>
          </w:p>
        </w:tc>
        <w:tc>
          <w:tcPr>
            <w:tcW w:w="1508" w:type="dxa"/>
            <w:shd w:val="clear" w:color="auto" w:fill="auto"/>
            <w:noWrap/>
            <w:vAlign w:val="bottom"/>
            <w:hideMark/>
          </w:tcPr>
          <w:p w14:paraId="56DD763E" w14:textId="1E2B94BC" w:rsidR="008924BC" w:rsidRPr="00846103" w:rsidRDefault="008924BC" w:rsidP="008924BC">
            <w:pPr>
              <w:pStyle w:val="TableText"/>
            </w:pPr>
            <w:r w:rsidRPr="008924BC">
              <w:t>44.4</w:t>
            </w:r>
          </w:p>
        </w:tc>
        <w:tc>
          <w:tcPr>
            <w:tcW w:w="1507" w:type="dxa"/>
            <w:shd w:val="clear" w:color="auto" w:fill="auto"/>
            <w:noWrap/>
            <w:vAlign w:val="bottom"/>
            <w:hideMark/>
          </w:tcPr>
          <w:p w14:paraId="090E1480" w14:textId="55C63000" w:rsidR="008924BC" w:rsidRPr="00846103" w:rsidRDefault="008924BC" w:rsidP="008924BC">
            <w:pPr>
              <w:pStyle w:val="TableText"/>
            </w:pPr>
            <w:r w:rsidRPr="008924BC">
              <w:t>142.1</w:t>
            </w:r>
          </w:p>
        </w:tc>
        <w:tc>
          <w:tcPr>
            <w:tcW w:w="1508" w:type="dxa"/>
            <w:shd w:val="clear" w:color="auto" w:fill="auto"/>
            <w:noWrap/>
            <w:vAlign w:val="bottom"/>
            <w:hideMark/>
          </w:tcPr>
          <w:p w14:paraId="7C351C28" w14:textId="547AC7D9" w:rsidR="008924BC" w:rsidRPr="00846103" w:rsidRDefault="008924BC" w:rsidP="008924BC">
            <w:pPr>
              <w:pStyle w:val="TableText"/>
            </w:pPr>
            <w:r w:rsidRPr="008924BC">
              <w:t>142.1</w:t>
            </w:r>
          </w:p>
        </w:tc>
      </w:tr>
      <w:tr w:rsidR="008924BC" w:rsidRPr="00846103" w14:paraId="69EA00BA" w14:textId="77777777" w:rsidTr="00F21E66">
        <w:trPr>
          <w:trHeight w:val="20"/>
          <w:jc w:val="center"/>
        </w:trPr>
        <w:tc>
          <w:tcPr>
            <w:tcW w:w="4050" w:type="dxa"/>
            <w:shd w:val="clear" w:color="auto" w:fill="auto"/>
            <w:noWrap/>
            <w:vAlign w:val="bottom"/>
            <w:hideMark/>
          </w:tcPr>
          <w:p w14:paraId="576536E4" w14:textId="1B3B5441" w:rsidR="008924BC" w:rsidRPr="00846103" w:rsidRDefault="008924BC" w:rsidP="008924BC">
            <w:pPr>
              <w:pStyle w:val="TableTextL"/>
              <w:ind w:left="155"/>
            </w:pPr>
            <w:r w:rsidRPr="00846103">
              <w:t>Grass</w:t>
            </w:r>
            <w:r>
              <w:t xml:space="preserve"> Fuel Type</w:t>
            </w:r>
          </w:p>
        </w:tc>
        <w:tc>
          <w:tcPr>
            <w:tcW w:w="1507" w:type="dxa"/>
            <w:shd w:val="clear" w:color="auto" w:fill="auto"/>
            <w:noWrap/>
            <w:vAlign w:val="bottom"/>
            <w:hideMark/>
          </w:tcPr>
          <w:p w14:paraId="60F7BF70" w14:textId="2CA9F1D5" w:rsidR="008924BC" w:rsidRPr="00846103" w:rsidRDefault="008924BC" w:rsidP="008924BC">
            <w:pPr>
              <w:pStyle w:val="TableText"/>
            </w:pPr>
            <w:r w:rsidRPr="008924BC">
              <w:t>166.4</w:t>
            </w:r>
          </w:p>
        </w:tc>
        <w:tc>
          <w:tcPr>
            <w:tcW w:w="1508" w:type="dxa"/>
            <w:shd w:val="clear" w:color="auto" w:fill="auto"/>
            <w:noWrap/>
            <w:vAlign w:val="bottom"/>
            <w:hideMark/>
          </w:tcPr>
          <w:p w14:paraId="1B781A22" w14:textId="76F4DFE2" w:rsidR="008924BC" w:rsidRPr="00846103" w:rsidRDefault="008924BC" w:rsidP="008924BC">
            <w:pPr>
              <w:pStyle w:val="TableText"/>
            </w:pPr>
            <w:r w:rsidRPr="008924BC">
              <w:t>21.9</w:t>
            </w:r>
          </w:p>
        </w:tc>
        <w:tc>
          <w:tcPr>
            <w:tcW w:w="1507" w:type="dxa"/>
            <w:shd w:val="clear" w:color="auto" w:fill="auto"/>
            <w:noWrap/>
            <w:vAlign w:val="bottom"/>
            <w:hideMark/>
          </w:tcPr>
          <w:p w14:paraId="698F5A26" w14:textId="7F49E70B" w:rsidR="008924BC" w:rsidRPr="00846103" w:rsidRDefault="008924BC" w:rsidP="008924BC">
            <w:pPr>
              <w:pStyle w:val="TableText"/>
            </w:pPr>
            <w:r w:rsidRPr="008924BC">
              <w:t>84.5</w:t>
            </w:r>
          </w:p>
        </w:tc>
        <w:tc>
          <w:tcPr>
            <w:tcW w:w="1508" w:type="dxa"/>
            <w:shd w:val="clear" w:color="auto" w:fill="auto"/>
            <w:noWrap/>
            <w:vAlign w:val="bottom"/>
            <w:hideMark/>
          </w:tcPr>
          <w:p w14:paraId="3B824ECE" w14:textId="750F49AF" w:rsidR="008924BC" w:rsidRPr="00846103" w:rsidRDefault="008924BC" w:rsidP="008924BC">
            <w:pPr>
              <w:pStyle w:val="TableText"/>
            </w:pPr>
            <w:r w:rsidRPr="008924BC">
              <w:t>84.5</w:t>
            </w:r>
          </w:p>
        </w:tc>
      </w:tr>
      <w:tr w:rsidR="00F21E66" w:rsidRPr="00846103" w14:paraId="1B6E4196" w14:textId="77777777" w:rsidTr="00F21E66">
        <w:trPr>
          <w:trHeight w:val="20"/>
          <w:jc w:val="center"/>
        </w:trPr>
        <w:tc>
          <w:tcPr>
            <w:tcW w:w="4050" w:type="dxa"/>
            <w:tcBorders>
              <w:top w:val="single" w:sz="4" w:space="0" w:color="auto"/>
              <w:bottom w:val="single" w:sz="4" w:space="0" w:color="auto"/>
              <w:right w:val="nil"/>
            </w:tcBorders>
            <w:shd w:val="clear" w:color="auto" w:fill="F2F2F2" w:themeFill="background1" w:themeFillShade="F2"/>
            <w:noWrap/>
            <w:vAlign w:val="bottom"/>
          </w:tcPr>
          <w:p w14:paraId="6A887F5A" w14:textId="6686DA91" w:rsidR="00E05D96" w:rsidRPr="00846103" w:rsidRDefault="00E05D96" w:rsidP="003E5A87">
            <w:pPr>
              <w:pStyle w:val="TableRow"/>
            </w:pPr>
            <w:r w:rsidRPr="00846103">
              <w:t>Mechanical Treatment</w:t>
            </w:r>
          </w:p>
        </w:tc>
        <w:tc>
          <w:tcPr>
            <w:tcW w:w="1507" w:type="dxa"/>
            <w:tcBorders>
              <w:top w:val="single" w:sz="4" w:space="0" w:color="auto"/>
              <w:left w:val="nil"/>
              <w:bottom w:val="single" w:sz="4" w:space="0" w:color="auto"/>
              <w:right w:val="nil"/>
            </w:tcBorders>
            <w:shd w:val="clear" w:color="auto" w:fill="F2F2F2" w:themeFill="background1" w:themeFillShade="F2"/>
            <w:noWrap/>
            <w:vAlign w:val="bottom"/>
          </w:tcPr>
          <w:p w14:paraId="118A8587" w14:textId="77777777" w:rsidR="00E05D96" w:rsidRPr="008924BC" w:rsidRDefault="00E05D96" w:rsidP="003E5A87">
            <w:pPr>
              <w:pStyle w:val="TableRow"/>
            </w:pPr>
          </w:p>
        </w:tc>
        <w:tc>
          <w:tcPr>
            <w:tcW w:w="1508" w:type="dxa"/>
            <w:tcBorders>
              <w:top w:val="single" w:sz="4" w:space="0" w:color="auto"/>
              <w:left w:val="nil"/>
              <w:bottom w:val="single" w:sz="4" w:space="0" w:color="auto"/>
              <w:right w:val="nil"/>
            </w:tcBorders>
            <w:shd w:val="clear" w:color="auto" w:fill="F2F2F2" w:themeFill="background1" w:themeFillShade="F2"/>
            <w:noWrap/>
            <w:vAlign w:val="bottom"/>
          </w:tcPr>
          <w:p w14:paraId="0A3139C1" w14:textId="77777777" w:rsidR="00E05D96" w:rsidRPr="008924BC" w:rsidRDefault="00E05D96" w:rsidP="003E5A87">
            <w:pPr>
              <w:pStyle w:val="TableRow"/>
            </w:pPr>
          </w:p>
        </w:tc>
        <w:tc>
          <w:tcPr>
            <w:tcW w:w="1507" w:type="dxa"/>
            <w:tcBorders>
              <w:top w:val="single" w:sz="4" w:space="0" w:color="auto"/>
              <w:left w:val="nil"/>
              <w:bottom w:val="single" w:sz="4" w:space="0" w:color="auto"/>
              <w:right w:val="nil"/>
            </w:tcBorders>
            <w:shd w:val="clear" w:color="auto" w:fill="F2F2F2" w:themeFill="background1" w:themeFillShade="F2"/>
            <w:noWrap/>
            <w:vAlign w:val="bottom"/>
          </w:tcPr>
          <w:p w14:paraId="1D814CF3" w14:textId="77777777" w:rsidR="00E05D96" w:rsidRPr="008924BC" w:rsidRDefault="00E05D96" w:rsidP="003E5A87">
            <w:pPr>
              <w:pStyle w:val="TableRow"/>
            </w:pPr>
          </w:p>
        </w:tc>
        <w:tc>
          <w:tcPr>
            <w:tcW w:w="1508" w:type="dxa"/>
            <w:tcBorders>
              <w:top w:val="single" w:sz="4" w:space="0" w:color="auto"/>
              <w:left w:val="nil"/>
              <w:bottom w:val="single" w:sz="4" w:space="0" w:color="auto"/>
            </w:tcBorders>
            <w:shd w:val="clear" w:color="auto" w:fill="F2F2F2" w:themeFill="background1" w:themeFillShade="F2"/>
            <w:noWrap/>
            <w:vAlign w:val="bottom"/>
          </w:tcPr>
          <w:p w14:paraId="0471C3B9" w14:textId="77777777" w:rsidR="00E05D96" w:rsidRPr="008924BC" w:rsidRDefault="00E05D96" w:rsidP="003E5A87">
            <w:pPr>
              <w:pStyle w:val="TableRow"/>
            </w:pPr>
          </w:p>
        </w:tc>
      </w:tr>
      <w:tr w:rsidR="008924BC" w:rsidRPr="00846103" w14:paraId="5886B3A5" w14:textId="77777777" w:rsidTr="00F21E66">
        <w:trPr>
          <w:trHeight w:val="20"/>
          <w:jc w:val="center"/>
        </w:trPr>
        <w:tc>
          <w:tcPr>
            <w:tcW w:w="4050" w:type="dxa"/>
            <w:shd w:val="clear" w:color="auto" w:fill="auto"/>
            <w:noWrap/>
            <w:vAlign w:val="bottom"/>
            <w:hideMark/>
          </w:tcPr>
          <w:p w14:paraId="43C54F1C" w14:textId="4E1BF3E4" w:rsidR="008924BC" w:rsidRPr="00846103" w:rsidRDefault="008924BC" w:rsidP="008924BC">
            <w:pPr>
              <w:pStyle w:val="TableTextL"/>
              <w:ind w:left="155"/>
            </w:pPr>
            <w:r w:rsidRPr="00846103">
              <w:t>Tree</w:t>
            </w:r>
            <w:r>
              <w:t xml:space="preserve"> Fuel Type</w:t>
            </w:r>
          </w:p>
        </w:tc>
        <w:tc>
          <w:tcPr>
            <w:tcW w:w="1507" w:type="dxa"/>
            <w:shd w:val="clear" w:color="auto" w:fill="auto"/>
            <w:noWrap/>
            <w:vAlign w:val="bottom"/>
            <w:hideMark/>
          </w:tcPr>
          <w:p w14:paraId="0378D0FF" w14:textId="5F6DFD09" w:rsidR="008924BC" w:rsidRPr="00846103" w:rsidRDefault="008924BC" w:rsidP="008924BC">
            <w:pPr>
              <w:pStyle w:val="TableText"/>
            </w:pPr>
            <w:r w:rsidRPr="008924BC">
              <w:t>3.0</w:t>
            </w:r>
          </w:p>
        </w:tc>
        <w:tc>
          <w:tcPr>
            <w:tcW w:w="1508" w:type="dxa"/>
            <w:shd w:val="clear" w:color="auto" w:fill="auto"/>
            <w:noWrap/>
            <w:vAlign w:val="bottom"/>
            <w:hideMark/>
          </w:tcPr>
          <w:p w14:paraId="4CF688B9" w14:textId="72292AB9" w:rsidR="008924BC" w:rsidRPr="00846103" w:rsidRDefault="008924BC" w:rsidP="008924BC">
            <w:pPr>
              <w:pStyle w:val="TableText"/>
            </w:pPr>
            <w:r w:rsidRPr="008924BC">
              <w:t>5.3</w:t>
            </w:r>
          </w:p>
        </w:tc>
        <w:tc>
          <w:tcPr>
            <w:tcW w:w="1507" w:type="dxa"/>
            <w:shd w:val="clear" w:color="auto" w:fill="auto"/>
            <w:noWrap/>
            <w:vAlign w:val="bottom"/>
            <w:hideMark/>
          </w:tcPr>
          <w:p w14:paraId="28E802FD" w14:textId="619A9257" w:rsidR="008924BC" w:rsidRPr="00846103" w:rsidRDefault="008924BC" w:rsidP="008924BC">
            <w:pPr>
              <w:pStyle w:val="TableText"/>
            </w:pPr>
            <w:r w:rsidRPr="008924BC">
              <w:t>0.3</w:t>
            </w:r>
          </w:p>
        </w:tc>
        <w:tc>
          <w:tcPr>
            <w:tcW w:w="1508" w:type="dxa"/>
            <w:shd w:val="clear" w:color="auto" w:fill="auto"/>
            <w:noWrap/>
            <w:vAlign w:val="bottom"/>
            <w:hideMark/>
          </w:tcPr>
          <w:p w14:paraId="67C77F52" w14:textId="7B048D12" w:rsidR="008924BC" w:rsidRPr="00846103" w:rsidRDefault="008924BC" w:rsidP="008924BC">
            <w:pPr>
              <w:pStyle w:val="TableText"/>
            </w:pPr>
            <w:r w:rsidRPr="008924BC">
              <w:t>0.2</w:t>
            </w:r>
          </w:p>
        </w:tc>
      </w:tr>
      <w:tr w:rsidR="008924BC" w:rsidRPr="00846103" w14:paraId="773BEB13" w14:textId="77777777" w:rsidTr="00F21E66">
        <w:trPr>
          <w:trHeight w:val="20"/>
          <w:jc w:val="center"/>
        </w:trPr>
        <w:tc>
          <w:tcPr>
            <w:tcW w:w="4050" w:type="dxa"/>
            <w:shd w:val="clear" w:color="auto" w:fill="auto"/>
            <w:noWrap/>
            <w:vAlign w:val="bottom"/>
            <w:hideMark/>
          </w:tcPr>
          <w:p w14:paraId="42A69C47" w14:textId="21684719" w:rsidR="008924BC" w:rsidRPr="00846103" w:rsidRDefault="008924BC" w:rsidP="008924BC">
            <w:pPr>
              <w:pStyle w:val="TableTextL"/>
              <w:ind w:left="155"/>
            </w:pPr>
            <w:r w:rsidRPr="00846103">
              <w:t>Shrub</w:t>
            </w:r>
            <w:r>
              <w:t xml:space="preserve"> Fuel Type</w:t>
            </w:r>
          </w:p>
        </w:tc>
        <w:tc>
          <w:tcPr>
            <w:tcW w:w="1507" w:type="dxa"/>
            <w:shd w:val="clear" w:color="auto" w:fill="auto"/>
            <w:noWrap/>
            <w:vAlign w:val="bottom"/>
            <w:hideMark/>
          </w:tcPr>
          <w:p w14:paraId="0CC639BF" w14:textId="6B1713B5" w:rsidR="008924BC" w:rsidRPr="00846103" w:rsidRDefault="008924BC" w:rsidP="008924BC">
            <w:pPr>
              <w:pStyle w:val="TableText"/>
            </w:pPr>
            <w:r w:rsidRPr="008924BC">
              <w:t>0.7</w:t>
            </w:r>
          </w:p>
        </w:tc>
        <w:tc>
          <w:tcPr>
            <w:tcW w:w="1508" w:type="dxa"/>
            <w:shd w:val="clear" w:color="auto" w:fill="auto"/>
            <w:noWrap/>
            <w:vAlign w:val="bottom"/>
            <w:hideMark/>
          </w:tcPr>
          <w:p w14:paraId="2BA201B8" w14:textId="39023110" w:rsidR="008924BC" w:rsidRPr="00846103" w:rsidRDefault="008924BC" w:rsidP="008924BC">
            <w:pPr>
              <w:pStyle w:val="TableText"/>
            </w:pPr>
            <w:r w:rsidRPr="008924BC">
              <w:t>4.1</w:t>
            </w:r>
          </w:p>
        </w:tc>
        <w:tc>
          <w:tcPr>
            <w:tcW w:w="1507" w:type="dxa"/>
            <w:shd w:val="clear" w:color="auto" w:fill="auto"/>
            <w:noWrap/>
            <w:vAlign w:val="bottom"/>
            <w:hideMark/>
          </w:tcPr>
          <w:p w14:paraId="0128C591" w14:textId="1FBED912" w:rsidR="008924BC" w:rsidRPr="00846103" w:rsidRDefault="008924BC" w:rsidP="008924BC">
            <w:pPr>
              <w:pStyle w:val="TableText"/>
            </w:pPr>
            <w:r w:rsidRPr="008924BC">
              <w:t>0.5</w:t>
            </w:r>
          </w:p>
        </w:tc>
        <w:tc>
          <w:tcPr>
            <w:tcW w:w="1508" w:type="dxa"/>
            <w:shd w:val="clear" w:color="auto" w:fill="auto"/>
            <w:noWrap/>
            <w:vAlign w:val="bottom"/>
            <w:hideMark/>
          </w:tcPr>
          <w:p w14:paraId="142FF75D" w14:textId="75B0F946" w:rsidR="008924BC" w:rsidRPr="00846103" w:rsidRDefault="008924BC" w:rsidP="008924BC">
            <w:pPr>
              <w:pStyle w:val="TableText"/>
            </w:pPr>
            <w:r w:rsidRPr="008924BC">
              <w:t>0.3</w:t>
            </w:r>
          </w:p>
        </w:tc>
      </w:tr>
      <w:tr w:rsidR="008924BC" w:rsidRPr="00846103" w14:paraId="27C68705" w14:textId="77777777" w:rsidTr="00F21E66">
        <w:trPr>
          <w:trHeight w:val="20"/>
          <w:jc w:val="center"/>
        </w:trPr>
        <w:tc>
          <w:tcPr>
            <w:tcW w:w="4050" w:type="dxa"/>
            <w:shd w:val="clear" w:color="auto" w:fill="auto"/>
            <w:noWrap/>
            <w:vAlign w:val="bottom"/>
            <w:hideMark/>
          </w:tcPr>
          <w:p w14:paraId="50B62AEB" w14:textId="387C58AF" w:rsidR="008924BC" w:rsidRPr="00846103" w:rsidRDefault="008924BC" w:rsidP="008924BC">
            <w:pPr>
              <w:pStyle w:val="TableTextL"/>
              <w:ind w:left="155"/>
            </w:pPr>
            <w:r w:rsidRPr="00846103">
              <w:t>Grass</w:t>
            </w:r>
            <w:r>
              <w:t xml:space="preserve"> Fuel Type</w:t>
            </w:r>
          </w:p>
        </w:tc>
        <w:tc>
          <w:tcPr>
            <w:tcW w:w="1507" w:type="dxa"/>
            <w:shd w:val="clear" w:color="auto" w:fill="auto"/>
            <w:noWrap/>
            <w:vAlign w:val="bottom"/>
            <w:hideMark/>
          </w:tcPr>
          <w:p w14:paraId="77994C50" w14:textId="444F1642" w:rsidR="008924BC" w:rsidRPr="00846103" w:rsidRDefault="008924BC" w:rsidP="008924BC">
            <w:pPr>
              <w:pStyle w:val="TableText"/>
            </w:pPr>
            <w:r w:rsidRPr="008924BC">
              <w:t>0.4</w:t>
            </w:r>
          </w:p>
        </w:tc>
        <w:tc>
          <w:tcPr>
            <w:tcW w:w="1508" w:type="dxa"/>
            <w:shd w:val="clear" w:color="auto" w:fill="auto"/>
            <w:noWrap/>
            <w:vAlign w:val="bottom"/>
            <w:hideMark/>
          </w:tcPr>
          <w:p w14:paraId="4F119C30" w14:textId="3EF053D6" w:rsidR="008924BC" w:rsidRPr="00846103" w:rsidRDefault="008924BC" w:rsidP="008924BC">
            <w:pPr>
              <w:pStyle w:val="TableText"/>
            </w:pPr>
            <w:r w:rsidRPr="008924BC">
              <w:t>0.8</w:t>
            </w:r>
          </w:p>
        </w:tc>
        <w:tc>
          <w:tcPr>
            <w:tcW w:w="1507" w:type="dxa"/>
            <w:shd w:val="clear" w:color="auto" w:fill="auto"/>
            <w:noWrap/>
            <w:vAlign w:val="bottom"/>
            <w:hideMark/>
          </w:tcPr>
          <w:p w14:paraId="71A1B27A" w14:textId="67FBAA92" w:rsidR="008924BC" w:rsidRPr="00846103" w:rsidRDefault="008924BC" w:rsidP="008924BC">
            <w:pPr>
              <w:pStyle w:val="TableText"/>
            </w:pPr>
            <w:r w:rsidRPr="008924BC">
              <w:t>0.2</w:t>
            </w:r>
          </w:p>
        </w:tc>
        <w:tc>
          <w:tcPr>
            <w:tcW w:w="1508" w:type="dxa"/>
            <w:shd w:val="clear" w:color="auto" w:fill="auto"/>
            <w:noWrap/>
            <w:vAlign w:val="bottom"/>
            <w:hideMark/>
          </w:tcPr>
          <w:p w14:paraId="6348F8BD" w14:textId="66CD2689" w:rsidR="008924BC" w:rsidRPr="00846103" w:rsidRDefault="008924BC" w:rsidP="008924BC">
            <w:pPr>
              <w:pStyle w:val="TableText"/>
            </w:pPr>
            <w:r w:rsidRPr="008924BC">
              <w:t>0.2</w:t>
            </w:r>
          </w:p>
        </w:tc>
      </w:tr>
      <w:tr w:rsidR="00F21E66" w:rsidRPr="00846103" w14:paraId="1B882037" w14:textId="77777777" w:rsidTr="00F21E66">
        <w:trPr>
          <w:trHeight w:val="20"/>
          <w:jc w:val="center"/>
        </w:trPr>
        <w:tc>
          <w:tcPr>
            <w:tcW w:w="4050" w:type="dxa"/>
            <w:tcBorders>
              <w:top w:val="single" w:sz="4" w:space="0" w:color="auto"/>
              <w:bottom w:val="single" w:sz="4" w:space="0" w:color="auto"/>
              <w:right w:val="nil"/>
            </w:tcBorders>
            <w:shd w:val="clear" w:color="auto" w:fill="F2F2F2" w:themeFill="background1" w:themeFillShade="F2"/>
            <w:noWrap/>
            <w:vAlign w:val="bottom"/>
          </w:tcPr>
          <w:p w14:paraId="6FD6E5DD" w14:textId="798FE005" w:rsidR="00E05D96" w:rsidRPr="00846103" w:rsidRDefault="00E05D96" w:rsidP="003E5A87">
            <w:pPr>
              <w:pStyle w:val="TableRow"/>
            </w:pPr>
            <w:r w:rsidRPr="00846103">
              <w:t>Manual Treatment</w:t>
            </w:r>
          </w:p>
        </w:tc>
        <w:tc>
          <w:tcPr>
            <w:tcW w:w="1507" w:type="dxa"/>
            <w:tcBorders>
              <w:top w:val="single" w:sz="4" w:space="0" w:color="auto"/>
              <w:left w:val="nil"/>
              <w:bottom w:val="single" w:sz="4" w:space="0" w:color="auto"/>
              <w:right w:val="nil"/>
            </w:tcBorders>
            <w:shd w:val="clear" w:color="auto" w:fill="F2F2F2" w:themeFill="background1" w:themeFillShade="F2"/>
            <w:noWrap/>
            <w:vAlign w:val="bottom"/>
          </w:tcPr>
          <w:p w14:paraId="223D4F57" w14:textId="77777777" w:rsidR="00E05D96" w:rsidRPr="008924BC" w:rsidRDefault="00E05D96" w:rsidP="003E5A87">
            <w:pPr>
              <w:pStyle w:val="TableRow"/>
            </w:pPr>
          </w:p>
        </w:tc>
        <w:tc>
          <w:tcPr>
            <w:tcW w:w="1508" w:type="dxa"/>
            <w:tcBorders>
              <w:top w:val="single" w:sz="4" w:space="0" w:color="auto"/>
              <w:left w:val="nil"/>
              <w:bottom w:val="single" w:sz="4" w:space="0" w:color="auto"/>
              <w:right w:val="nil"/>
            </w:tcBorders>
            <w:shd w:val="clear" w:color="auto" w:fill="F2F2F2" w:themeFill="background1" w:themeFillShade="F2"/>
            <w:noWrap/>
            <w:vAlign w:val="bottom"/>
          </w:tcPr>
          <w:p w14:paraId="2519806B" w14:textId="77777777" w:rsidR="00E05D96" w:rsidRPr="008924BC" w:rsidRDefault="00E05D96" w:rsidP="003E5A87">
            <w:pPr>
              <w:pStyle w:val="TableRow"/>
            </w:pPr>
          </w:p>
        </w:tc>
        <w:tc>
          <w:tcPr>
            <w:tcW w:w="1507" w:type="dxa"/>
            <w:tcBorders>
              <w:top w:val="single" w:sz="4" w:space="0" w:color="auto"/>
              <w:left w:val="nil"/>
              <w:bottom w:val="single" w:sz="4" w:space="0" w:color="auto"/>
              <w:right w:val="nil"/>
            </w:tcBorders>
            <w:shd w:val="clear" w:color="auto" w:fill="F2F2F2" w:themeFill="background1" w:themeFillShade="F2"/>
            <w:noWrap/>
            <w:vAlign w:val="bottom"/>
          </w:tcPr>
          <w:p w14:paraId="5E604B1B" w14:textId="77777777" w:rsidR="00E05D96" w:rsidRPr="008924BC" w:rsidRDefault="00E05D96" w:rsidP="003E5A87">
            <w:pPr>
              <w:pStyle w:val="TableRow"/>
            </w:pPr>
          </w:p>
        </w:tc>
        <w:tc>
          <w:tcPr>
            <w:tcW w:w="1508" w:type="dxa"/>
            <w:tcBorders>
              <w:top w:val="single" w:sz="4" w:space="0" w:color="auto"/>
              <w:left w:val="nil"/>
              <w:bottom w:val="single" w:sz="4" w:space="0" w:color="auto"/>
            </w:tcBorders>
            <w:shd w:val="clear" w:color="auto" w:fill="F2F2F2" w:themeFill="background1" w:themeFillShade="F2"/>
            <w:noWrap/>
            <w:vAlign w:val="bottom"/>
          </w:tcPr>
          <w:p w14:paraId="2F2E3A87" w14:textId="77777777" w:rsidR="00E05D96" w:rsidRPr="008924BC" w:rsidRDefault="00E05D96" w:rsidP="003E5A87">
            <w:pPr>
              <w:pStyle w:val="TableRow"/>
            </w:pPr>
          </w:p>
        </w:tc>
      </w:tr>
      <w:tr w:rsidR="008924BC" w:rsidRPr="00846103" w14:paraId="693CE797" w14:textId="77777777" w:rsidTr="00F21E66">
        <w:trPr>
          <w:trHeight w:val="20"/>
          <w:jc w:val="center"/>
        </w:trPr>
        <w:tc>
          <w:tcPr>
            <w:tcW w:w="4050" w:type="dxa"/>
            <w:shd w:val="clear" w:color="auto" w:fill="auto"/>
            <w:noWrap/>
            <w:vAlign w:val="bottom"/>
            <w:hideMark/>
          </w:tcPr>
          <w:p w14:paraId="45E5E9A9" w14:textId="1562F9CF" w:rsidR="008924BC" w:rsidRPr="00846103" w:rsidRDefault="008924BC" w:rsidP="008924BC">
            <w:pPr>
              <w:pStyle w:val="TableTextL"/>
              <w:ind w:left="155"/>
            </w:pPr>
            <w:r w:rsidRPr="00846103">
              <w:t>Tree</w:t>
            </w:r>
            <w:r>
              <w:t xml:space="preserve"> Fuel Type</w:t>
            </w:r>
          </w:p>
        </w:tc>
        <w:tc>
          <w:tcPr>
            <w:tcW w:w="1507" w:type="dxa"/>
            <w:shd w:val="clear" w:color="auto" w:fill="auto"/>
            <w:noWrap/>
            <w:vAlign w:val="bottom"/>
            <w:hideMark/>
          </w:tcPr>
          <w:p w14:paraId="2041C25A" w14:textId="3F91A09C" w:rsidR="008924BC" w:rsidRPr="00846103" w:rsidRDefault="008924BC" w:rsidP="008924BC">
            <w:pPr>
              <w:pStyle w:val="TableText"/>
            </w:pPr>
            <w:r w:rsidRPr="008924BC">
              <w:t>43.8</w:t>
            </w:r>
          </w:p>
        </w:tc>
        <w:tc>
          <w:tcPr>
            <w:tcW w:w="1508" w:type="dxa"/>
            <w:shd w:val="clear" w:color="auto" w:fill="auto"/>
            <w:noWrap/>
            <w:vAlign w:val="bottom"/>
            <w:hideMark/>
          </w:tcPr>
          <w:p w14:paraId="15C9B4E4" w14:textId="212EA9DD" w:rsidR="008924BC" w:rsidRPr="00846103" w:rsidRDefault="008924BC" w:rsidP="008924BC">
            <w:pPr>
              <w:pStyle w:val="TableText"/>
            </w:pPr>
            <w:r w:rsidRPr="008924BC">
              <w:t>4.3</w:t>
            </w:r>
          </w:p>
        </w:tc>
        <w:tc>
          <w:tcPr>
            <w:tcW w:w="1507" w:type="dxa"/>
            <w:shd w:val="clear" w:color="auto" w:fill="auto"/>
            <w:noWrap/>
            <w:vAlign w:val="bottom"/>
            <w:hideMark/>
          </w:tcPr>
          <w:p w14:paraId="762D3929" w14:textId="6178AEC6" w:rsidR="008924BC" w:rsidRPr="00846103" w:rsidRDefault="008924BC" w:rsidP="008924BC">
            <w:pPr>
              <w:pStyle w:val="TableText"/>
            </w:pPr>
            <w:r w:rsidRPr="008924BC">
              <w:t>0.8</w:t>
            </w:r>
          </w:p>
        </w:tc>
        <w:tc>
          <w:tcPr>
            <w:tcW w:w="1508" w:type="dxa"/>
            <w:shd w:val="clear" w:color="auto" w:fill="auto"/>
            <w:noWrap/>
            <w:vAlign w:val="bottom"/>
            <w:hideMark/>
          </w:tcPr>
          <w:p w14:paraId="3FF6CBC9" w14:textId="3F14FDC2" w:rsidR="008924BC" w:rsidRPr="00846103" w:rsidRDefault="008924BC" w:rsidP="008924BC">
            <w:pPr>
              <w:pStyle w:val="TableText"/>
            </w:pPr>
            <w:r w:rsidRPr="008924BC">
              <w:t>0.2</w:t>
            </w:r>
          </w:p>
        </w:tc>
      </w:tr>
      <w:tr w:rsidR="008924BC" w:rsidRPr="00846103" w14:paraId="412727ED" w14:textId="77777777" w:rsidTr="00F21E66">
        <w:trPr>
          <w:trHeight w:val="20"/>
          <w:jc w:val="center"/>
        </w:trPr>
        <w:tc>
          <w:tcPr>
            <w:tcW w:w="4050" w:type="dxa"/>
            <w:shd w:val="clear" w:color="auto" w:fill="auto"/>
            <w:noWrap/>
            <w:vAlign w:val="bottom"/>
            <w:hideMark/>
          </w:tcPr>
          <w:p w14:paraId="608D72E1" w14:textId="11163193" w:rsidR="008924BC" w:rsidRPr="00846103" w:rsidRDefault="008924BC" w:rsidP="008924BC">
            <w:pPr>
              <w:pStyle w:val="TableTextL"/>
              <w:ind w:left="155"/>
            </w:pPr>
            <w:r w:rsidRPr="00846103">
              <w:t>Shrub</w:t>
            </w:r>
            <w:r>
              <w:t xml:space="preserve"> Fuel Type</w:t>
            </w:r>
          </w:p>
        </w:tc>
        <w:tc>
          <w:tcPr>
            <w:tcW w:w="1507" w:type="dxa"/>
            <w:shd w:val="clear" w:color="auto" w:fill="auto"/>
            <w:noWrap/>
            <w:vAlign w:val="bottom"/>
            <w:hideMark/>
          </w:tcPr>
          <w:p w14:paraId="2D7D1893" w14:textId="7DBBBDC8" w:rsidR="008924BC" w:rsidRPr="00846103" w:rsidRDefault="008924BC" w:rsidP="008924BC">
            <w:pPr>
              <w:pStyle w:val="TableText"/>
            </w:pPr>
            <w:r w:rsidRPr="008924BC">
              <w:t>18.0</w:t>
            </w:r>
          </w:p>
        </w:tc>
        <w:tc>
          <w:tcPr>
            <w:tcW w:w="1508" w:type="dxa"/>
            <w:shd w:val="clear" w:color="auto" w:fill="auto"/>
            <w:noWrap/>
            <w:vAlign w:val="bottom"/>
            <w:hideMark/>
          </w:tcPr>
          <w:p w14:paraId="33249C64" w14:textId="2F599461" w:rsidR="008924BC" w:rsidRPr="00846103" w:rsidRDefault="008924BC" w:rsidP="008924BC">
            <w:pPr>
              <w:pStyle w:val="TableText"/>
            </w:pPr>
            <w:r w:rsidRPr="008924BC">
              <w:t>2.6</w:t>
            </w:r>
          </w:p>
        </w:tc>
        <w:tc>
          <w:tcPr>
            <w:tcW w:w="1507" w:type="dxa"/>
            <w:shd w:val="clear" w:color="auto" w:fill="auto"/>
            <w:noWrap/>
            <w:vAlign w:val="bottom"/>
            <w:hideMark/>
          </w:tcPr>
          <w:p w14:paraId="1E906BC4" w14:textId="3DC1794B" w:rsidR="008924BC" w:rsidRPr="00846103" w:rsidRDefault="008924BC" w:rsidP="008924BC">
            <w:pPr>
              <w:pStyle w:val="TableText"/>
            </w:pPr>
            <w:r w:rsidRPr="008924BC">
              <w:t>0.6</w:t>
            </w:r>
          </w:p>
        </w:tc>
        <w:tc>
          <w:tcPr>
            <w:tcW w:w="1508" w:type="dxa"/>
            <w:shd w:val="clear" w:color="auto" w:fill="auto"/>
            <w:noWrap/>
            <w:vAlign w:val="bottom"/>
            <w:hideMark/>
          </w:tcPr>
          <w:p w14:paraId="258303F7" w14:textId="229C80F7" w:rsidR="008924BC" w:rsidRPr="00846103" w:rsidRDefault="008924BC" w:rsidP="008924BC">
            <w:pPr>
              <w:pStyle w:val="TableText"/>
            </w:pPr>
            <w:r w:rsidRPr="008924BC">
              <w:t>0.2</w:t>
            </w:r>
          </w:p>
        </w:tc>
      </w:tr>
      <w:tr w:rsidR="008924BC" w:rsidRPr="00846103" w14:paraId="7ED1F9DC" w14:textId="77777777" w:rsidTr="00F21E66">
        <w:trPr>
          <w:trHeight w:val="20"/>
          <w:jc w:val="center"/>
        </w:trPr>
        <w:tc>
          <w:tcPr>
            <w:tcW w:w="4050" w:type="dxa"/>
            <w:shd w:val="clear" w:color="auto" w:fill="auto"/>
            <w:noWrap/>
            <w:vAlign w:val="bottom"/>
            <w:hideMark/>
          </w:tcPr>
          <w:p w14:paraId="163383EB" w14:textId="7B57A504" w:rsidR="008924BC" w:rsidRPr="00846103" w:rsidRDefault="008924BC" w:rsidP="008924BC">
            <w:pPr>
              <w:pStyle w:val="TableTextL"/>
              <w:ind w:left="155"/>
            </w:pPr>
            <w:r w:rsidRPr="00846103">
              <w:t>Grass</w:t>
            </w:r>
            <w:r>
              <w:t xml:space="preserve"> Fuel Type</w:t>
            </w:r>
          </w:p>
        </w:tc>
        <w:tc>
          <w:tcPr>
            <w:tcW w:w="1507" w:type="dxa"/>
            <w:shd w:val="clear" w:color="auto" w:fill="auto"/>
            <w:noWrap/>
            <w:vAlign w:val="bottom"/>
            <w:hideMark/>
          </w:tcPr>
          <w:p w14:paraId="51589986" w14:textId="17637EC3" w:rsidR="008924BC" w:rsidRPr="00846103" w:rsidRDefault="008924BC" w:rsidP="008924BC">
            <w:pPr>
              <w:pStyle w:val="TableText"/>
            </w:pPr>
            <w:r w:rsidRPr="008924BC">
              <w:t>0.1</w:t>
            </w:r>
          </w:p>
        </w:tc>
        <w:tc>
          <w:tcPr>
            <w:tcW w:w="1508" w:type="dxa"/>
            <w:shd w:val="clear" w:color="auto" w:fill="auto"/>
            <w:noWrap/>
            <w:vAlign w:val="bottom"/>
            <w:hideMark/>
          </w:tcPr>
          <w:p w14:paraId="4F068AA3" w14:textId="06123882" w:rsidR="008924BC" w:rsidRPr="00846103" w:rsidRDefault="008924BC" w:rsidP="008924BC">
            <w:pPr>
              <w:pStyle w:val="TableText"/>
            </w:pPr>
            <w:r w:rsidRPr="008924BC">
              <w:t>0.1</w:t>
            </w:r>
          </w:p>
        </w:tc>
        <w:tc>
          <w:tcPr>
            <w:tcW w:w="1507" w:type="dxa"/>
            <w:shd w:val="clear" w:color="auto" w:fill="auto"/>
            <w:noWrap/>
            <w:vAlign w:val="bottom"/>
            <w:hideMark/>
          </w:tcPr>
          <w:p w14:paraId="49016AB4" w14:textId="3980F986" w:rsidR="008924BC" w:rsidRPr="00846103" w:rsidRDefault="008924BC" w:rsidP="008924BC">
            <w:pPr>
              <w:pStyle w:val="TableText"/>
            </w:pPr>
            <w:r w:rsidRPr="008924BC">
              <w:t>0.05</w:t>
            </w:r>
          </w:p>
        </w:tc>
        <w:tc>
          <w:tcPr>
            <w:tcW w:w="1508" w:type="dxa"/>
            <w:shd w:val="clear" w:color="auto" w:fill="auto"/>
            <w:noWrap/>
            <w:vAlign w:val="bottom"/>
            <w:hideMark/>
          </w:tcPr>
          <w:p w14:paraId="56674CE9" w14:textId="2DE87BA5" w:rsidR="008924BC" w:rsidRPr="00846103" w:rsidRDefault="00590A38" w:rsidP="008924BC">
            <w:pPr>
              <w:pStyle w:val="TableText"/>
            </w:pPr>
            <w:r>
              <w:t>&lt;0.1</w:t>
            </w:r>
          </w:p>
        </w:tc>
      </w:tr>
      <w:tr w:rsidR="00F21E66" w:rsidRPr="00846103" w14:paraId="16E19286" w14:textId="77777777" w:rsidTr="00F21E66">
        <w:trPr>
          <w:trHeight w:val="20"/>
          <w:jc w:val="center"/>
        </w:trPr>
        <w:tc>
          <w:tcPr>
            <w:tcW w:w="4050" w:type="dxa"/>
            <w:tcBorders>
              <w:top w:val="single" w:sz="4" w:space="0" w:color="auto"/>
              <w:bottom w:val="single" w:sz="4" w:space="0" w:color="auto"/>
              <w:right w:val="nil"/>
            </w:tcBorders>
            <w:shd w:val="clear" w:color="auto" w:fill="F2F2F2" w:themeFill="background1" w:themeFillShade="F2"/>
            <w:noWrap/>
            <w:vAlign w:val="bottom"/>
          </w:tcPr>
          <w:p w14:paraId="2AA7FDCA" w14:textId="5994F7E0" w:rsidR="00E05D96" w:rsidRPr="00846103" w:rsidRDefault="00E05D96" w:rsidP="003E5A87">
            <w:pPr>
              <w:pStyle w:val="TableRow"/>
            </w:pPr>
            <w:r w:rsidRPr="00846103">
              <w:t>Prescribed Herbivory</w:t>
            </w:r>
          </w:p>
        </w:tc>
        <w:tc>
          <w:tcPr>
            <w:tcW w:w="1507" w:type="dxa"/>
            <w:tcBorders>
              <w:top w:val="single" w:sz="4" w:space="0" w:color="auto"/>
              <w:left w:val="nil"/>
              <w:bottom w:val="single" w:sz="4" w:space="0" w:color="auto"/>
              <w:right w:val="nil"/>
            </w:tcBorders>
            <w:shd w:val="clear" w:color="auto" w:fill="F2F2F2" w:themeFill="background1" w:themeFillShade="F2"/>
            <w:noWrap/>
            <w:vAlign w:val="bottom"/>
          </w:tcPr>
          <w:p w14:paraId="09C004A1" w14:textId="77777777" w:rsidR="00E05D96" w:rsidRPr="008924BC" w:rsidRDefault="00E05D96" w:rsidP="003E5A87">
            <w:pPr>
              <w:pStyle w:val="TableRow"/>
            </w:pPr>
          </w:p>
        </w:tc>
        <w:tc>
          <w:tcPr>
            <w:tcW w:w="1508" w:type="dxa"/>
            <w:tcBorders>
              <w:top w:val="single" w:sz="4" w:space="0" w:color="auto"/>
              <w:left w:val="nil"/>
              <w:bottom w:val="single" w:sz="4" w:space="0" w:color="auto"/>
              <w:right w:val="nil"/>
            </w:tcBorders>
            <w:shd w:val="clear" w:color="auto" w:fill="F2F2F2" w:themeFill="background1" w:themeFillShade="F2"/>
            <w:noWrap/>
            <w:vAlign w:val="bottom"/>
          </w:tcPr>
          <w:p w14:paraId="267E4A97" w14:textId="77777777" w:rsidR="00E05D96" w:rsidRPr="008924BC" w:rsidRDefault="00E05D96" w:rsidP="003E5A87">
            <w:pPr>
              <w:pStyle w:val="TableRow"/>
            </w:pPr>
          </w:p>
        </w:tc>
        <w:tc>
          <w:tcPr>
            <w:tcW w:w="1507" w:type="dxa"/>
            <w:tcBorders>
              <w:top w:val="single" w:sz="4" w:space="0" w:color="auto"/>
              <w:left w:val="nil"/>
              <w:bottom w:val="single" w:sz="4" w:space="0" w:color="auto"/>
              <w:right w:val="nil"/>
            </w:tcBorders>
            <w:shd w:val="clear" w:color="auto" w:fill="F2F2F2" w:themeFill="background1" w:themeFillShade="F2"/>
            <w:noWrap/>
            <w:vAlign w:val="bottom"/>
          </w:tcPr>
          <w:p w14:paraId="56003BE0" w14:textId="77777777" w:rsidR="00E05D96" w:rsidRPr="008924BC" w:rsidRDefault="00E05D96" w:rsidP="003E5A87">
            <w:pPr>
              <w:pStyle w:val="TableRow"/>
            </w:pPr>
          </w:p>
        </w:tc>
        <w:tc>
          <w:tcPr>
            <w:tcW w:w="1508" w:type="dxa"/>
            <w:tcBorders>
              <w:top w:val="single" w:sz="4" w:space="0" w:color="auto"/>
              <w:left w:val="nil"/>
              <w:bottom w:val="single" w:sz="4" w:space="0" w:color="auto"/>
            </w:tcBorders>
            <w:shd w:val="clear" w:color="auto" w:fill="F2F2F2" w:themeFill="background1" w:themeFillShade="F2"/>
            <w:noWrap/>
            <w:vAlign w:val="bottom"/>
          </w:tcPr>
          <w:p w14:paraId="6205E2FB" w14:textId="77777777" w:rsidR="00E05D96" w:rsidRPr="008924BC" w:rsidRDefault="00E05D96" w:rsidP="003E5A87">
            <w:pPr>
              <w:pStyle w:val="TableRow"/>
            </w:pPr>
          </w:p>
        </w:tc>
      </w:tr>
      <w:tr w:rsidR="008924BC" w:rsidRPr="00846103" w14:paraId="00BE94F5" w14:textId="77777777" w:rsidTr="00F21E66">
        <w:trPr>
          <w:trHeight w:val="20"/>
          <w:jc w:val="center"/>
        </w:trPr>
        <w:tc>
          <w:tcPr>
            <w:tcW w:w="4050" w:type="dxa"/>
            <w:shd w:val="clear" w:color="auto" w:fill="auto"/>
            <w:noWrap/>
            <w:vAlign w:val="bottom"/>
            <w:hideMark/>
          </w:tcPr>
          <w:p w14:paraId="65AC3195" w14:textId="6C629285" w:rsidR="008924BC" w:rsidRPr="00846103" w:rsidRDefault="008924BC" w:rsidP="008924BC">
            <w:pPr>
              <w:pStyle w:val="TableTextL"/>
              <w:ind w:left="155"/>
            </w:pPr>
            <w:r w:rsidRPr="00846103">
              <w:t>Tree</w:t>
            </w:r>
            <w:r>
              <w:t xml:space="preserve"> Fuel Type</w:t>
            </w:r>
          </w:p>
        </w:tc>
        <w:tc>
          <w:tcPr>
            <w:tcW w:w="1507" w:type="dxa"/>
            <w:shd w:val="clear" w:color="auto" w:fill="auto"/>
            <w:noWrap/>
            <w:vAlign w:val="bottom"/>
            <w:hideMark/>
          </w:tcPr>
          <w:p w14:paraId="19F7133F" w14:textId="04659AF9" w:rsidR="008924BC" w:rsidRPr="00846103" w:rsidRDefault="008924BC" w:rsidP="008924BC">
            <w:pPr>
              <w:pStyle w:val="TableText"/>
            </w:pPr>
            <w:r w:rsidRPr="008924BC">
              <w:t>0.4</w:t>
            </w:r>
          </w:p>
        </w:tc>
        <w:tc>
          <w:tcPr>
            <w:tcW w:w="1508" w:type="dxa"/>
            <w:shd w:val="clear" w:color="auto" w:fill="auto"/>
            <w:noWrap/>
            <w:vAlign w:val="bottom"/>
            <w:hideMark/>
          </w:tcPr>
          <w:p w14:paraId="36AA23DD" w14:textId="47790A26" w:rsidR="008924BC" w:rsidRPr="00846103" w:rsidRDefault="008924BC" w:rsidP="008924BC">
            <w:pPr>
              <w:pStyle w:val="TableText"/>
            </w:pPr>
            <w:r w:rsidRPr="008924BC">
              <w:t>0.9</w:t>
            </w:r>
          </w:p>
        </w:tc>
        <w:tc>
          <w:tcPr>
            <w:tcW w:w="1507" w:type="dxa"/>
            <w:shd w:val="clear" w:color="auto" w:fill="auto"/>
            <w:noWrap/>
            <w:vAlign w:val="bottom"/>
            <w:hideMark/>
          </w:tcPr>
          <w:p w14:paraId="382EB62B" w14:textId="218D2903" w:rsidR="008924BC" w:rsidRPr="00846103" w:rsidRDefault="008924BC" w:rsidP="008924BC">
            <w:pPr>
              <w:pStyle w:val="TableText"/>
            </w:pPr>
            <w:r w:rsidRPr="008924BC">
              <w:t>0.1</w:t>
            </w:r>
          </w:p>
        </w:tc>
        <w:tc>
          <w:tcPr>
            <w:tcW w:w="1508" w:type="dxa"/>
            <w:shd w:val="clear" w:color="auto" w:fill="auto"/>
            <w:noWrap/>
            <w:vAlign w:val="bottom"/>
            <w:hideMark/>
          </w:tcPr>
          <w:p w14:paraId="730F6423" w14:textId="0C5660EF" w:rsidR="008924BC" w:rsidRPr="00846103" w:rsidRDefault="008924BC" w:rsidP="008924BC">
            <w:pPr>
              <w:pStyle w:val="TableText"/>
            </w:pPr>
            <w:r w:rsidRPr="008924BC">
              <w:t>0.1</w:t>
            </w:r>
          </w:p>
        </w:tc>
      </w:tr>
      <w:tr w:rsidR="008924BC" w:rsidRPr="00846103" w14:paraId="4E831B1E" w14:textId="77777777" w:rsidTr="00F21E66">
        <w:trPr>
          <w:trHeight w:val="20"/>
          <w:jc w:val="center"/>
        </w:trPr>
        <w:tc>
          <w:tcPr>
            <w:tcW w:w="4050" w:type="dxa"/>
            <w:shd w:val="clear" w:color="auto" w:fill="auto"/>
            <w:noWrap/>
            <w:vAlign w:val="bottom"/>
            <w:hideMark/>
          </w:tcPr>
          <w:p w14:paraId="2A652BDC" w14:textId="1C9BF320" w:rsidR="008924BC" w:rsidRPr="00846103" w:rsidRDefault="008924BC" w:rsidP="008924BC">
            <w:pPr>
              <w:pStyle w:val="TableTextL"/>
              <w:ind w:left="155"/>
            </w:pPr>
            <w:r w:rsidRPr="00846103">
              <w:t>Shrub</w:t>
            </w:r>
            <w:r>
              <w:t xml:space="preserve"> Fuel Type</w:t>
            </w:r>
          </w:p>
        </w:tc>
        <w:tc>
          <w:tcPr>
            <w:tcW w:w="1507" w:type="dxa"/>
            <w:shd w:val="clear" w:color="auto" w:fill="auto"/>
            <w:noWrap/>
            <w:vAlign w:val="bottom"/>
            <w:hideMark/>
          </w:tcPr>
          <w:p w14:paraId="06505AE3" w14:textId="42977FF1" w:rsidR="008924BC" w:rsidRPr="00846103" w:rsidRDefault="008924BC" w:rsidP="008924BC">
            <w:pPr>
              <w:pStyle w:val="TableText"/>
            </w:pPr>
            <w:r w:rsidRPr="008924BC">
              <w:t>0.8</w:t>
            </w:r>
          </w:p>
        </w:tc>
        <w:tc>
          <w:tcPr>
            <w:tcW w:w="1508" w:type="dxa"/>
            <w:shd w:val="clear" w:color="auto" w:fill="auto"/>
            <w:noWrap/>
            <w:vAlign w:val="bottom"/>
            <w:hideMark/>
          </w:tcPr>
          <w:p w14:paraId="53BB6BC7" w14:textId="2087DF8F" w:rsidR="008924BC" w:rsidRPr="00846103" w:rsidRDefault="008924BC" w:rsidP="008924BC">
            <w:pPr>
              <w:pStyle w:val="TableText"/>
            </w:pPr>
            <w:r w:rsidRPr="008924BC">
              <w:t>1.8</w:t>
            </w:r>
          </w:p>
        </w:tc>
        <w:tc>
          <w:tcPr>
            <w:tcW w:w="1507" w:type="dxa"/>
            <w:shd w:val="clear" w:color="auto" w:fill="auto"/>
            <w:noWrap/>
            <w:vAlign w:val="bottom"/>
            <w:hideMark/>
          </w:tcPr>
          <w:p w14:paraId="5822810E" w14:textId="43DF6E14" w:rsidR="008924BC" w:rsidRPr="00846103" w:rsidRDefault="008924BC" w:rsidP="008924BC">
            <w:pPr>
              <w:pStyle w:val="TableText"/>
            </w:pPr>
            <w:r w:rsidRPr="008924BC">
              <w:t>0.2</w:t>
            </w:r>
          </w:p>
        </w:tc>
        <w:tc>
          <w:tcPr>
            <w:tcW w:w="1508" w:type="dxa"/>
            <w:shd w:val="clear" w:color="auto" w:fill="auto"/>
            <w:noWrap/>
            <w:vAlign w:val="bottom"/>
            <w:hideMark/>
          </w:tcPr>
          <w:p w14:paraId="3EBDCA75" w14:textId="1ADA0E6A" w:rsidR="008924BC" w:rsidRPr="00846103" w:rsidRDefault="008924BC" w:rsidP="008924BC">
            <w:pPr>
              <w:pStyle w:val="TableText"/>
            </w:pPr>
            <w:r w:rsidRPr="008924BC">
              <w:t>0.2</w:t>
            </w:r>
          </w:p>
        </w:tc>
      </w:tr>
      <w:tr w:rsidR="008924BC" w:rsidRPr="00846103" w14:paraId="73645C73" w14:textId="77777777" w:rsidTr="00F21E66">
        <w:trPr>
          <w:trHeight w:val="20"/>
          <w:jc w:val="center"/>
        </w:trPr>
        <w:tc>
          <w:tcPr>
            <w:tcW w:w="4050" w:type="dxa"/>
            <w:shd w:val="clear" w:color="auto" w:fill="auto"/>
            <w:noWrap/>
            <w:vAlign w:val="bottom"/>
            <w:hideMark/>
          </w:tcPr>
          <w:p w14:paraId="16B41DDA" w14:textId="25CAE160" w:rsidR="008924BC" w:rsidRPr="00846103" w:rsidRDefault="008924BC" w:rsidP="008924BC">
            <w:pPr>
              <w:pStyle w:val="TableTextL"/>
              <w:ind w:left="155"/>
            </w:pPr>
            <w:r w:rsidRPr="00846103">
              <w:t>Grass</w:t>
            </w:r>
            <w:r>
              <w:t xml:space="preserve"> Fuel Type</w:t>
            </w:r>
          </w:p>
        </w:tc>
        <w:tc>
          <w:tcPr>
            <w:tcW w:w="1507" w:type="dxa"/>
            <w:shd w:val="clear" w:color="auto" w:fill="auto"/>
            <w:noWrap/>
            <w:vAlign w:val="bottom"/>
            <w:hideMark/>
          </w:tcPr>
          <w:p w14:paraId="16E9E068" w14:textId="37D0221D" w:rsidR="008924BC" w:rsidRPr="00846103" w:rsidRDefault="008924BC" w:rsidP="008924BC">
            <w:pPr>
              <w:pStyle w:val="TableText"/>
            </w:pPr>
            <w:r w:rsidRPr="008924BC">
              <w:t>0.8</w:t>
            </w:r>
          </w:p>
        </w:tc>
        <w:tc>
          <w:tcPr>
            <w:tcW w:w="1508" w:type="dxa"/>
            <w:shd w:val="clear" w:color="auto" w:fill="auto"/>
            <w:noWrap/>
            <w:vAlign w:val="bottom"/>
            <w:hideMark/>
          </w:tcPr>
          <w:p w14:paraId="2552AFB4" w14:textId="570053E9" w:rsidR="008924BC" w:rsidRPr="00846103" w:rsidRDefault="008924BC" w:rsidP="008924BC">
            <w:pPr>
              <w:pStyle w:val="TableText"/>
            </w:pPr>
            <w:r w:rsidRPr="008924BC">
              <w:t>1.8</w:t>
            </w:r>
          </w:p>
        </w:tc>
        <w:tc>
          <w:tcPr>
            <w:tcW w:w="1507" w:type="dxa"/>
            <w:shd w:val="clear" w:color="auto" w:fill="auto"/>
            <w:noWrap/>
            <w:vAlign w:val="bottom"/>
            <w:hideMark/>
          </w:tcPr>
          <w:p w14:paraId="702B4F86" w14:textId="0AD7D435" w:rsidR="008924BC" w:rsidRPr="00846103" w:rsidRDefault="008924BC" w:rsidP="008924BC">
            <w:pPr>
              <w:pStyle w:val="TableText"/>
            </w:pPr>
            <w:r w:rsidRPr="008924BC">
              <w:t>0.2</w:t>
            </w:r>
          </w:p>
        </w:tc>
        <w:tc>
          <w:tcPr>
            <w:tcW w:w="1508" w:type="dxa"/>
            <w:shd w:val="clear" w:color="auto" w:fill="auto"/>
            <w:noWrap/>
            <w:vAlign w:val="bottom"/>
            <w:hideMark/>
          </w:tcPr>
          <w:p w14:paraId="4896BE4A" w14:textId="09169E51" w:rsidR="008924BC" w:rsidRPr="00846103" w:rsidRDefault="008924BC" w:rsidP="008924BC">
            <w:pPr>
              <w:pStyle w:val="TableText"/>
            </w:pPr>
            <w:r w:rsidRPr="008924BC">
              <w:t>0.2</w:t>
            </w:r>
          </w:p>
        </w:tc>
      </w:tr>
      <w:tr w:rsidR="00F21E66" w:rsidRPr="00846103" w14:paraId="7CE9A691" w14:textId="77777777" w:rsidTr="00F21E66">
        <w:trPr>
          <w:trHeight w:val="20"/>
          <w:jc w:val="center"/>
        </w:trPr>
        <w:tc>
          <w:tcPr>
            <w:tcW w:w="4050" w:type="dxa"/>
            <w:tcBorders>
              <w:top w:val="single" w:sz="4" w:space="0" w:color="auto"/>
              <w:bottom w:val="single" w:sz="4" w:space="0" w:color="auto"/>
              <w:right w:val="nil"/>
            </w:tcBorders>
            <w:shd w:val="clear" w:color="auto" w:fill="F2F2F2" w:themeFill="background1" w:themeFillShade="F2"/>
            <w:noWrap/>
            <w:vAlign w:val="bottom"/>
          </w:tcPr>
          <w:p w14:paraId="5048A948" w14:textId="4825F1FA" w:rsidR="00E05D96" w:rsidRPr="00846103" w:rsidRDefault="00E05D96" w:rsidP="003E5A87">
            <w:pPr>
              <w:pStyle w:val="TableRow"/>
            </w:pPr>
            <w:r w:rsidRPr="00846103">
              <w:t>Herbicide Application</w:t>
            </w:r>
          </w:p>
        </w:tc>
        <w:tc>
          <w:tcPr>
            <w:tcW w:w="1507" w:type="dxa"/>
            <w:tcBorders>
              <w:top w:val="single" w:sz="4" w:space="0" w:color="auto"/>
              <w:left w:val="nil"/>
              <w:bottom w:val="single" w:sz="4" w:space="0" w:color="auto"/>
              <w:right w:val="nil"/>
            </w:tcBorders>
            <w:shd w:val="clear" w:color="auto" w:fill="F2F2F2" w:themeFill="background1" w:themeFillShade="F2"/>
            <w:noWrap/>
            <w:vAlign w:val="bottom"/>
          </w:tcPr>
          <w:p w14:paraId="0E931E0E" w14:textId="77777777" w:rsidR="00E05D96" w:rsidRPr="008924BC" w:rsidRDefault="00E05D96" w:rsidP="003E5A87">
            <w:pPr>
              <w:pStyle w:val="TableRow"/>
            </w:pPr>
          </w:p>
        </w:tc>
        <w:tc>
          <w:tcPr>
            <w:tcW w:w="1508" w:type="dxa"/>
            <w:tcBorders>
              <w:top w:val="single" w:sz="4" w:space="0" w:color="auto"/>
              <w:left w:val="nil"/>
              <w:bottom w:val="single" w:sz="4" w:space="0" w:color="auto"/>
              <w:right w:val="nil"/>
            </w:tcBorders>
            <w:shd w:val="clear" w:color="auto" w:fill="F2F2F2" w:themeFill="background1" w:themeFillShade="F2"/>
            <w:noWrap/>
            <w:vAlign w:val="bottom"/>
          </w:tcPr>
          <w:p w14:paraId="3CF4ABF8" w14:textId="77777777" w:rsidR="00E05D96" w:rsidRPr="008924BC" w:rsidRDefault="00E05D96" w:rsidP="003E5A87">
            <w:pPr>
              <w:pStyle w:val="TableRow"/>
            </w:pPr>
          </w:p>
        </w:tc>
        <w:tc>
          <w:tcPr>
            <w:tcW w:w="1507" w:type="dxa"/>
            <w:tcBorders>
              <w:top w:val="single" w:sz="4" w:space="0" w:color="auto"/>
              <w:left w:val="nil"/>
              <w:bottom w:val="single" w:sz="4" w:space="0" w:color="auto"/>
              <w:right w:val="nil"/>
            </w:tcBorders>
            <w:shd w:val="clear" w:color="auto" w:fill="F2F2F2" w:themeFill="background1" w:themeFillShade="F2"/>
            <w:noWrap/>
            <w:vAlign w:val="bottom"/>
          </w:tcPr>
          <w:p w14:paraId="11761B5E" w14:textId="77777777" w:rsidR="00E05D96" w:rsidRPr="008924BC" w:rsidRDefault="00E05D96" w:rsidP="003E5A87">
            <w:pPr>
              <w:pStyle w:val="TableRow"/>
            </w:pPr>
          </w:p>
        </w:tc>
        <w:tc>
          <w:tcPr>
            <w:tcW w:w="1508" w:type="dxa"/>
            <w:tcBorders>
              <w:top w:val="single" w:sz="4" w:space="0" w:color="auto"/>
              <w:left w:val="nil"/>
              <w:bottom w:val="single" w:sz="4" w:space="0" w:color="auto"/>
            </w:tcBorders>
            <w:shd w:val="clear" w:color="auto" w:fill="F2F2F2" w:themeFill="background1" w:themeFillShade="F2"/>
            <w:noWrap/>
            <w:vAlign w:val="bottom"/>
          </w:tcPr>
          <w:p w14:paraId="7B04A98E" w14:textId="77777777" w:rsidR="00E05D96" w:rsidRPr="008924BC" w:rsidRDefault="00E05D96" w:rsidP="003E5A87">
            <w:pPr>
              <w:pStyle w:val="TableRow"/>
            </w:pPr>
          </w:p>
        </w:tc>
      </w:tr>
      <w:tr w:rsidR="008924BC" w:rsidRPr="00846103" w14:paraId="3C88260F" w14:textId="77777777" w:rsidTr="00F21E66">
        <w:trPr>
          <w:trHeight w:val="20"/>
          <w:jc w:val="center"/>
        </w:trPr>
        <w:tc>
          <w:tcPr>
            <w:tcW w:w="4050" w:type="dxa"/>
            <w:shd w:val="clear" w:color="auto" w:fill="auto"/>
            <w:noWrap/>
            <w:vAlign w:val="bottom"/>
            <w:hideMark/>
          </w:tcPr>
          <w:p w14:paraId="231BA6EC" w14:textId="7334F60A" w:rsidR="008924BC" w:rsidRPr="00846103" w:rsidRDefault="008924BC" w:rsidP="008924BC">
            <w:pPr>
              <w:pStyle w:val="TableTextL"/>
              <w:ind w:left="155"/>
            </w:pPr>
            <w:r w:rsidRPr="00846103">
              <w:t>Tree</w:t>
            </w:r>
            <w:r>
              <w:t xml:space="preserve"> Fuel Type</w:t>
            </w:r>
          </w:p>
        </w:tc>
        <w:tc>
          <w:tcPr>
            <w:tcW w:w="1507" w:type="dxa"/>
            <w:shd w:val="clear" w:color="auto" w:fill="auto"/>
            <w:noWrap/>
            <w:vAlign w:val="bottom"/>
            <w:hideMark/>
          </w:tcPr>
          <w:p w14:paraId="76DF61FB" w14:textId="5FEAD47C" w:rsidR="008924BC" w:rsidRPr="00846103" w:rsidRDefault="008924BC" w:rsidP="008924BC">
            <w:pPr>
              <w:pStyle w:val="TableText"/>
            </w:pPr>
            <w:r w:rsidRPr="008924BC">
              <w:t>0.5</w:t>
            </w:r>
          </w:p>
        </w:tc>
        <w:tc>
          <w:tcPr>
            <w:tcW w:w="1508" w:type="dxa"/>
            <w:shd w:val="clear" w:color="auto" w:fill="auto"/>
            <w:noWrap/>
            <w:vAlign w:val="bottom"/>
            <w:hideMark/>
          </w:tcPr>
          <w:p w14:paraId="72BEC780" w14:textId="79E37F5C" w:rsidR="008924BC" w:rsidRPr="00846103" w:rsidRDefault="008924BC" w:rsidP="008924BC">
            <w:pPr>
              <w:pStyle w:val="TableText"/>
            </w:pPr>
            <w:r w:rsidRPr="008924BC">
              <w:t>1.6</w:t>
            </w:r>
          </w:p>
        </w:tc>
        <w:tc>
          <w:tcPr>
            <w:tcW w:w="1507" w:type="dxa"/>
            <w:shd w:val="clear" w:color="auto" w:fill="auto"/>
            <w:noWrap/>
            <w:vAlign w:val="bottom"/>
            <w:hideMark/>
          </w:tcPr>
          <w:p w14:paraId="1BF87A4E" w14:textId="5351B353" w:rsidR="008924BC" w:rsidRPr="00846103" w:rsidRDefault="008924BC" w:rsidP="008924BC">
            <w:pPr>
              <w:pStyle w:val="TableText"/>
            </w:pPr>
            <w:r w:rsidRPr="008924BC">
              <w:t>0.2</w:t>
            </w:r>
          </w:p>
        </w:tc>
        <w:tc>
          <w:tcPr>
            <w:tcW w:w="1508" w:type="dxa"/>
            <w:shd w:val="clear" w:color="auto" w:fill="auto"/>
            <w:noWrap/>
            <w:vAlign w:val="bottom"/>
            <w:hideMark/>
          </w:tcPr>
          <w:p w14:paraId="2678BF1B" w14:textId="7F09007C" w:rsidR="008924BC" w:rsidRPr="00846103" w:rsidRDefault="008924BC" w:rsidP="008924BC">
            <w:pPr>
              <w:pStyle w:val="TableText"/>
            </w:pPr>
            <w:r w:rsidRPr="008924BC">
              <w:t>0.1</w:t>
            </w:r>
          </w:p>
        </w:tc>
      </w:tr>
      <w:tr w:rsidR="008924BC" w:rsidRPr="00846103" w14:paraId="7BFBD1D0" w14:textId="77777777" w:rsidTr="00F21E66">
        <w:trPr>
          <w:trHeight w:val="20"/>
          <w:jc w:val="center"/>
        </w:trPr>
        <w:tc>
          <w:tcPr>
            <w:tcW w:w="4050" w:type="dxa"/>
            <w:tcBorders>
              <w:bottom w:val="single" w:sz="4" w:space="0" w:color="auto"/>
            </w:tcBorders>
            <w:shd w:val="clear" w:color="auto" w:fill="auto"/>
            <w:noWrap/>
            <w:vAlign w:val="bottom"/>
            <w:hideMark/>
          </w:tcPr>
          <w:p w14:paraId="4E28D8D4" w14:textId="51CFD97D" w:rsidR="008924BC" w:rsidRPr="00846103" w:rsidRDefault="008924BC" w:rsidP="008924BC">
            <w:pPr>
              <w:pStyle w:val="TableTextL"/>
              <w:ind w:left="155"/>
            </w:pPr>
            <w:r w:rsidRPr="00846103">
              <w:t>Shrub</w:t>
            </w:r>
            <w:r>
              <w:t xml:space="preserve"> Fuel Type</w:t>
            </w:r>
          </w:p>
        </w:tc>
        <w:tc>
          <w:tcPr>
            <w:tcW w:w="1507" w:type="dxa"/>
            <w:tcBorders>
              <w:bottom w:val="single" w:sz="4" w:space="0" w:color="auto"/>
            </w:tcBorders>
            <w:shd w:val="clear" w:color="auto" w:fill="auto"/>
            <w:noWrap/>
            <w:vAlign w:val="bottom"/>
            <w:hideMark/>
          </w:tcPr>
          <w:p w14:paraId="10130C85" w14:textId="05CA9A53" w:rsidR="008924BC" w:rsidRPr="00846103" w:rsidRDefault="008924BC" w:rsidP="008924BC">
            <w:pPr>
              <w:pStyle w:val="TableText"/>
            </w:pPr>
            <w:r w:rsidRPr="008924BC">
              <w:t>0.3</w:t>
            </w:r>
          </w:p>
        </w:tc>
        <w:tc>
          <w:tcPr>
            <w:tcW w:w="1508" w:type="dxa"/>
            <w:tcBorders>
              <w:bottom w:val="single" w:sz="4" w:space="0" w:color="auto"/>
            </w:tcBorders>
            <w:shd w:val="clear" w:color="auto" w:fill="auto"/>
            <w:noWrap/>
            <w:vAlign w:val="bottom"/>
            <w:hideMark/>
          </w:tcPr>
          <w:p w14:paraId="45D3F314" w14:textId="34E72B88" w:rsidR="008924BC" w:rsidRPr="00846103" w:rsidRDefault="008924BC" w:rsidP="008924BC">
            <w:pPr>
              <w:pStyle w:val="TableText"/>
            </w:pPr>
            <w:r w:rsidRPr="008924BC">
              <w:t>0.8</w:t>
            </w:r>
          </w:p>
        </w:tc>
        <w:tc>
          <w:tcPr>
            <w:tcW w:w="1507" w:type="dxa"/>
            <w:tcBorders>
              <w:bottom w:val="single" w:sz="4" w:space="0" w:color="auto"/>
            </w:tcBorders>
            <w:shd w:val="clear" w:color="auto" w:fill="auto"/>
            <w:noWrap/>
            <w:vAlign w:val="bottom"/>
            <w:hideMark/>
          </w:tcPr>
          <w:p w14:paraId="6F2118E9" w14:textId="2C27EBB6" w:rsidR="008924BC" w:rsidRPr="00846103" w:rsidRDefault="008924BC" w:rsidP="008924BC">
            <w:pPr>
              <w:pStyle w:val="TableText"/>
            </w:pPr>
            <w:r w:rsidRPr="008924BC">
              <w:t>0.1</w:t>
            </w:r>
          </w:p>
        </w:tc>
        <w:tc>
          <w:tcPr>
            <w:tcW w:w="1508" w:type="dxa"/>
            <w:tcBorders>
              <w:bottom w:val="single" w:sz="4" w:space="0" w:color="auto"/>
            </w:tcBorders>
            <w:shd w:val="clear" w:color="auto" w:fill="auto"/>
            <w:noWrap/>
            <w:vAlign w:val="bottom"/>
            <w:hideMark/>
          </w:tcPr>
          <w:p w14:paraId="63C589E5" w14:textId="61B4A289" w:rsidR="008924BC" w:rsidRPr="00846103" w:rsidRDefault="008924BC" w:rsidP="008924BC">
            <w:pPr>
              <w:pStyle w:val="TableText"/>
            </w:pPr>
            <w:r w:rsidRPr="008924BC">
              <w:t>0.1</w:t>
            </w:r>
          </w:p>
        </w:tc>
      </w:tr>
      <w:tr w:rsidR="008924BC" w:rsidRPr="00846103" w14:paraId="47D7FCA6" w14:textId="77777777" w:rsidTr="00F21E66">
        <w:trPr>
          <w:trHeight w:val="20"/>
          <w:jc w:val="center"/>
        </w:trPr>
        <w:tc>
          <w:tcPr>
            <w:tcW w:w="4050" w:type="dxa"/>
            <w:tcBorders>
              <w:top w:val="single" w:sz="4" w:space="0" w:color="auto"/>
              <w:bottom w:val="single" w:sz="4" w:space="0" w:color="auto"/>
            </w:tcBorders>
            <w:shd w:val="clear" w:color="auto" w:fill="auto"/>
            <w:noWrap/>
            <w:vAlign w:val="bottom"/>
            <w:hideMark/>
          </w:tcPr>
          <w:p w14:paraId="06AD1120" w14:textId="2DD773FE" w:rsidR="008924BC" w:rsidRPr="00846103" w:rsidRDefault="008924BC" w:rsidP="008924BC">
            <w:pPr>
              <w:pStyle w:val="TableTextL"/>
              <w:ind w:left="155"/>
            </w:pPr>
            <w:r w:rsidRPr="00846103">
              <w:t>Grass</w:t>
            </w:r>
            <w:r>
              <w:t xml:space="preserve"> Fuel Type</w:t>
            </w:r>
          </w:p>
        </w:tc>
        <w:tc>
          <w:tcPr>
            <w:tcW w:w="1507" w:type="dxa"/>
            <w:tcBorders>
              <w:top w:val="single" w:sz="4" w:space="0" w:color="auto"/>
              <w:bottom w:val="single" w:sz="4" w:space="0" w:color="auto"/>
            </w:tcBorders>
            <w:shd w:val="clear" w:color="auto" w:fill="auto"/>
            <w:noWrap/>
            <w:vAlign w:val="bottom"/>
            <w:hideMark/>
          </w:tcPr>
          <w:p w14:paraId="3876B624" w14:textId="5B767D13" w:rsidR="008924BC" w:rsidRPr="00846103" w:rsidRDefault="008924BC" w:rsidP="008924BC">
            <w:pPr>
              <w:pStyle w:val="TableText"/>
            </w:pPr>
            <w:r w:rsidRPr="008924BC">
              <w:t>0.1</w:t>
            </w:r>
          </w:p>
        </w:tc>
        <w:tc>
          <w:tcPr>
            <w:tcW w:w="1508" w:type="dxa"/>
            <w:tcBorders>
              <w:top w:val="single" w:sz="4" w:space="0" w:color="auto"/>
              <w:bottom w:val="single" w:sz="4" w:space="0" w:color="auto"/>
            </w:tcBorders>
            <w:shd w:val="clear" w:color="auto" w:fill="auto"/>
            <w:noWrap/>
            <w:vAlign w:val="bottom"/>
            <w:hideMark/>
          </w:tcPr>
          <w:p w14:paraId="3D3661CA" w14:textId="54269C56" w:rsidR="008924BC" w:rsidRPr="00846103" w:rsidRDefault="008924BC" w:rsidP="008924BC">
            <w:pPr>
              <w:pStyle w:val="TableText"/>
            </w:pPr>
            <w:r w:rsidRPr="008924BC">
              <w:t>0.2</w:t>
            </w:r>
          </w:p>
        </w:tc>
        <w:tc>
          <w:tcPr>
            <w:tcW w:w="1507" w:type="dxa"/>
            <w:tcBorders>
              <w:top w:val="single" w:sz="4" w:space="0" w:color="auto"/>
              <w:bottom w:val="single" w:sz="4" w:space="0" w:color="auto"/>
            </w:tcBorders>
            <w:shd w:val="clear" w:color="auto" w:fill="auto"/>
            <w:noWrap/>
            <w:vAlign w:val="bottom"/>
            <w:hideMark/>
          </w:tcPr>
          <w:p w14:paraId="6A524CA2" w14:textId="46997D0F" w:rsidR="008924BC" w:rsidRPr="00846103" w:rsidRDefault="00590A38" w:rsidP="008924BC">
            <w:pPr>
              <w:pStyle w:val="TableText"/>
            </w:pPr>
            <w:r>
              <w:t>&lt;0.1</w:t>
            </w:r>
          </w:p>
        </w:tc>
        <w:tc>
          <w:tcPr>
            <w:tcW w:w="1508" w:type="dxa"/>
            <w:tcBorders>
              <w:top w:val="single" w:sz="4" w:space="0" w:color="auto"/>
              <w:bottom w:val="single" w:sz="4" w:space="0" w:color="auto"/>
            </w:tcBorders>
            <w:shd w:val="clear" w:color="auto" w:fill="auto"/>
            <w:noWrap/>
            <w:vAlign w:val="bottom"/>
            <w:hideMark/>
          </w:tcPr>
          <w:p w14:paraId="7252E347" w14:textId="3514DF38" w:rsidR="008924BC" w:rsidRPr="00846103" w:rsidRDefault="00590A38" w:rsidP="008924BC">
            <w:pPr>
              <w:pStyle w:val="TableText"/>
            </w:pPr>
            <w:r>
              <w:t>&lt;0.1</w:t>
            </w:r>
          </w:p>
        </w:tc>
      </w:tr>
    </w:tbl>
    <w:p w14:paraId="6BDEF5B7" w14:textId="77777777" w:rsidR="00335804" w:rsidRDefault="00335804" w:rsidP="005A4B7B">
      <w:pPr>
        <w:pStyle w:val="TableSource"/>
      </w:pPr>
      <w:r w:rsidRPr="005A0DFC">
        <w:t xml:space="preserve">Notes: </w:t>
      </w:r>
      <w:proofErr w:type="spellStart"/>
      <w:r w:rsidRPr="005A0DFC">
        <w:t>lb</w:t>
      </w:r>
      <w:proofErr w:type="spellEnd"/>
      <w:r w:rsidRPr="005A0DFC">
        <w:t>/acre = pounds per acre; ROG = reactive organic gases; PM</w:t>
      </w:r>
      <w:r w:rsidRPr="005A0DFC">
        <w:rPr>
          <w:vertAlign w:val="subscript"/>
        </w:rPr>
        <w:t>10</w:t>
      </w:r>
      <w:r>
        <w:t xml:space="preserve"> </w:t>
      </w:r>
      <w:r w:rsidRPr="005A0DFC">
        <w:t xml:space="preserve">= </w:t>
      </w:r>
      <w:r>
        <w:t>respirable</w:t>
      </w:r>
      <w:r w:rsidRPr="005A0DFC">
        <w:t xml:space="preserve"> particulate matter with an aerodynamic diameter of 10 microns or less; PM</w:t>
      </w:r>
      <w:r w:rsidRPr="005A0DFC">
        <w:rPr>
          <w:vertAlign w:val="subscript"/>
        </w:rPr>
        <w:t>2.5</w:t>
      </w:r>
      <w:r w:rsidRPr="005A0DFC">
        <w:t xml:space="preserve"> = fine particulate matter with an aerodynamic diameter of 2.5 microns or less; NO</w:t>
      </w:r>
      <w:r>
        <w:rPr>
          <w:vertAlign w:val="subscript"/>
        </w:rPr>
        <w:t>X</w:t>
      </w:r>
      <w:r w:rsidRPr="005A0DFC">
        <w:t xml:space="preserve"> = oxides of nitrogen</w:t>
      </w:r>
      <w:r w:rsidRPr="00D11F03">
        <w:t xml:space="preserve">. </w:t>
      </w:r>
    </w:p>
    <w:p w14:paraId="63854F2F" w14:textId="6A3084C6" w:rsidR="00335804" w:rsidRPr="00D11F03" w:rsidRDefault="00335804" w:rsidP="00335804">
      <w:pPr>
        <w:pStyle w:val="TableSource"/>
        <w:ind w:left="180" w:hanging="180"/>
        <w:rPr>
          <w:u w:val="single"/>
        </w:rPr>
      </w:pPr>
      <w:r w:rsidRPr="00D11F03">
        <w:rPr>
          <w:u w:val="single"/>
          <w:vertAlign w:val="superscript"/>
        </w:rPr>
        <w:t>1</w:t>
      </w:r>
      <w:r w:rsidRPr="00D11F03">
        <w:rPr>
          <w:u w:val="single"/>
        </w:rPr>
        <w:t xml:space="preserve"> </w:t>
      </w:r>
      <w:bookmarkStart w:id="79" w:name="_Hlk18921935"/>
      <w:r>
        <w:rPr>
          <w:u w:val="single"/>
        </w:rPr>
        <w:tab/>
      </w:r>
      <w:r w:rsidRPr="00D11F03">
        <w:rPr>
          <w:u w:val="single"/>
        </w:rPr>
        <w:t xml:space="preserve">The emissions estimates for prescribed burning, which may consist of broadcast burning or pile burning, consist of the emissions that would be generated by the combustion of vegetative fuels. Other treatment activities may be performed on the same lands prior to broadcast burning or pile burning </w:t>
      </w:r>
      <w:bookmarkEnd w:id="79"/>
      <w:r w:rsidRPr="00D11F03">
        <w:rPr>
          <w:u w:val="single"/>
        </w:rPr>
        <w:t xml:space="preserve">being conducted. </w:t>
      </w:r>
    </w:p>
    <w:p w14:paraId="0C3BB8E3" w14:textId="77777777" w:rsidR="00335804" w:rsidRPr="005A0DFC" w:rsidRDefault="00335804" w:rsidP="005A4B7B">
      <w:pPr>
        <w:pStyle w:val="TableSource"/>
      </w:pPr>
      <w:r w:rsidRPr="005A0DFC">
        <w:t xml:space="preserve">Source: See </w:t>
      </w:r>
      <w:r w:rsidRPr="009D5745">
        <w:t>Appendix AQ-1 for detailed</w:t>
      </w:r>
      <w:r w:rsidRPr="005A0DFC">
        <w:t xml:space="preserve"> calculations</w:t>
      </w:r>
    </w:p>
    <w:bookmarkEnd w:id="74"/>
    <w:p w14:paraId="338207AA" w14:textId="77777777" w:rsidR="008F3011" w:rsidRPr="00FD5BE6" w:rsidRDefault="008F3011" w:rsidP="008F3011">
      <w:pPr>
        <w:pStyle w:val="Heading6"/>
      </w:pPr>
      <w:r w:rsidRPr="00FD5BE6">
        <w:t>Regional Air Quality</w:t>
      </w:r>
    </w:p>
    <w:p w14:paraId="0D28E4D8" w14:textId="4B670891" w:rsidR="0078274B" w:rsidRDefault="000936D7" w:rsidP="00F45FE5">
      <w:pPr>
        <w:pStyle w:val="BodyText"/>
      </w:pPr>
      <w:r>
        <w:t xml:space="preserve">As described in Section 3.4-1, </w:t>
      </w:r>
      <w:r w:rsidR="00670EB0">
        <w:t>“</w:t>
      </w:r>
      <w:r>
        <w:t>Regulatory Setting,</w:t>
      </w:r>
      <w:r w:rsidR="00670EB0">
        <w:t>”</w:t>
      </w:r>
      <w:r>
        <w:t xml:space="preserve"> a</w:t>
      </w:r>
      <w:r w:rsidR="0078274B">
        <w:t xml:space="preserve">ir districts recommend mass emission thresholds </w:t>
      </w:r>
      <w:r w:rsidR="00CE3A33">
        <w:t xml:space="preserve">to </w:t>
      </w:r>
      <w:r w:rsidR="00CD3880">
        <w:t xml:space="preserve">determine </w:t>
      </w:r>
      <w:r w:rsidR="0078274B">
        <w:t xml:space="preserve">whether a project would </w:t>
      </w:r>
      <w:r w:rsidR="0078274B" w:rsidRPr="00803BA6">
        <w:t>result</w:t>
      </w:r>
      <w:r w:rsidR="0078274B">
        <w:t xml:space="preserve"> in a </w:t>
      </w:r>
      <w:r w:rsidR="0078274B" w:rsidRPr="00D3358B">
        <w:t xml:space="preserve">cumulatively considerable net increase of any criteria pollutant </w:t>
      </w:r>
      <w:r w:rsidR="00CD3880">
        <w:t xml:space="preserve">or precursor that would exceed, or contribute to </w:t>
      </w:r>
      <w:r w:rsidR="00B34CA1">
        <w:t>the nonattainment status</w:t>
      </w:r>
      <w:r w:rsidR="00CD7754">
        <w:t xml:space="preserve"> </w:t>
      </w:r>
      <w:r w:rsidR="00AD42EE">
        <w:t xml:space="preserve">with respect to </w:t>
      </w:r>
      <w:r w:rsidR="0078274B">
        <w:t>the NAAQS and</w:t>
      </w:r>
      <w:r w:rsidR="00AD42EE">
        <w:t>/or</w:t>
      </w:r>
      <w:r w:rsidR="0078274B">
        <w:t xml:space="preserve"> CAAQS, </w:t>
      </w:r>
      <w:r w:rsidR="008F3011" w:rsidRPr="0074358D">
        <w:t xml:space="preserve">which represent concentration limits of criteria air pollutants needed to adequately protect human health. </w:t>
      </w:r>
    </w:p>
    <w:p w14:paraId="4FAA7C04" w14:textId="4751F639" w:rsidR="008F3011" w:rsidRDefault="008F3011" w:rsidP="00F45FE5">
      <w:pPr>
        <w:pStyle w:val="BodyText"/>
      </w:pPr>
      <w:r w:rsidRPr="00FD5BE6">
        <w:t xml:space="preserve">As </w:t>
      </w:r>
      <w:r>
        <w:t>described</w:t>
      </w:r>
      <w:r w:rsidRPr="00FD5BE6">
        <w:t xml:space="preserve"> in Chapter 2, </w:t>
      </w:r>
      <w:r w:rsidR="00670EB0">
        <w:t>“</w:t>
      </w:r>
      <w:r w:rsidRPr="00FD5BE6">
        <w:t>Program Description,</w:t>
      </w:r>
      <w:r w:rsidR="00670EB0">
        <w:t>”</w:t>
      </w:r>
      <w:r w:rsidRPr="00FD5BE6">
        <w:t xml:space="preserve"> the CalVTP </w:t>
      </w:r>
      <w:r w:rsidR="00363B67">
        <w:t xml:space="preserve">would treat </w:t>
      </w:r>
      <w:r w:rsidR="007A6BF2">
        <w:t>approximately</w:t>
      </w:r>
      <w:r w:rsidR="001A6545">
        <w:t xml:space="preserve"> </w:t>
      </w:r>
      <w:r w:rsidRPr="00FD5BE6">
        <w:t xml:space="preserve">250,000 acres </w:t>
      </w:r>
      <w:r w:rsidR="007A6BF2" w:rsidRPr="00FD5BE6">
        <w:t>annual</w:t>
      </w:r>
      <w:r w:rsidR="007A6BF2">
        <w:t>ly</w:t>
      </w:r>
      <w:r w:rsidR="007A6BF2" w:rsidRPr="00FD5BE6">
        <w:t xml:space="preserve"> </w:t>
      </w:r>
      <w:r w:rsidRPr="00FD5BE6">
        <w:t>within the 20.3</w:t>
      </w:r>
      <w:r w:rsidR="0027773F">
        <w:t>-</w:t>
      </w:r>
      <w:r w:rsidRPr="00FD5BE6">
        <w:t>million</w:t>
      </w:r>
      <w:r w:rsidR="0027773F">
        <w:t>-</w:t>
      </w:r>
      <w:r w:rsidRPr="00FD5BE6">
        <w:t xml:space="preserve">acre treatable landscape. </w:t>
      </w:r>
      <w:r>
        <w:t xml:space="preserve">The relative distribution of treatment activities is reasonably expected to be 50 percent prescribed burning, 10 percent manual treatments, 20 percent mechanical treatments, </w:t>
      </w:r>
      <w:r w:rsidRPr="00822E8F">
        <w:t>10</w:t>
      </w:r>
      <w:r>
        <w:t xml:space="preserve"> percent </w:t>
      </w:r>
      <w:r w:rsidRPr="00822E8F">
        <w:t>herbicid</w:t>
      </w:r>
      <w:r>
        <w:t>e treatments, and 10 percent prescribed herbivory. However, it is not feasible to precisely describe the</w:t>
      </w:r>
      <w:r w:rsidR="0078274B">
        <w:t xml:space="preserve"> location,</w:t>
      </w:r>
      <w:r>
        <w:t xml:space="preserve"> size,</w:t>
      </w:r>
      <w:r w:rsidR="0078274B">
        <w:t xml:space="preserve"> or</w:t>
      </w:r>
      <w:r>
        <w:t xml:space="preserve"> timing</w:t>
      </w:r>
      <w:r w:rsidR="0078274B">
        <w:t xml:space="preserve"> </w:t>
      </w:r>
      <w:r>
        <w:t>of specific treatments</w:t>
      </w:r>
      <w:r w:rsidR="00D45DD3">
        <w:t xml:space="preserve"> during any particula</w:t>
      </w:r>
      <w:r w:rsidR="007A6BF2">
        <w:t>r</w:t>
      </w:r>
      <w:r w:rsidR="00D45DD3">
        <w:t xml:space="preserve"> year</w:t>
      </w:r>
      <w:r w:rsidR="00CD3880">
        <w:t xml:space="preserve">, or any </w:t>
      </w:r>
      <w:r w:rsidR="00B34CA1">
        <w:t xml:space="preserve">single </w:t>
      </w:r>
      <w:r w:rsidR="00CD3880">
        <w:t>day,</w:t>
      </w:r>
      <w:r>
        <w:t xml:space="preserve"> in this programmatic evaluation. Depending on the number of acres that would undergo treatment on the same day </w:t>
      </w:r>
      <w:r w:rsidR="0056658D">
        <w:t xml:space="preserve">(or same year) </w:t>
      </w:r>
      <w:r>
        <w:t xml:space="preserve">within the same air basin, </w:t>
      </w:r>
      <w:r w:rsidR="00D45DD3">
        <w:t>the levels of criteria air pollutants and precursors emitted by treatment activit</w:t>
      </w:r>
      <w:r w:rsidR="0056658D">
        <w:t>ies</w:t>
      </w:r>
      <w:r w:rsidR="00D45DD3">
        <w:t xml:space="preserve"> could exceed the </w:t>
      </w:r>
      <w:r>
        <w:t>mass emissions thresholds recommended by local air districts.</w:t>
      </w:r>
      <w:r w:rsidR="00B52A2E">
        <w:t xml:space="preserve"> For instance, </w:t>
      </w:r>
      <w:r w:rsidR="00CD3880">
        <w:t xml:space="preserve">as shown in Table 3.4-6, </w:t>
      </w:r>
      <w:r w:rsidR="00B52A2E">
        <w:t xml:space="preserve">one acre of </w:t>
      </w:r>
      <w:r w:rsidR="00B52A2E">
        <w:lastRenderedPageBreak/>
        <w:t>prescribed burning would generate 166 pounds per day (</w:t>
      </w:r>
      <w:proofErr w:type="spellStart"/>
      <w:r w:rsidR="00B52A2E">
        <w:t>lb</w:t>
      </w:r>
      <w:proofErr w:type="spellEnd"/>
      <w:r w:rsidR="00B52A2E">
        <w:t>/day) of NO</w:t>
      </w:r>
      <w:r w:rsidR="00B52A2E" w:rsidRPr="00B52A2E">
        <w:rPr>
          <w:vertAlign w:val="subscript"/>
        </w:rPr>
        <w:t>X</w:t>
      </w:r>
      <w:r w:rsidR="00B52A2E">
        <w:t>. This level would exceed the applicable daily mass emissions thresholds established by every air district in California,</w:t>
      </w:r>
      <w:r w:rsidR="000B6174">
        <w:t xml:space="preserve"> which are</w:t>
      </w:r>
      <w:r w:rsidR="00B52A2E">
        <w:t xml:space="preserve"> shown in Table 3.4-2. As shown in Table 3.4-6, mechanical treatment of tree-dominated </w:t>
      </w:r>
      <w:r w:rsidR="00922EAA">
        <w:t>fuels</w:t>
      </w:r>
      <w:r w:rsidR="00B52A2E">
        <w:t>, manual treatment of tree-dominated</w:t>
      </w:r>
      <w:r w:rsidR="00922EAA">
        <w:t xml:space="preserve"> fuels</w:t>
      </w:r>
      <w:r w:rsidR="00B52A2E">
        <w:t>, and mechanical treatment of shrub-dominated</w:t>
      </w:r>
      <w:r w:rsidR="00922EAA">
        <w:t xml:space="preserve"> fuels</w:t>
      </w:r>
      <w:r w:rsidR="00B52A2E">
        <w:t>, would generate NO</w:t>
      </w:r>
      <w:r w:rsidR="00B52A2E" w:rsidRPr="00B52A2E">
        <w:rPr>
          <w:vertAlign w:val="subscript"/>
        </w:rPr>
        <w:t>X</w:t>
      </w:r>
      <w:r w:rsidR="00B52A2E">
        <w:t xml:space="preserve"> emissions at rates of 5.3 </w:t>
      </w:r>
      <w:proofErr w:type="spellStart"/>
      <w:r w:rsidR="00B52A2E">
        <w:t>lb</w:t>
      </w:r>
      <w:proofErr w:type="spellEnd"/>
      <w:r w:rsidR="00B52A2E">
        <w:t xml:space="preserve">/acre, 4.3 </w:t>
      </w:r>
      <w:proofErr w:type="spellStart"/>
      <w:r w:rsidR="00B52A2E">
        <w:t>lb</w:t>
      </w:r>
      <w:proofErr w:type="spellEnd"/>
      <w:r w:rsidR="00B52A2E">
        <w:t xml:space="preserve">/acre, and 4.1 </w:t>
      </w:r>
      <w:proofErr w:type="spellStart"/>
      <w:r w:rsidR="00B52A2E">
        <w:t>lb</w:t>
      </w:r>
      <w:proofErr w:type="spellEnd"/>
      <w:r w:rsidR="00B52A2E">
        <w:t xml:space="preserve">/acre, respectively. If 20 acres underwent these types of treatment in a single day in the same air district the associated emissions would amount to approximately 106 </w:t>
      </w:r>
      <w:proofErr w:type="spellStart"/>
      <w:r w:rsidR="00B52A2E">
        <w:t>lb</w:t>
      </w:r>
      <w:proofErr w:type="spellEnd"/>
      <w:r w:rsidR="00B52A2E">
        <w:t xml:space="preserve">/day, 86 </w:t>
      </w:r>
      <w:proofErr w:type="spellStart"/>
      <w:r w:rsidR="00B52A2E">
        <w:t>lb</w:t>
      </w:r>
      <w:proofErr w:type="spellEnd"/>
      <w:r w:rsidR="00B52A2E">
        <w:t xml:space="preserve">/day, and 82 </w:t>
      </w:r>
      <w:proofErr w:type="spellStart"/>
      <w:r w:rsidR="00B52A2E">
        <w:t>lb</w:t>
      </w:r>
      <w:proofErr w:type="spellEnd"/>
      <w:r w:rsidR="00B52A2E">
        <w:t>/day</w:t>
      </w:r>
      <w:r w:rsidR="00CD3880">
        <w:t>, respectively</w:t>
      </w:r>
      <w:r w:rsidR="00B52A2E">
        <w:t xml:space="preserve">. These daily levels would exceed applicable daily mass emission threshold in </w:t>
      </w:r>
      <w:r w:rsidR="003C7FB8">
        <w:t xml:space="preserve">most air districts. </w:t>
      </w:r>
      <w:r w:rsidR="00922EAA">
        <w:t xml:space="preserve">Also </w:t>
      </w:r>
      <w:r w:rsidR="00221D81">
        <w:t xml:space="preserve">as </w:t>
      </w:r>
      <w:r w:rsidR="00922EAA">
        <w:t xml:space="preserve">shown in Table 3.4-6, prescribed herbivory in tree-, shrub-, and grass-dominated fuels would </w:t>
      </w:r>
      <w:r w:rsidR="00740E6A">
        <w:t>generate NO</w:t>
      </w:r>
      <w:r w:rsidR="00740E6A" w:rsidRPr="00B52A2E">
        <w:rPr>
          <w:vertAlign w:val="subscript"/>
        </w:rPr>
        <w:t>X</w:t>
      </w:r>
      <w:r w:rsidR="00740E6A">
        <w:t xml:space="preserve"> emissions at rates of 0.9 </w:t>
      </w:r>
      <w:proofErr w:type="spellStart"/>
      <w:r w:rsidR="00740E6A">
        <w:t>lb</w:t>
      </w:r>
      <w:proofErr w:type="spellEnd"/>
      <w:r w:rsidR="00740E6A">
        <w:t xml:space="preserve">/acre, 1.8 </w:t>
      </w:r>
      <w:proofErr w:type="spellStart"/>
      <w:r w:rsidR="00740E6A">
        <w:t>lb</w:t>
      </w:r>
      <w:proofErr w:type="spellEnd"/>
      <w:r w:rsidR="00740E6A">
        <w:t xml:space="preserve">/acre, and 1.8 </w:t>
      </w:r>
      <w:proofErr w:type="spellStart"/>
      <w:r w:rsidR="00740E6A">
        <w:t>lb</w:t>
      </w:r>
      <w:proofErr w:type="spellEnd"/>
      <w:r w:rsidR="00740E6A">
        <w:t>/acre, respectively.</w:t>
      </w:r>
      <w:r w:rsidR="00670EB0">
        <w:t xml:space="preserve"> </w:t>
      </w:r>
      <w:r w:rsidR="00740E6A">
        <w:t xml:space="preserve">If 100 acres underwent these types of treatment in a single day in the same air district the associated emissions would amount to approximately 90 </w:t>
      </w:r>
      <w:proofErr w:type="spellStart"/>
      <w:r w:rsidR="00740E6A">
        <w:t>lb</w:t>
      </w:r>
      <w:proofErr w:type="spellEnd"/>
      <w:r w:rsidR="00740E6A">
        <w:t xml:space="preserve">/day, 180 </w:t>
      </w:r>
      <w:proofErr w:type="spellStart"/>
      <w:r w:rsidR="00740E6A">
        <w:t>lb</w:t>
      </w:r>
      <w:proofErr w:type="spellEnd"/>
      <w:r w:rsidR="00740E6A">
        <w:t xml:space="preserve">/day, and 180 </w:t>
      </w:r>
      <w:proofErr w:type="spellStart"/>
      <w:r w:rsidR="00740E6A">
        <w:t>lb</w:t>
      </w:r>
      <w:proofErr w:type="spellEnd"/>
      <w:r w:rsidR="00740E6A">
        <w:t>/day, respectively. These daily levels would exceed applicable daily mass emission threshold in many air districts. Moreover, c</w:t>
      </w:r>
      <w:r w:rsidR="000B6174">
        <w:t xml:space="preserve">ombinations of different treatment activities taking place in the same air district at the same time could also result in exceedances of applicable daily mass emission thresholds. </w:t>
      </w:r>
      <w:r w:rsidR="00221D81">
        <w:t>S</w:t>
      </w:r>
      <w:r w:rsidR="000B6174">
        <w:t>ome air districts recommend annual mass emission thresholds, expressed in tons per year, which could also be exceeded by treatment activity. Because treatment activit</w:t>
      </w:r>
      <w:r w:rsidR="00221D81">
        <w:t>ies implemented under the CalVTP</w:t>
      </w:r>
      <w:r w:rsidR="000B6174">
        <w:t xml:space="preserve"> would generate levels of criteria air pollutants and precursors that exceed air district thresholds, these emissions could result in, or contribute to, exceedances of the NAAQS and CAAQS for ozone, PM</w:t>
      </w:r>
      <w:r w:rsidR="000B6174" w:rsidRPr="000B6174">
        <w:rPr>
          <w:vertAlign w:val="subscript"/>
        </w:rPr>
        <w:t>10</w:t>
      </w:r>
      <w:r w:rsidR="000B6174">
        <w:t>, and PM</w:t>
      </w:r>
      <w:r w:rsidR="000B6174" w:rsidRPr="000B6174">
        <w:rPr>
          <w:vertAlign w:val="subscript"/>
        </w:rPr>
        <w:t>2.5</w:t>
      </w:r>
      <w:r w:rsidR="0091450C">
        <w:t xml:space="preserve">, thereby </w:t>
      </w:r>
      <w:r w:rsidR="00A64CCD">
        <w:t xml:space="preserve">also </w:t>
      </w:r>
      <w:r w:rsidR="0091450C">
        <w:t>conflicting with the air quality planning efforts of regional air districts</w:t>
      </w:r>
      <w:r w:rsidR="00B57A98">
        <w:t>, including those that comprise the SIP</w:t>
      </w:r>
      <w:r w:rsidR="0091450C">
        <w:t>.</w:t>
      </w:r>
    </w:p>
    <w:p w14:paraId="2448C47E" w14:textId="4486ADEA" w:rsidR="008F3011" w:rsidRPr="00257C1E" w:rsidRDefault="008F3011" w:rsidP="008F3011">
      <w:pPr>
        <w:pStyle w:val="Heading6"/>
      </w:pPr>
      <w:r w:rsidRPr="00C61E47">
        <w:t xml:space="preserve">Localized </w:t>
      </w:r>
      <w:r>
        <w:t>Concentrations of Criteria Air Pollutants</w:t>
      </w:r>
    </w:p>
    <w:p w14:paraId="5E4B57A0" w14:textId="42711D49" w:rsidR="00D8545B" w:rsidRPr="00D8545B" w:rsidRDefault="00D8545B" w:rsidP="00F45FE5">
      <w:pPr>
        <w:pStyle w:val="BodyText"/>
      </w:pPr>
      <w:r>
        <w:t xml:space="preserve">In addition to regional air quality concerns, </w:t>
      </w:r>
      <w:r w:rsidR="000A22F4">
        <w:t xml:space="preserve">emissions of </w:t>
      </w:r>
      <w:r w:rsidR="00CA0EFD">
        <w:t xml:space="preserve">some </w:t>
      </w:r>
      <w:r w:rsidR="000A22F4">
        <w:t xml:space="preserve">criteria air pollutants from treatment activities could result in </w:t>
      </w:r>
      <w:r>
        <w:t xml:space="preserve">localized concentrations of criteria air pollutants </w:t>
      </w:r>
      <w:r w:rsidR="000A22F4">
        <w:t>that exceed NAAQS and CAAQS and expose nearby receptors to associated adverse health effects</w:t>
      </w:r>
      <w:r>
        <w:t xml:space="preserve">. This discussion focuses on the formation of ground-level </w:t>
      </w:r>
      <w:r w:rsidR="001A6545">
        <w:t>o</w:t>
      </w:r>
      <w:r>
        <w:t>zone from the oxidation of ROG and NO</w:t>
      </w:r>
      <w:r>
        <w:rPr>
          <w:vertAlign w:val="subscript"/>
        </w:rPr>
        <w:t>x</w:t>
      </w:r>
      <w:r>
        <w:t xml:space="preserve">, </w:t>
      </w:r>
      <w:r w:rsidRPr="0028625C">
        <w:t>fugitive PM</w:t>
      </w:r>
      <w:r w:rsidRPr="0028625C">
        <w:rPr>
          <w:vertAlign w:val="subscript"/>
        </w:rPr>
        <w:t>10</w:t>
      </w:r>
      <w:r w:rsidRPr="0028625C">
        <w:t xml:space="preserve"> and PM</w:t>
      </w:r>
      <w:r w:rsidRPr="0028625C">
        <w:rPr>
          <w:vertAlign w:val="subscript"/>
        </w:rPr>
        <w:t>2.5</w:t>
      </w:r>
      <w:r w:rsidRPr="0028625C">
        <w:t xml:space="preserve"> dust emissions</w:t>
      </w:r>
      <w:r>
        <w:t xml:space="preserve"> from travel on unpaved roads and ground disturb</w:t>
      </w:r>
      <w:r w:rsidR="007A6BF2">
        <w:t>ing</w:t>
      </w:r>
      <w:r>
        <w:t xml:space="preserve"> activities, and smoke emissions from prescribed burning.</w:t>
      </w:r>
    </w:p>
    <w:p w14:paraId="682ABE6C" w14:textId="4AD81285" w:rsidR="00D8545B" w:rsidRDefault="00D8545B" w:rsidP="00D8545B">
      <w:pPr>
        <w:pStyle w:val="Heading7"/>
      </w:pPr>
      <w:r>
        <w:t>Ozone</w:t>
      </w:r>
    </w:p>
    <w:p w14:paraId="16A6DE3B" w14:textId="4463910D" w:rsidR="008F3011" w:rsidRPr="00901ECD" w:rsidRDefault="008F3011" w:rsidP="00F45FE5">
      <w:pPr>
        <w:pStyle w:val="BodyText"/>
      </w:pPr>
      <w:r>
        <w:t>As summarized in Table 3.4-</w:t>
      </w:r>
      <w:r w:rsidR="009D5745">
        <w:t>3</w:t>
      </w:r>
      <w:r>
        <w:t xml:space="preserve">, </w:t>
      </w:r>
      <w:r w:rsidR="00670EB0">
        <w:t>“</w:t>
      </w:r>
      <w:r>
        <w:t>Sources and Health Effects of Criteria Air Pollutants,</w:t>
      </w:r>
      <w:r w:rsidR="00670EB0">
        <w:t>”</w:t>
      </w:r>
      <w:r>
        <w:t xml:space="preserve"> ground</w:t>
      </w:r>
      <w:r w:rsidR="007D4054">
        <w:t>-leve</w:t>
      </w:r>
      <w:r w:rsidR="00347292">
        <w:t>l</w:t>
      </w:r>
      <w:r>
        <w:t xml:space="preserve"> ozone is a </w:t>
      </w:r>
      <w:r w:rsidRPr="00901ECD">
        <w:t>secondary pollutant derived from the oxidation of ROG and NO</w:t>
      </w:r>
      <w:r w:rsidRPr="00901ECD">
        <w:rPr>
          <w:vertAlign w:val="subscript"/>
        </w:rPr>
        <w:t>x</w:t>
      </w:r>
      <w:r w:rsidRPr="00901ECD">
        <w:t xml:space="preserve"> in the presence of sunlight. </w:t>
      </w:r>
      <w:r w:rsidR="00347292" w:rsidRPr="00901ECD">
        <w:t xml:space="preserve">Ozone is not a pollutant of localized concern. </w:t>
      </w:r>
      <w:r w:rsidR="007D4054" w:rsidRPr="00901ECD">
        <w:t>Portions of t</w:t>
      </w:r>
      <w:r w:rsidRPr="00901ECD">
        <w:t>he treatable landscape are designated as non-attainment with respect to the NAAQS and CAAQS for ozone</w:t>
      </w:r>
      <w:r w:rsidR="009D5745" w:rsidRPr="00901ECD">
        <w:t>, as shown in Table 3.4-4.</w:t>
      </w:r>
      <w:r w:rsidRPr="00901ECD">
        <w:t xml:space="preserve"> </w:t>
      </w:r>
      <w:r w:rsidR="009D5745" w:rsidRPr="00901ECD">
        <w:t>T</w:t>
      </w:r>
      <w:r w:rsidRPr="00901ECD">
        <w:t>herefore, treatment activity-related emissions of ROG and NO</w:t>
      </w:r>
      <w:r w:rsidRPr="00901ECD">
        <w:rPr>
          <w:vertAlign w:val="subscript"/>
        </w:rPr>
        <w:t xml:space="preserve">x </w:t>
      </w:r>
      <w:r w:rsidRPr="00901ECD">
        <w:t xml:space="preserve">could exacerbate this existing adverse condition in these areas. </w:t>
      </w:r>
    </w:p>
    <w:p w14:paraId="1AA849B7" w14:textId="05FA9AF4" w:rsidR="008F3011" w:rsidRPr="00901ECD" w:rsidRDefault="00F22EC3" w:rsidP="00F45FE5">
      <w:pPr>
        <w:pStyle w:val="BodyText"/>
      </w:pPr>
      <w:r w:rsidRPr="00A37E06">
        <w:t>However, given the many factors (e.g., topography, meteorology, emissions sources) that contribute to the formation and dispersion of ozone, it is not scientifically possible to predict with a meaningful level of accuracy the number of days when ozone concentrations would exceed the NAAQS or CAAQS or the locations where exceedances would occur. Current models cannot determine the locations of, or the specific concentrations of, ozone from ROG or NO</w:t>
      </w:r>
      <w:r w:rsidRPr="00A37E06">
        <w:rPr>
          <w:vertAlign w:val="subscript"/>
        </w:rPr>
        <w:t>x</w:t>
      </w:r>
      <w:r w:rsidRPr="00A37E06">
        <w:t xml:space="preserve"> precursors because of the complex physical factors that contribute to the chemical reactions necessary to convert precursors to ground-level ozone (i.e., sun, temperature, wind, topography). Any meaningfully accurate prediction in site-specific ozone concentrations using currently available ozone models would require precursor emissions to be sufficiently substantial as to change the regional inventory of pollutants, which would not occur with a singular prescribed burn project. Therefore, such predictions for treatments conducted under the CalVTP would not be scientifically possible. Nonetheless, because precursor emission levels would likely exceed mass emissions thresholds established by local air districts, as discussed above, it is reasonably foreseeable that treatment activity–related emissions could contribute to an increase in the number of days when the NAAQS and CAAQS for ozone are exceeded in some portions of the air basins in which the ozone is formed.</w:t>
      </w:r>
    </w:p>
    <w:p w14:paraId="4520A182" w14:textId="01945583" w:rsidR="008F3011" w:rsidRDefault="00A523ED" w:rsidP="00F45FE5">
      <w:pPr>
        <w:pStyle w:val="BodyText"/>
      </w:pPr>
      <w:r w:rsidRPr="00901ECD">
        <w:t>A</w:t>
      </w:r>
      <w:r w:rsidR="00EB0CF7" w:rsidRPr="00901ECD">
        <w:t xml:space="preserve">s </w:t>
      </w:r>
      <w:r w:rsidR="008F3011" w:rsidRPr="00901ECD">
        <w:t>summarized in Table 3.4-</w:t>
      </w:r>
      <w:r w:rsidR="009D5745" w:rsidRPr="00901ECD">
        <w:t>3</w:t>
      </w:r>
      <w:r w:rsidR="008F3011" w:rsidRPr="00901ECD">
        <w:t xml:space="preserve">, human exposure to ozone may result in acute and chronic health </w:t>
      </w:r>
      <w:r w:rsidR="007A3274" w:rsidRPr="00901ECD">
        <w:t xml:space="preserve">effects </w:t>
      </w:r>
      <w:r w:rsidR="008F3011" w:rsidRPr="00901ECD">
        <w:t>including coughing, pulmonary distress</w:t>
      </w:r>
      <w:r w:rsidR="008F3011">
        <w:t xml:space="preserve">, lung inflammation, shortness of breath, and permanent lung impairment. </w:t>
      </w:r>
      <w:r>
        <w:t xml:space="preserve">Mass emission thresholds are </w:t>
      </w:r>
      <w:r w:rsidR="00433489">
        <w:t>considered by air districts to be the</w:t>
      </w:r>
      <w:r w:rsidR="00DE557F">
        <w:t xml:space="preserve"> </w:t>
      </w:r>
      <w:r w:rsidR="00433489">
        <w:t xml:space="preserve">levels </w:t>
      </w:r>
      <w:r w:rsidR="00DE557F">
        <w:t xml:space="preserve">that constitute a cumulatively considerable contribution to an exceedance of </w:t>
      </w:r>
      <w:r>
        <w:t xml:space="preserve">the CAAQS and NAAQS, </w:t>
      </w:r>
      <w:r w:rsidR="00D51A4A">
        <w:t>which</w:t>
      </w:r>
      <w:r w:rsidR="00B840C6">
        <w:t xml:space="preserve"> have been established to</w:t>
      </w:r>
      <w:r w:rsidR="007A3274">
        <w:t xml:space="preserve"> protect human health</w:t>
      </w:r>
      <w:r>
        <w:t xml:space="preserve">. </w:t>
      </w:r>
      <w:r w:rsidR="00D51A4A">
        <w:t>B</w:t>
      </w:r>
      <w:r w:rsidR="007A3274">
        <w:t>ecause</w:t>
      </w:r>
      <w:r w:rsidR="008F3011">
        <w:t xml:space="preserve"> emissions of ROG and NO</w:t>
      </w:r>
      <w:r w:rsidR="008F3011" w:rsidRPr="00841A81">
        <w:rPr>
          <w:vertAlign w:val="subscript"/>
        </w:rPr>
        <w:t>X</w:t>
      </w:r>
      <w:r w:rsidR="008F3011">
        <w:t xml:space="preserve"> </w:t>
      </w:r>
      <w:r w:rsidR="007A3274">
        <w:t xml:space="preserve">generated by the CalVTP </w:t>
      </w:r>
      <w:r w:rsidR="001B75D1">
        <w:t xml:space="preserve">would </w:t>
      </w:r>
      <w:r w:rsidR="007A3274">
        <w:t xml:space="preserve">exceed </w:t>
      </w:r>
      <w:r w:rsidR="008F3011">
        <w:t xml:space="preserve">the mass emissions thresholds of local </w:t>
      </w:r>
      <w:r w:rsidR="008F3011">
        <w:lastRenderedPageBreak/>
        <w:t xml:space="preserve">air districts, it is foreseeable that the aforementioned </w:t>
      </w:r>
      <w:r w:rsidR="00CB4CEB">
        <w:t xml:space="preserve">adverse </w:t>
      </w:r>
      <w:r w:rsidR="008F3011">
        <w:t xml:space="preserve">health </w:t>
      </w:r>
      <w:r w:rsidR="00CB4CEB">
        <w:t>effects</w:t>
      </w:r>
      <w:r w:rsidR="008F3011">
        <w:t xml:space="preserve"> associated with ozone exposure could be exacerbated by treatment activity</w:t>
      </w:r>
      <w:r w:rsidR="007D4054">
        <w:t>–</w:t>
      </w:r>
      <w:r w:rsidR="008F3011">
        <w:t>related emissions</w:t>
      </w:r>
      <w:r w:rsidR="00C96E46">
        <w:t xml:space="preserve"> of criteria air pollutants and precursors</w:t>
      </w:r>
      <w:r w:rsidR="008F3011">
        <w:t>.</w:t>
      </w:r>
      <w:r w:rsidR="000A69F8">
        <w:t xml:space="preserve"> </w:t>
      </w:r>
    </w:p>
    <w:p w14:paraId="5C57572E" w14:textId="7AB2196E" w:rsidR="00CE274A" w:rsidRDefault="00CE274A" w:rsidP="00CE274A">
      <w:pPr>
        <w:pStyle w:val="Heading7"/>
      </w:pPr>
      <w:r>
        <w:t>F</w:t>
      </w:r>
      <w:r w:rsidRPr="0028625C">
        <w:t>ugitive PM</w:t>
      </w:r>
      <w:r w:rsidRPr="00CE274A">
        <w:rPr>
          <w:vertAlign w:val="subscript"/>
        </w:rPr>
        <w:t>10</w:t>
      </w:r>
      <w:r w:rsidRPr="0028625C">
        <w:t xml:space="preserve"> and PM</w:t>
      </w:r>
      <w:r w:rsidRPr="00CE274A">
        <w:rPr>
          <w:vertAlign w:val="subscript"/>
        </w:rPr>
        <w:t>2.5</w:t>
      </w:r>
      <w:r w:rsidRPr="0028625C">
        <w:t xml:space="preserve"> </w:t>
      </w:r>
      <w:r>
        <w:t>D</w:t>
      </w:r>
      <w:r w:rsidRPr="0028625C">
        <w:t xml:space="preserve">ust </w:t>
      </w:r>
      <w:r>
        <w:t>E</w:t>
      </w:r>
      <w:r w:rsidRPr="0028625C">
        <w:t>missions</w:t>
      </w:r>
    </w:p>
    <w:p w14:paraId="2036C8B7" w14:textId="0AC2DA99" w:rsidR="00C7183B" w:rsidRDefault="008F3011" w:rsidP="00F45FE5">
      <w:pPr>
        <w:pStyle w:val="BodyText"/>
      </w:pPr>
      <w:r w:rsidRPr="0028625C">
        <w:t xml:space="preserve">Some </w:t>
      </w:r>
      <w:r>
        <w:t>parts</w:t>
      </w:r>
      <w:r w:rsidRPr="0028625C">
        <w:t xml:space="preserve"> of the treatable landscape can only be accessed </w:t>
      </w:r>
      <w:r w:rsidR="00EB14FB">
        <w:t xml:space="preserve">by </w:t>
      </w:r>
      <w:r w:rsidRPr="0028625C">
        <w:t>unpaved roads. Travel on unpaved surfaces generates fugitive PM</w:t>
      </w:r>
      <w:r w:rsidRPr="0028625C">
        <w:rPr>
          <w:vertAlign w:val="subscript"/>
        </w:rPr>
        <w:t>10</w:t>
      </w:r>
      <w:r w:rsidRPr="0028625C">
        <w:t xml:space="preserve"> and PM</w:t>
      </w:r>
      <w:r w:rsidRPr="0028625C">
        <w:rPr>
          <w:vertAlign w:val="subscript"/>
        </w:rPr>
        <w:t>2.5</w:t>
      </w:r>
      <w:r w:rsidRPr="0028625C">
        <w:t xml:space="preserve"> dust emissions. Depending on the number of vehicle trips</w:t>
      </w:r>
      <w:r w:rsidR="00D74278">
        <w:t>,</w:t>
      </w:r>
      <w:r w:rsidRPr="0028625C">
        <w:t xml:space="preserve"> the proximity of </w:t>
      </w:r>
      <w:r w:rsidR="00B2686E">
        <w:t>people</w:t>
      </w:r>
      <w:r w:rsidRPr="0028625C">
        <w:t xml:space="preserve">, </w:t>
      </w:r>
      <w:r w:rsidR="00D74278">
        <w:t xml:space="preserve">the silt content of soil, </w:t>
      </w:r>
      <w:r w:rsidRPr="0028625C">
        <w:t>travel on unpaved roads could result in, or contribute to, an exceedance of the 24-hour CAAQS of 50 µg/m</w:t>
      </w:r>
      <w:r w:rsidRPr="0028625C">
        <w:rPr>
          <w:vertAlign w:val="superscript"/>
        </w:rPr>
        <w:t>3</w:t>
      </w:r>
      <w:r w:rsidRPr="0028625C">
        <w:t xml:space="preserve"> for PM</w:t>
      </w:r>
      <w:r w:rsidRPr="0028625C">
        <w:rPr>
          <w:vertAlign w:val="subscript"/>
        </w:rPr>
        <w:t>10</w:t>
      </w:r>
      <w:r w:rsidRPr="0028625C">
        <w:t>, the 24-hour NAAQS of 150 µg/m</w:t>
      </w:r>
      <w:r w:rsidRPr="0028625C">
        <w:rPr>
          <w:vertAlign w:val="superscript"/>
        </w:rPr>
        <w:t>3</w:t>
      </w:r>
      <w:r w:rsidRPr="0028625C">
        <w:t xml:space="preserve"> for PM</w:t>
      </w:r>
      <w:r w:rsidRPr="0028625C">
        <w:rPr>
          <w:vertAlign w:val="subscript"/>
        </w:rPr>
        <w:t>10</w:t>
      </w:r>
      <w:r w:rsidRPr="0028625C">
        <w:t>, and/or the 24-hour NAAQS of 35 µg/m</w:t>
      </w:r>
      <w:r w:rsidRPr="0028625C">
        <w:rPr>
          <w:vertAlign w:val="superscript"/>
        </w:rPr>
        <w:t>3</w:t>
      </w:r>
      <w:r w:rsidRPr="0028625C">
        <w:t xml:space="preserve"> for PM</w:t>
      </w:r>
      <w:r w:rsidRPr="0028625C">
        <w:rPr>
          <w:vertAlign w:val="subscript"/>
        </w:rPr>
        <w:t>2.5</w:t>
      </w:r>
      <w:r w:rsidR="00D74278">
        <w:t xml:space="preserve"> at nearby receptors</w:t>
      </w:r>
      <w:r w:rsidRPr="0028625C">
        <w:t xml:space="preserve">. </w:t>
      </w:r>
      <w:r>
        <w:t>As summarized in Table 3.4-</w:t>
      </w:r>
      <w:r w:rsidR="009D5745">
        <w:t>3</w:t>
      </w:r>
      <w:r>
        <w:t>, human exposure to fugitive dust emissions</w:t>
      </w:r>
      <w:r w:rsidRPr="006F4FFD">
        <w:t xml:space="preserve"> </w:t>
      </w:r>
      <w:r>
        <w:t>may cause acute and chronic health impacts including breathing and respiratory symptoms, premature death, and carcinogenesis. Several SPRs address fugitive dust and would be implemented to minimize fugitive dust emissions. SPR AQ-4, AQ-5, and AQ-6</w:t>
      </w:r>
      <w:r w:rsidR="00D74278">
        <w:t xml:space="preserve"> would</w:t>
      </w:r>
      <w:r>
        <w:t xml:space="preserve"> limit vehicle speeds on unpaved roads, require that vehicles be cleaned prior to leaving treatment sites to reduce </w:t>
      </w:r>
      <w:r w:rsidR="007A3274">
        <w:t>the inadvertent transport of dust from unpaved areas onto paved roads</w:t>
      </w:r>
      <w:r>
        <w:t>, and require the suspension of ground</w:t>
      </w:r>
      <w:r w:rsidR="005F2417">
        <w:t xml:space="preserve"> </w:t>
      </w:r>
      <w:r>
        <w:t>disturb</w:t>
      </w:r>
      <w:r w:rsidR="004C542B">
        <w:t>ing</w:t>
      </w:r>
      <w:r>
        <w:t xml:space="preserve"> activities when they result in visible dust transport outside the boundary of treatment areas. Furthermore, SPR </w:t>
      </w:r>
      <w:r w:rsidR="00E96BD7">
        <w:t>AQ-4</w:t>
      </w:r>
      <w:r>
        <w:t xml:space="preserve"> require</w:t>
      </w:r>
      <w:r w:rsidR="00E31048">
        <w:t>s</w:t>
      </w:r>
      <w:r>
        <w:t xml:space="preserve"> treatment crews to wet unpaved roads if excessive dust is created during road use, using water trucks or non-toxic chemical dust suppressants. </w:t>
      </w:r>
      <w:r w:rsidR="00E31048">
        <w:t xml:space="preserve">Implementation of </w:t>
      </w:r>
      <w:r>
        <w:t>these SPRs would minimize the contribution of treatment activities to localized concentrations of</w:t>
      </w:r>
      <w:r w:rsidRPr="00B02F44">
        <w:t xml:space="preserve"> </w:t>
      </w:r>
      <w:r w:rsidRPr="0028625C">
        <w:t>PM</w:t>
      </w:r>
      <w:r w:rsidRPr="0028625C">
        <w:rPr>
          <w:vertAlign w:val="subscript"/>
        </w:rPr>
        <w:t>10</w:t>
      </w:r>
      <w:r w:rsidRPr="0028625C">
        <w:t xml:space="preserve"> and PM</w:t>
      </w:r>
      <w:r w:rsidRPr="0028625C">
        <w:rPr>
          <w:vertAlign w:val="subscript"/>
        </w:rPr>
        <w:t>2.5</w:t>
      </w:r>
      <w:r>
        <w:t xml:space="preserve">. Nonetheless, if ambient background concentrations are high and multiple treatment crews generate new vehicle trips on the same unpaved roadway on the same day, resultant concentrations of </w:t>
      </w:r>
      <w:r w:rsidRPr="0028625C">
        <w:t>PM</w:t>
      </w:r>
      <w:r w:rsidRPr="0028625C">
        <w:rPr>
          <w:vertAlign w:val="subscript"/>
        </w:rPr>
        <w:t>10</w:t>
      </w:r>
      <w:r w:rsidRPr="0028625C">
        <w:t xml:space="preserve"> and PM</w:t>
      </w:r>
      <w:r w:rsidRPr="0028625C">
        <w:rPr>
          <w:vertAlign w:val="subscript"/>
        </w:rPr>
        <w:t>2.5</w:t>
      </w:r>
      <w:r w:rsidRPr="0028625C">
        <w:t xml:space="preserve"> </w:t>
      </w:r>
      <w:r w:rsidR="00E31048">
        <w:t xml:space="preserve">from fugitive dust </w:t>
      </w:r>
      <w:r>
        <w:t xml:space="preserve">could exceed applicable NAAQS and CAAQS at roadside residences and other </w:t>
      </w:r>
      <w:r w:rsidR="00B2686E">
        <w:t>places where people</w:t>
      </w:r>
      <w:r w:rsidR="002B7E49">
        <w:t xml:space="preserve"> are present</w:t>
      </w:r>
      <w:r w:rsidR="00273504">
        <w:t xml:space="preserve"> and expose </w:t>
      </w:r>
      <w:r w:rsidR="00D1227A">
        <w:t>affected receptors to adverse health effects</w:t>
      </w:r>
      <w:r>
        <w:t>.</w:t>
      </w:r>
      <w:r w:rsidR="002B7E49">
        <w:t xml:space="preserve"> </w:t>
      </w:r>
    </w:p>
    <w:p w14:paraId="70BEE0AE" w14:textId="6E324AA2" w:rsidR="00C7183B" w:rsidRPr="00CE274A" w:rsidRDefault="00CE274A" w:rsidP="00CE274A">
      <w:pPr>
        <w:pStyle w:val="Heading7"/>
      </w:pPr>
      <w:r>
        <w:t>Smoke Emissions from Prescribed Burns</w:t>
      </w:r>
    </w:p>
    <w:p w14:paraId="6922F12D" w14:textId="63550EE5" w:rsidR="00B56EA1" w:rsidRDefault="008A525B" w:rsidP="00F45FE5">
      <w:pPr>
        <w:pStyle w:val="BodyText"/>
      </w:pPr>
      <w:r>
        <w:t xml:space="preserve">As discussed in Section 3.4.2, </w:t>
      </w:r>
      <w:r w:rsidR="00670EB0">
        <w:t>“</w:t>
      </w:r>
      <w:r>
        <w:t>Environmental Setting,</w:t>
      </w:r>
      <w:r w:rsidR="00670EB0">
        <w:t>”</w:t>
      </w:r>
      <w:r>
        <w:t xml:space="preserve"> </w:t>
      </w:r>
      <w:r w:rsidR="00E17619" w:rsidRPr="00FC6EC1">
        <w:t xml:space="preserve">the primary pollutant of </w:t>
      </w:r>
      <w:r w:rsidR="00D74278">
        <w:t xml:space="preserve">localized </w:t>
      </w:r>
      <w:r w:rsidR="00E17619" w:rsidRPr="00FC6EC1">
        <w:t>concern</w:t>
      </w:r>
      <w:r w:rsidR="00E17619">
        <w:t xml:space="preserve"> from prescribed burning</w:t>
      </w:r>
      <w:r w:rsidR="00E17619" w:rsidRPr="00FC6EC1">
        <w:t xml:space="preserve"> is PM</w:t>
      </w:r>
      <w:r w:rsidR="00E17619" w:rsidRPr="00FC6EC1">
        <w:rPr>
          <w:vertAlign w:val="subscript"/>
        </w:rPr>
        <w:t>2.5</w:t>
      </w:r>
      <w:r w:rsidR="00E17619" w:rsidRPr="00FC6EC1">
        <w:t>, which includes UFP.</w:t>
      </w:r>
      <w:r w:rsidR="00E17619">
        <w:t xml:space="preserve"> </w:t>
      </w:r>
      <w:r w:rsidR="00BD0618">
        <w:t>E</w:t>
      </w:r>
      <w:r w:rsidR="00C7183B" w:rsidRPr="008A525B">
        <w:t>missions of PM</w:t>
      </w:r>
      <w:r w:rsidR="00C7183B" w:rsidRPr="008A525B">
        <w:rPr>
          <w:vertAlign w:val="subscript"/>
        </w:rPr>
        <w:t>2.5</w:t>
      </w:r>
      <w:r w:rsidR="00C7183B" w:rsidRPr="008A525B">
        <w:t xml:space="preserve"> </w:t>
      </w:r>
      <w:r w:rsidR="00C7183B" w:rsidRPr="00D470DC">
        <w:t xml:space="preserve">generated </w:t>
      </w:r>
      <w:r w:rsidR="00EC5859">
        <w:t xml:space="preserve">by </w:t>
      </w:r>
      <w:r w:rsidR="00C7183B" w:rsidRPr="00D470DC">
        <w:t>prescribed burns could result in, or contribute to, exceedances of the CAAQ</w:t>
      </w:r>
      <w:r w:rsidRPr="00D470DC">
        <w:t>S</w:t>
      </w:r>
      <w:r w:rsidR="00C7183B" w:rsidRPr="00D470DC">
        <w:t xml:space="preserve"> and NAAQS for PM</w:t>
      </w:r>
      <w:r w:rsidR="00C7183B" w:rsidRPr="00D470DC">
        <w:rPr>
          <w:vertAlign w:val="subscript"/>
        </w:rPr>
        <w:t>2.5</w:t>
      </w:r>
      <w:r w:rsidR="00C7183B" w:rsidRPr="00D470DC">
        <w:t xml:space="preserve"> </w:t>
      </w:r>
      <w:r w:rsidR="002B7E49">
        <w:t>where people are present</w:t>
      </w:r>
      <w:r w:rsidR="00C7183B" w:rsidRPr="00D470DC">
        <w:t xml:space="preserve">. </w:t>
      </w:r>
      <w:r w:rsidR="00D470DC">
        <w:t xml:space="preserve">In terms of localized impacts, studies have shown that </w:t>
      </w:r>
      <w:r w:rsidR="00B56EA1">
        <w:t xml:space="preserve">exposure </w:t>
      </w:r>
      <w:r w:rsidR="00E31048">
        <w:t>of</w:t>
      </w:r>
      <w:r w:rsidR="00294964">
        <w:t xml:space="preserve"> </w:t>
      </w:r>
      <w:r w:rsidR="00E31048">
        <w:t>workers implementing prescribed burns</w:t>
      </w:r>
      <w:r w:rsidR="00B56EA1">
        <w:t xml:space="preserve"> </w:t>
      </w:r>
      <w:r w:rsidR="00E31048">
        <w:t>to PM</w:t>
      </w:r>
      <w:r w:rsidR="00E31048">
        <w:rPr>
          <w:vertAlign w:val="subscript"/>
        </w:rPr>
        <w:t>2.5</w:t>
      </w:r>
      <w:r w:rsidR="00E31048">
        <w:t xml:space="preserve"> </w:t>
      </w:r>
      <w:r w:rsidR="00D470DC">
        <w:t xml:space="preserve">can substantially exceed </w:t>
      </w:r>
      <w:bookmarkStart w:id="80" w:name="_Hlk8289497"/>
      <w:r w:rsidR="00B56EA1">
        <w:t xml:space="preserve">occupational </w:t>
      </w:r>
      <w:bookmarkEnd w:id="80"/>
      <w:r w:rsidR="00B56EA1">
        <w:t xml:space="preserve">exposure limits (OELs) </w:t>
      </w:r>
      <w:r w:rsidR="00294964">
        <w:t>established</w:t>
      </w:r>
      <w:r w:rsidR="00B56EA1">
        <w:t xml:space="preserve"> by the California </w:t>
      </w:r>
      <w:r w:rsidR="00B56EA1" w:rsidRPr="00613E78">
        <w:t>Division of Occupational Safety and Health</w:t>
      </w:r>
      <w:r w:rsidR="00B56EA1">
        <w:t xml:space="preserve"> (Cal/OSHA) and the National Institute for Occupational Safety and Health (NWCG 2018)</w:t>
      </w:r>
      <w:r w:rsidR="00335D77" w:rsidRPr="00D11F03">
        <w:rPr>
          <w:u w:val="single"/>
        </w:rPr>
        <w:t>, as well an Air Quality Index (AQI) of 150 for PM</w:t>
      </w:r>
      <w:r w:rsidR="00335D77" w:rsidRPr="00D11F03">
        <w:rPr>
          <w:u w:val="single"/>
          <w:vertAlign w:val="subscript"/>
        </w:rPr>
        <w:t>2.5</w:t>
      </w:r>
      <w:r w:rsidR="00335D77" w:rsidRPr="00D11F03">
        <w:rPr>
          <w:u w:val="single"/>
        </w:rPr>
        <w:t>, which is the criterion used in Cal/OSHA’s emergency regulation to protect outdoor workers from wildfire smoke (Cal/OSHA 2019)</w:t>
      </w:r>
      <w:r w:rsidR="00B56EA1">
        <w:t xml:space="preserve">. </w:t>
      </w:r>
      <w:r w:rsidR="000B3C39">
        <w:t>Inhalation</w:t>
      </w:r>
      <w:r w:rsidR="00472B7A">
        <w:t xml:space="preserve"> of</w:t>
      </w:r>
      <w:r w:rsidRPr="00D470DC">
        <w:t xml:space="preserve"> particulate matter can cause short-term breathing and</w:t>
      </w:r>
      <w:r w:rsidR="00472B7A">
        <w:t xml:space="preserve"> adverse</w:t>
      </w:r>
      <w:r w:rsidRPr="00D470DC">
        <w:t xml:space="preserve"> respiratory symptoms, aggravation of existing respiratory and/or cardiovascular conditions, premature death, exposure to carcinogens, and compromised immune function</w:t>
      </w:r>
      <w:r w:rsidR="00B56EA1">
        <w:t>.</w:t>
      </w:r>
    </w:p>
    <w:p w14:paraId="4DD7555F" w14:textId="676E8C01" w:rsidR="00B56EA1" w:rsidRDefault="00B16336" w:rsidP="00F45FE5">
      <w:pPr>
        <w:pStyle w:val="BodyText"/>
      </w:pPr>
      <w:r>
        <w:t xml:space="preserve">In addition to </w:t>
      </w:r>
      <w:r w:rsidR="00B56EA1" w:rsidRPr="00B56EA1">
        <w:t>PM</w:t>
      </w:r>
      <w:r w:rsidR="00B56EA1">
        <w:rPr>
          <w:vertAlign w:val="subscript"/>
        </w:rPr>
        <w:t>2.5</w:t>
      </w:r>
      <w:r w:rsidR="00B56EA1" w:rsidRPr="00B56EA1">
        <w:t>,</w:t>
      </w:r>
      <w:r w:rsidR="00B56EA1">
        <w:t xml:space="preserve"> smoke emissions contain CO, which at high </w:t>
      </w:r>
      <w:r>
        <w:t xml:space="preserve">concentrations </w:t>
      </w:r>
      <w:r w:rsidR="00B56EA1">
        <w:t xml:space="preserve">can cause </w:t>
      </w:r>
      <w:r w:rsidR="00B56EA1" w:rsidRPr="00B56EA1">
        <w:t xml:space="preserve">dizziness, nausea, and impaired mental function. </w:t>
      </w:r>
      <w:r w:rsidR="00B56EA1">
        <w:t>CO</w:t>
      </w:r>
      <w:r w:rsidR="00B56EA1" w:rsidRPr="00B56EA1">
        <w:t xml:space="preserve"> levels are highest during the smoldering stages of a fire, </w:t>
      </w:r>
      <w:r>
        <w:t xml:space="preserve">and resultant concentrations are </w:t>
      </w:r>
      <w:r w:rsidR="00B56EA1" w:rsidRPr="00B56EA1">
        <w:t xml:space="preserve">especially </w:t>
      </w:r>
      <w:r>
        <w:t xml:space="preserve">high in areas </w:t>
      </w:r>
      <w:r w:rsidR="00B56EA1" w:rsidRPr="00B56EA1">
        <w:t>close to the fire.</w:t>
      </w:r>
      <w:r w:rsidR="00B56EA1">
        <w:t xml:space="preserve"> CO </w:t>
      </w:r>
      <w:r>
        <w:t xml:space="preserve">disperses </w:t>
      </w:r>
      <w:r w:rsidR="00B56EA1" w:rsidRPr="00B56EA1">
        <w:t xml:space="preserve">rapidly </w:t>
      </w:r>
      <w:r>
        <w:t xml:space="preserve">with distance such that </w:t>
      </w:r>
      <w:r w:rsidR="00B56EA1" w:rsidRPr="00B56EA1">
        <w:t>fire</w:t>
      </w:r>
      <w:r>
        <w:t>-generated</w:t>
      </w:r>
      <w:r w:rsidR="00B56EA1" w:rsidRPr="00B56EA1">
        <w:t xml:space="preserve"> </w:t>
      </w:r>
      <w:r w:rsidR="00B56EA1">
        <w:t>CO</w:t>
      </w:r>
      <w:r w:rsidR="00B56EA1" w:rsidRPr="00B56EA1">
        <w:t xml:space="preserve"> will not </w:t>
      </w:r>
      <w:r>
        <w:t xml:space="preserve">adversely affect nearby receptors </w:t>
      </w:r>
      <w:r w:rsidR="00B56EA1" w:rsidRPr="00B56EA1">
        <w:t xml:space="preserve">unless a large fire occurs and inversion conditions trap the </w:t>
      </w:r>
      <w:r w:rsidR="00B56EA1">
        <w:t>CO</w:t>
      </w:r>
      <w:r w:rsidR="00B56EA1" w:rsidRPr="00B56EA1">
        <w:t xml:space="preserve"> </w:t>
      </w:r>
      <w:r w:rsidR="004957C4">
        <w:t>in areas where people are present</w:t>
      </w:r>
      <w:r w:rsidR="00B56EA1" w:rsidRPr="00B56EA1">
        <w:t xml:space="preserve">. </w:t>
      </w:r>
    </w:p>
    <w:p w14:paraId="0E2AD9B5" w14:textId="643F0ACA" w:rsidR="00662435" w:rsidRDefault="00492934" w:rsidP="00535241">
      <w:pPr>
        <w:pStyle w:val="BodyText"/>
      </w:pPr>
      <w:r>
        <w:t>Localized e</w:t>
      </w:r>
      <w:r w:rsidR="00D74278">
        <w:t>xposure to smoke from p</w:t>
      </w:r>
      <w:r w:rsidR="008A525B">
        <w:t>rescribed burn</w:t>
      </w:r>
      <w:r w:rsidR="00D74278">
        <w:t>s</w:t>
      </w:r>
      <w:r w:rsidR="008A525B">
        <w:t>,</w:t>
      </w:r>
      <w:r w:rsidR="00932810">
        <w:t xml:space="preserve"> like</w:t>
      </w:r>
      <w:r w:rsidR="008A525B">
        <w:t xml:space="preserve"> other emissions, is dependent on proximity to the source. </w:t>
      </w:r>
      <w:r w:rsidR="00E31048">
        <w:t>Those workers implementing the prescribe</w:t>
      </w:r>
      <w:r w:rsidR="004000A6">
        <w:t>d</w:t>
      </w:r>
      <w:r w:rsidR="00E31048">
        <w:t xml:space="preserve"> burn</w:t>
      </w:r>
      <w:r w:rsidR="008A525B">
        <w:t xml:space="preserve"> are at greatest risk for smoke exposure because they would be in or adjacent to active burn areas. CAL FIRE employs safety measures to protect fire personnel</w:t>
      </w:r>
      <w:r w:rsidR="00782F2E">
        <w:t xml:space="preserve"> when</w:t>
      </w:r>
      <w:r w:rsidR="008A525B">
        <w:t xml:space="preserve"> implementing prescribed burns, including respirators and goggles that </w:t>
      </w:r>
      <w:r w:rsidR="00DD08EA">
        <w:t xml:space="preserve">meet </w:t>
      </w:r>
      <w:r w:rsidR="008A525B">
        <w:t xml:space="preserve">occupational safety and health standards. CAL FIRE also requires approval of an </w:t>
      </w:r>
      <w:bookmarkStart w:id="81" w:name="_Hlk8289516"/>
      <w:r w:rsidR="008A525B">
        <w:t>Incident Action Plan (IAP</w:t>
      </w:r>
      <w:bookmarkEnd w:id="81"/>
      <w:r w:rsidR="008A525B">
        <w:t xml:space="preserve">) </w:t>
      </w:r>
      <w:r w:rsidR="00DD08EA">
        <w:t xml:space="preserve">that </w:t>
      </w:r>
      <w:r w:rsidR="008A525B">
        <w:t xml:space="preserve">identifies medical personnel and procedures and requires all personal protective equipment to be worn during fire operations (see </w:t>
      </w:r>
      <w:r w:rsidR="008A525B" w:rsidRPr="009D5745">
        <w:t xml:space="preserve">Appendix </w:t>
      </w:r>
      <w:r w:rsidR="009D5745" w:rsidRPr="009D5745">
        <w:t>AQ-2</w:t>
      </w:r>
      <w:r w:rsidR="008A525B">
        <w:t xml:space="preserve"> for a sample IAP). These safety measures would provide real-time monitoring o</w:t>
      </w:r>
      <w:r w:rsidR="00D74278">
        <w:t>f</w:t>
      </w:r>
      <w:r w:rsidR="008A525B">
        <w:t xml:space="preserve"> smoke conditions, reduce the potential for </w:t>
      </w:r>
      <w:r w:rsidR="00D74278">
        <w:t xml:space="preserve">adverse </w:t>
      </w:r>
      <w:r w:rsidR="008A525B">
        <w:t xml:space="preserve">smoke </w:t>
      </w:r>
      <w:r w:rsidR="00D74278">
        <w:t>effects</w:t>
      </w:r>
      <w:r w:rsidR="008A525B">
        <w:t>, and reduce inhalation hazards</w:t>
      </w:r>
      <w:r w:rsidR="00662435">
        <w:t xml:space="preserve"> for fire personnel</w:t>
      </w:r>
      <w:r w:rsidR="008A525B">
        <w:t xml:space="preserve">. </w:t>
      </w:r>
      <w:r w:rsidR="003F49E7">
        <w:t>Although these prescribed burning planning efforts are specific to CAL FIRE, each agency that plans and implements prescribed burns has its own set of agency-specific planning tools, planning and safety documents, public notification protocols, and best management practices to reduce risks related to safety, human health, and the environment.</w:t>
      </w:r>
      <w:r w:rsidR="00F0207D">
        <w:t xml:space="preserve"> Moreover</w:t>
      </w:r>
      <w:r w:rsidR="009950CF">
        <w:t>, SPR AQ-</w:t>
      </w:r>
      <w:r w:rsidR="00951AFB" w:rsidRPr="00D11F03">
        <w:rPr>
          <w:u w:val="single"/>
        </w:rPr>
        <w:t>6</w:t>
      </w:r>
      <w:r w:rsidR="006518D8" w:rsidRPr="00D11F03">
        <w:rPr>
          <w:strike/>
        </w:rPr>
        <w:t>8</w:t>
      </w:r>
      <w:r w:rsidR="009950CF">
        <w:t xml:space="preserve"> requires prescribed burns </w:t>
      </w:r>
      <w:r w:rsidR="009950CF">
        <w:lastRenderedPageBreak/>
        <w:t>conducted by non-CAL FIRE crews to follow all CAL FIRE safety procedures, including an approved IAP</w:t>
      </w:r>
      <w:r w:rsidR="00D51A4A">
        <w:t xml:space="preserve">, which would minimize </w:t>
      </w:r>
      <w:r w:rsidR="001A6545">
        <w:t xml:space="preserve">worker </w:t>
      </w:r>
      <w:r w:rsidR="00D51A4A">
        <w:t>exposure to smoke</w:t>
      </w:r>
      <w:r w:rsidR="009950CF">
        <w:t>.</w:t>
      </w:r>
    </w:p>
    <w:p w14:paraId="517BDFE1" w14:textId="381A327D" w:rsidR="008A525B" w:rsidRDefault="00662435" w:rsidP="00535241">
      <w:pPr>
        <w:pStyle w:val="BodyText"/>
      </w:pPr>
      <w:r>
        <w:t>To protect the public from smoke emissions, emissions from prescribed burns are regularly controlled through reduction techniques</w:t>
      </w:r>
      <w:r w:rsidR="00640E57">
        <w:t>,</w:t>
      </w:r>
      <w:r>
        <w:t xml:space="preserve"> such as burning </w:t>
      </w:r>
      <w:r w:rsidR="009F5F89">
        <w:t xml:space="preserve">only </w:t>
      </w:r>
      <w:r>
        <w:t xml:space="preserve">when fuels have a </w:t>
      </w:r>
      <w:r w:rsidR="009F5F89">
        <w:t>prescribed</w:t>
      </w:r>
      <w:r w:rsidR="003E1BFF">
        <w:t xml:space="preserve"> </w:t>
      </w:r>
      <w:r>
        <w:t xml:space="preserve">moisture content, </w:t>
      </w:r>
      <w:r w:rsidR="00640E57">
        <w:t xml:space="preserve">reducing </w:t>
      </w:r>
      <w:r>
        <w:t>fuels before ignition, and scheduling burn</w:t>
      </w:r>
      <w:r w:rsidR="00B75033">
        <w:t>s</w:t>
      </w:r>
      <w:r>
        <w:t xml:space="preserve"> before new fuels appear. </w:t>
      </w:r>
      <w:r w:rsidR="00B75033">
        <w:t xml:space="preserve">According to the </w:t>
      </w:r>
      <w:r w:rsidR="00B75033">
        <w:rPr>
          <w:color w:val="000000" w:themeColor="text1"/>
        </w:rPr>
        <w:t>National Wildfire Coordinating Group</w:t>
      </w:r>
      <w:r w:rsidR="00B75033">
        <w:t>, i</w:t>
      </w:r>
      <w:r w:rsidRPr="00185DBE">
        <w:t xml:space="preserve">f emission reduction techniques </w:t>
      </w:r>
      <w:r w:rsidR="007173C8">
        <w:t>a</w:t>
      </w:r>
      <w:r w:rsidRPr="00185DBE">
        <w:t>re optimally used, emissions</w:t>
      </w:r>
      <w:r w:rsidR="007D0A92">
        <w:t xml:space="preserve"> from prescribed burns around the U.S.</w:t>
      </w:r>
      <w:r w:rsidRPr="00185DBE">
        <w:t xml:space="preserve"> could potentially be reduced by 20</w:t>
      </w:r>
      <w:r w:rsidR="00B75033">
        <w:t>–</w:t>
      </w:r>
      <w:r w:rsidRPr="00185DBE">
        <w:t>25</w:t>
      </w:r>
      <w:r>
        <w:t xml:space="preserve"> percent</w:t>
      </w:r>
      <w:r w:rsidR="007D0A92">
        <w:t xml:space="preserve"> without interfering with </w:t>
      </w:r>
      <w:r w:rsidRPr="00185DBE">
        <w:t xml:space="preserve">land management </w:t>
      </w:r>
      <w:r w:rsidR="007D0A92">
        <w:t xml:space="preserve">objectives </w:t>
      </w:r>
      <w:r>
        <w:t xml:space="preserve">(NWCG 2018). Furthermore, several SPRs address prescribed burning and would be implemented to minimize smoke emissions and </w:t>
      </w:r>
      <w:r w:rsidR="00E31048">
        <w:t xml:space="preserve">potential </w:t>
      </w:r>
      <w:r>
        <w:t>exposure of</w:t>
      </w:r>
      <w:r w:rsidR="007F3A72">
        <w:t xml:space="preserve"> people</w:t>
      </w:r>
      <w:r>
        <w:t xml:space="preserve">. </w:t>
      </w:r>
      <w:r w:rsidR="008A525B">
        <w:t>SPR AD-4 require</w:t>
      </w:r>
      <w:r w:rsidR="000E355C">
        <w:t>s</w:t>
      </w:r>
      <w:r w:rsidR="008A525B">
        <w:t xml:space="preserve"> adequate public notic</w:t>
      </w:r>
      <w:r w:rsidR="00F0207D">
        <w:t>ing</w:t>
      </w:r>
      <w:r w:rsidR="008A525B">
        <w:t xml:space="preserve"> and signage about prescribed burns including timing, contact information, and description of the activity. </w:t>
      </w:r>
      <w:r>
        <w:t xml:space="preserve">The public would be restricted from areas where active burns </w:t>
      </w:r>
      <w:r w:rsidR="00B75033">
        <w:t xml:space="preserve">would take </w:t>
      </w:r>
      <w:r>
        <w:t xml:space="preserve">place. </w:t>
      </w:r>
      <w:r w:rsidR="008A525B">
        <w:t xml:space="preserve">SPR AQ-2 </w:t>
      </w:r>
      <w:r w:rsidR="00B56EA1">
        <w:t>require</w:t>
      </w:r>
      <w:r w:rsidR="000E355C">
        <w:t>s</w:t>
      </w:r>
      <w:r w:rsidR="008A525B">
        <w:t xml:space="preserve"> burn managers </w:t>
      </w:r>
      <w:r w:rsidR="00B56EA1">
        <w:t xml:space="preserve">to </w:t>
      </w:r>
      <w:r w:rsidR="008A525B">
        <w:t>submit and obtain approval for their SMP</w:t>
      </w:r>
      <w:r w:rsidR="00B75033">
        <w:t>s</w:t>
      </w:r>
      <w:r w:rsidR="008A525B">
        <w:t xml:space="preserve">, which would identify </w:t>
      </w:r>
      <w:r w:rsidR="007F3A72">
        <w:t>the locations where people may be present</w:t>
      </w:r>
      <w:r w:rsidR="008A525B">
        <w:t xml:space="preserve"> and specify the smoke prescription to reduce </w:t>
      </w:r>
      <w:r w:rsidR="00B75033">
        <w:t xml:space="preserve">their exposure to </w:t>
      </w:r>
      <w:r w:rsidR="008A525B">
        <w:t>smoke</w:t>
      </w:r>
      <w:r>
        <w:t>. Additionally, SPR AQ-3 require</w:t>
      </w:r>
      <w:r w:rsidR="000E355C">
        <w:t>s</w:t>
      </w:r>
      <w:r>
        <w:t xml:space="preserve"> completion of a burn plan.</w:t>
      </w:r>
      <w:r w:rsidR="00423D11">
        <w:t xml:space="preserve"> </w:t>
      </w:r>
      <w:r w:rsidR="00423D11" w:rsidRPr="00423D11">
        <w:t>Contents of a prescri</w:t>
      </w:r>
      <w:r w:rsidR="00D51A4A">
        <w:t>bed</w:t>
      </w:r>
      <w:r w:rsidR="00423D11" w:rsidRPr="00423D11">
        <w:t xml:space="preserve"> burn plan also include the date, location, and description of the area in detail, prescriptive weather requirements, fire behavior modeling</w:t>
      </w:r>
      <w:r w:rsidR="00423D11">
        <w:t>,</w:t>
      </w:r>
      <w:r w:rsidR="00423D11" w:rsidRPr="00423D11">
        <w:t xml:space="preserve"> the ignition plan (including technique, time of day, and mop-up), a contingency plan, the smoke management plan (SMP), public notification plan, a go/no go checklist, and contact information for the burn boss and others in charge of the prescri</w:t>
      </w:r>
      <w:r w:rsidR="00F0207D">
        <w:t>bed</w:t>
      </w:r>
      <w:r w:rsidR="00423D11" w:rsidRPr="00423D11">
        <w:t xml:space="preserve"> burn. </w:t>
      </w:r>
      <w:r w:rsidR="00423D11">
        <w:t xml:space="preserve">Burn plans reduce the potential for public exposure to smoke by requiring the activity to be designed in a way that </w:t>
      </w:r>
      <w:r w:rsidR="003F49E7">
        <w:t>prioritizes public safety, and by identifying</w:t>
      </w:r>
      <w:r w:rsidR="00423D11">
        <w:t xml:space="preserve"> the </w:t>
      </w:r>
      <w:r w:rsidR="003F49E7">
        <w:t xml:space="preserve">specific </w:t>
      </w:r>
      <w:r w:rsidR="00423D11">
        <w:t xml:space="preserve">conditions under which </w:t>
      </w:r>
      <w:r w:rsidR="003F49E7">
        <w:t>a safe</w:t>
      </w:r>
      <w:r w:rsidR="00423D11">
        <w:t xml:space="preserve"> prescribed burn</w:t>
      </w:r>
      <w:r w:rsidR="003F49E7">
        <w:t xml:space="preserve"> can</w:t>
      </w:r>
      <w:r w:rsidR="00A74602">
        <w:t xml:space="preserve"> commence and</w:t>
      </w:r>
      <w:r w:rsidR="003F49E7">
        <w:t xml:space="preserve"> proceed.</w:t>
      </w:r>
      <w:r w:rsidR="00CE2E67">
        <w:t xml:space="preserve"> </w:t>
      </w:r>
      <w:r w:rsidR="003F49E7">
        <w:t>S</w:t>
      </w:r>
      <w:r w:rsidR="00423D11">
        <w:t>pecific to prescribed burns implemented by CAL FIRE, o</w:t>
      </w:r>
      <w:r w:rsidR="008A525B">
        <w:t xml:space="preserve">ne crew member is typically assigned to report weather </w:t>
      </w:r>
      <w:r w:rsidR="00395654">
        <w:t xml:space="preserve">conditions </w:t>
      </w:r>
      <w:r w:rsidR="008A525B">
        <w:t xml:space="preserve">to the Incident Commander every 30 minutes to make sure the burn is staying within its prescription. If conditions deviate from the burn plan, crews transition from active burning activities to patrolling and/or extinguishing. In the event a prescribed burn </w:t>
      </w:r>
      <w:r w:rsidR="00395654">
        <w:t>extends</w:t>
      </w:r>
      <w:r w:rsidR="008A525B">
        <w:t xml:space="preserve"> beyond the perimeter of its planned area, </w:t>
      </w:r>
      <w:r w:rsidR="00395654">
        <w:t xml:space="preserve">on-site </w:t>
      </w:r>
      <w:r w:rsidR="008A525B">
        <w:t xml:space="preserve">hand crews are </w:t>
      </w:r>
      <w:r w:rsidR="00395654">
        <w:t xml:space="preserve">deployed </w:t>
      </w:r>
      <w:r w:rsidR="008A525B">
        <w:t>to control the escape.</w:t>
      </w:r>
    </w:p>
    <w:p w14:paraId="184891BC" w14:textId="1F439742" w:rsidR="008A525B" w:rsidRPr="00F45FE5" w:rsidRDefault="008A525B" w:rsidP="00535241">
      <w:pPr>
        <w:pStyle w:val="BodyText"/>
      </w:pPr>
      <w:r>
        <w:t xml:space="preserve">However, despite adherence to an SMP, IAP, and other precautionary measures, </w:t>
      </w:r>
      <w:r w:rsidR="005A2114">
        <w:t xml:space="preserve">meteorological conditions may change </w:t>
      </w:r>
      <w:r w:rsidR="00562054">
        <w:t xml:space="preserve">during some prescribed burns </w:t>
      </w:r>
      <w:r w:rsidR="005A2114">
        <w:t xml:space="preserve">and the quantity of smoke generated and the direction </w:t>
      </w:r>
      <w:r w:rsidR="00A74602">
        <w:t xml:space="preserve">and height </w:t>
      </w:r>
      <w:r w:rsidR="005A2114">
        <w:t xml:space="preserve">of its dispersion may not </w:t>
      </w:r>
      <w:r w:rsidR="00A74602">
        <w:t xml:space="preserve">occur </w:t>
      </w:r>
      <w:r>
        <w:t>as predicted</w:t>
      </w:r>
      <w:r w:rsidR="005A2114">
        <w:t>. During these instances</w:t>
      </w:r>
      <w:r>
        <w:t xml:space="preserve"> </w:t>
      </w:r>
      <w:r w:rsidR="00640E57">
        <w:t xml:space="preserve">unanticipated </w:t>
      </w:r>
      <w:r w:rsidR="007F3A72">
        <w:t>people</w:t>
      </w:r>
      <w:r>
        <w:t xml:space="preserve"> </w:t>
      </w:r>
      <w:r w:rsidR="005A2114">
        <w:t>c</w:t>
      </w:r>
      <w:r>
        <w:t xml:space="preserve">ould be exposed </w:t>
      </w:r>
      <w:r w:rsidR="00662435">
        <w:t>to smoke</w:t>
      </w:r>
      <w:r>
        <w:t>.</w:t>
      </w:r>
      <w:r w:rsidR="006E68C7">
        <w:t xml:space="preserve"> The concentrations of </w:t>
      </w:r>
      <w:r w:rsidR="000000F9">
        <w:t>CO</w:t>
      </w:r>
      <w:r w:rsidR="00562054">
        <w:t>, PM</w:t>
      </w:r>
      <w:r w:rsidR="00562054" w:rsidRPr="006E68C7">
        <w:rPr>
          <w:vertAlign w:val="subscript"/>
        </w:rPr>
        <w:t>10</w:t>
      </w:r>
      <w:r w:rsidR="00562054">
        <w:t xml:space="preserve">, </w:t>
      </w:r>
      <w:r w:rsidR="000000F9">
        <w:t>and PM</w:t>
      </w:r>
      <w:r w:rsidR="000000F9">
        <w:rPr>
          <w:vertAlign w:val="subscript"/>
        </w:rPr>
        <w:t>2.5</w:t>
      </w:r>
      <w:r w:rsidR="006E68C7">
        <w:t xml:space="preserve"> contained in the smoke could exceed, or contribute to</w:t>
      </w:r>
      <w:r w:rsidR="00562054">
        <w:t>,</w:t>
      </w:r>
      <w:r w:rsidR="006E68C7">
        <w:t xml:space="preserve"> a </w:t>
      </w:r>
      <w:r w:rsidR="00C11D68">
        <w:t xml:space="preserve">localized </w:t>
      </w:r>
      <w:r w:rsidR="006E68C7">
        <w:t xml:space="preserve">exceedance of, the NAAQS and CAAQS for </w:t>
      </w:r>
      <w:r w:rsidR="00562054">
        <w:t xml:space="preserve">CO, </w:t>
      </w:r>
      <w:r w:rsidR="006E68C7">
        <w:t>PM</w:t>
      </w:r>
      <w:r w:rsidR="006E68C7" w:rsidRPr="006E68C7">
        <w:rPr>
          <w:vertAlign w:val="subscript"/>
        </w:rPr>
        <w:t>10</w:t>
      </w:r>
      <w:r w:rsidR="00562054">
        <w:t xml:space="preserve">, </w:t>
      </w:r>
      <w:r w:rsidR="006E68C7">
        <w:t>and PM</w:t>
      </w:r>
      <w:r w:rsidR="006E68C7">
        <w:rPr>
          <w:vertAlign w:val="subscript"/>
        </w:rPr>
        <w:t>2.5</w:t>
      </w:r>
      <w:r w:rsidR="00D1227A">
        <w:t xml:space="preserve"> and expose receptors to adverse health effects</w:t>
      </w:r>
      <w:r w:rsidR="001A6545" w:rsidRPr="001A6545">
        <w:t xml:space="preserve"> </w:t>
      </w:r>
      <w:r w:rsidR="001A6545">
        <w:t>such as breathing and adverse respiratory symptoms, aggravation of existing respiratory and/or cardiovascular conditions in the short-term, and in the long term, premature death, exposure to carcinogens, and compromised immune function</w:t>
      </w:r>
      <w:r w:rsidR="006E68C7">
        <w:t xml:space="preserve">. Such events could occur more frequently under </w:t>
      </w:r>
      <w:r>
        <w:t xml:space="preserve">the CalVTP </w:t>
      </w:r>
      <w:r w:rsidR="006E68C7">
        <w:t xml:space="preserve">simply because more prescribed burns would </w:t>
      </w:r>
      <w:r w:rsidR="000000F9">
        <w:t>be performed</w:t>
      </w:r>
      <w:r w:rsidR="000E355C">
        <w:t xml:space="preserve"> </w:t>
      </w:r>
      <w:r w:rsidR="00640E57">
        <w:t xml:space="preserve">each year, compared </w:t>
      </w:r>
      <w:r w:rsidR="000E355C">
        <w:t>to existing conditions</w:t>
      </w:r>
      <w:r>
        <w:t>.</w:t>
      </w:r>
    </w:p>
    <w:p w14:paraId="0AE87310" w14:textId="77777777" w:rsidR="008F3011" w:rsidRDefault="008F3011" w:rsidP="008F3011">
      <w:pPr>
        <w:pStyle w:val="Heading6"/>
      </w:pPr>
      <w:r>
        <w:t>Summary</w:t>
      </w:r>
    </w:p>
    <w:p w14:paraId="41A2E01D" w14:textId="2BA25839" w:rsidR="00B26CE1" w:rsidRDefault="00E90D1E" w:rsidP="00535241">
      <w:pPr>
        <w:pStyle w:val="BodyText"/>
      </w:pPr>
      <w:r w:rsidRPr="00E90D1E">
        <w:t xml:space="preserve">Emissions of criteria air pollutants and precursors </w:t>
      </w:r>
      <w:r>
        <w:t xml:space="preserve">associated with treatment activity performed </w:t>
      </w:r>
      <w:r w:rsidR="000E355C">
        <w:t xml:space="preserve">by qualifying projects </w:t>
      </w:r>
      <w:r>
        <w:t>under the</w:t>
      </w:r>
      <w:r w:rsidRPr="00E90D1E">
        <w:t xml:space="preserve"> CalVTP </w:t>
      </w:r>
      <w:r w:rsidR="00BE1F12">
        <w:t>w</w:t>
      </w:r>
      <w:r w:rsidRPr="00E90D1E">
        <w:t xml:space="preserve">ould </w:t>
      </w:r>
      <w:r w:rsidR="00BE1F12">
        <w:t xml:space="preserve">likely </w:t>
      </w:r>
      <w:r w:rsidRPr="00E90D1E">
        <w:t>exceed air district–established mass emission thresholds and, therefore, result in</w:t>
      </w:r>
      <w:r w:rsidR="00B26CE1">
        <w:t xml:space="preserve">, or contribute to, </w:t>
      </w:r>
      <w:r w:rsidR="003133E8">
        <w:t xml:space="preserve">the nonattainment status with respect to the NAAQS and CAAQS </w:t>
      </w:r>
      <w:r w:rsidR="003133E8" w:rsidRPr="00E90D1E">
        <w:t>in one or more air basins</w:t>
      </w:r>
      <w:r w:rsidR="0091450C">
        <w:t>, thereby conflicting with the air quality planning efforts of regional air districts</w:t>
      </w:r>
      <w:r w:rsidR="00B57A98">
        <w:t>, including those that comprise the SIP</w:t>
      </w:r>
      <w:r w:rsidRPr="00E90D1E">
        <w:t xml:space="preserve">. In addition, </w:t>
      </w:r>
      <w:r w:rsidR="006C1FF2">
        <w:t xml:space="preserve">treatment activity–related emissions could result in, or contribute to, localized exceedances of NAAQS and CAAQS in areas where people reside and work. Such localized exceedances could result from </w:t>
      </w:r>
      <w:r w:rsidRPr="00E90D1E">
        <w:t>fugitive PM</w:t>
      </w:r>
      <w:r>
        <w:rPr>
          <w:vertAlign w:val="subscript"/>
        </w:rPr>
        <w:t>10</w:t>
      </w:r>
      <w:r w:rsidRPr="00E90D1E">
        <w:t xml:space="preserve"> and PM</w:t>
      </w:r>
      <w:r>
        <w:rPr>
          <w:vertAlign w:val="subscript"/>
        </w:rPr>
        <w:t>2.5</w:t>
      </w:r>
      <w:r w:rsidRPr="00E90D1E">
        <w:t xml:space="preserve"> dust emissions generated </w:t>
      </w:r>
      <w:r w:rsidR="003133E8">
        <w:t>by</w:t>
      </w:r>
      <w:r w:rsidRPr="00E90D1E">
        <w:t xml:space="preserve"> travel by workers and haul trucks on unpaved roads </w:t>
      </w:r>
      <w:r w:rsidR="006C1FF2">
        <w:t>and from prescribed burns that generate smoke containing CO, PM</w:t>
      </w:r>
      <w:r w:rsidR="006C1FF2" w:rsidRPr="006E68C7">
        <w:rPr>
          <w:vertAlign w:val="subscript"/>
        </w:rPr>
        <w:t>10</w:t>
      </w:r>
      <w:r w:rsidR="006C1FF2">
        <w:t>, and PM</w:t>
      </w:r>
      <w:r w:rsidR="006C1FF2">
        <w:rPr>
          <w:vertAlign w:val="subscript"/>
        </w:rPr>
        <w:t>2.5</w:t>
      </w:r>
      <w:r w:rsidR="006C1FF2">
        <w:t xml:space="preserve">. </w:t>
      </w:r>
      <w:r w:rsidR="00E76641">
        <w:t xml:space="preserve">Because of these </w:t>
      </w:r>
      <w:r w:rsidR="00FA423D">
        <w:t xml:space="preserve">possible </w:t>
      </w:r>
      <w:r w:rsidR="00E76641">
        <w:t xml:space="preserve">adverse effects </w:t>
      </w:r>
      <w:r w:rsidR="00B86E49">
        <w:t>to</w:t>
      </w:r>
      <w:r w:rsidR="00E76641">
        <w:t xml:space="preserve"> air quality on both a regional level and local level</w:t>
      </w:r>
      <w:r w:rsidR="00D1227A">
        <w:t xml:space="preserve"> and the result</w:t>
      </w:r>
      <w:r w:rsidR="001A6545">
        <w:t>ing</w:t>
      </w:r>
      <w:r w:rsidR="00D1227A">
        <w:t xml:space="preserve"> health effects that could be experienced by exposed receptors</w:t>
      </w:r>
      <w:r w:rsidR="00E76641">
        <w:t>, this impact</w:t>
      </w:r>
      <w:r w:rsidR="00FA423D">
        <w:t>, if it occurred,</w:t>
      </w:r>
      <w:r w:rsidR="00E76641">
        <w:t xml:space="preserve"> would be </w:t>
      </w:r>
      <w:r w:rsidR="00FA423D" w:rsidRPr="00FA423D">
        <w:rPr>
          <w:b/>
        </w:rPr>
        <w:t>potentially</w:t>
      </w:r>
      <w:r w:rsidR="00FA423D">
        <w:t xml:space="preserve"> </w:t>
      </w:r>
      <w:r w:rsidR="00E76641" w:rsidRPr="00E76641">
        <w:rPr>
          <w:b/>
        </w:rPr>
        <w:t>significant</w:t>
      </w:r>
      <w:r w:rsidR="00E76641">
        <w:t>.</w:t>
      </w:r>
    </w:p>
    <w:p w14:paraId="49A4AB8A" w14:textId="00E2F70F" w:rsidR="0043309A" w:rsidRDefault="0043309A" w:rsidP="00535241">
      <w:pPr>
        <w:pStyle w:val="BodyText"/>
      </w:pPr>
      <w:r>
        <w:t>While implementation of the CalVTP would result in emissions of criteria air pollutants and precursors from on- and off-road equipment, vehicle travel, and prescribed burns that may exceed the mass emission thresholds of local air districts, it is also reasonable to expect that the treatment activities conducted under the CalVTP</w:t>
      </w:r>
      <w:r w:rsidRPr="008274CC">
        <w:t xml:space="preserve"> </w:t>
      </w:r>
      <w:r>
        <w:t xml:space="preserve">would result in some degree of long-term reduction in emissions of criteria air pollutants and precursors from wildfires by reducing the intensity of wildfires in treated landscapes, limiting wildfire spread, and slowing the progress of some fires to allow for more rapid containment. As described in Chapter 2, “Program Description,” a primary purpose of the CalVTP is to </w:t>
      </w:r>
      <w:r>
        <w:lastRenderedPageBreak/>
        <w:t>reduce wildfire risk in California. Emergency response for firefighting efforts requires mobilizing and deploying significant human and equipment resources from throughout the state, and in some cases nationally and internationally. Furthermore, when wildfires destroy structures, large volumes of debris are generated, which must be removed by haul trucks. This major surge in the use of on-road vehicles and off-road equipment during wildfire response results in an increase of emissions also unaccounted for by the air quality planning efforts of air districts. Wildfire itself, through the combustion of vegetative and non-vegetative fuels also results in increased and unforeseen emissions. As discussed in Section 3.4.2, “Environmental Setting,” r</w:t>
      </w:r>
      <w:r w:rsidRPr="0000663F">
        <w:t xml:space="preserve">ecent major wildfires have created hazardous air pollution conditions requiring health advisories and </w:t>
      </w:r>
      <w:r>
        <w:t>“</w:t>
      </w:r>
      <w:r w:rsidRPr="0000663F">
        <w:t>spare the air</w:t>
      </w:r>
      <w:r>
        <w:t>”</w:t>
      </w:r>
      <w:r w:rsidRPr="0000663F">
        <w:t xml:space="preserve"> days far from the site of the fire. Thus, wildfires are generally far more likely to result in adverse air quality and public health impacts than prescribed burns.</w:t>
      </w:r>
      <w:r>
        <w:t xml:space="preserve"> Given the unpredictability of wildfire, the variability in emission characteristics of wildfire fuels (i.e., grass-type, shrub-type, tree-type, built structures), and the possible variability in emissions from treatment activities under the CalVTP, evaluating the net effect of the CalVTP on emissions associated with wildfire and wildfire response is not possible, nor is it pertinent to determining the significance of </w:t>
      </w:r>
      <w:r w:rsidR="00AB6E7B">
        <w:t>the emissions from treatment activities</w:t>
      </w:r>
      <w:r>
        <w:t xml:space="preserve"> under CEQA. This information is presented to explain the broader context for consideration of fire-related emissions in California, </w:t>
      </w:r>
      <w:r w:rsidR="00AB6E7B">
        <w:t>including both</w:t>
      </w:r>
      <w:r>
        <w:t xml:space="preserve"> treatment emissions </w:t>
      </w:r>
      <w:r w:rsidR="00AB6E7B">
        <w:t>and wildfire emissions</w:t>
      </w:r>
      <w:r>
        <w:t>.</w:t>
      </w:r>
      <w:r w:rsidR="000F2DB3">
        <w:t xml:space="preserve"> </w:t>
      </w:r>
    </w:p>
    <w:p w14:paraId="1FAD6DE4" w14:textId="6621DC79" w:rsidR="00B52E53" w:rsidRPr="00B52E53" w:rsidRDefault="00B52E53" w:rsidP="00B52E53">
      <w:pPr>
        <w:keepNext/>
        <w:keepLines/>
        <w:spacing w:before="240"/>
        <w:outlineLvl w:val="4"/>
        <w:rPr>
          <w:rFonts w:ascii="Trebuchet MS" w:eastAsia="Calibri" w:hAnsi="Trebuchet MS" w:cs="Times New Roman"/>
          <w:sz w:val="24"/>
          <w:szCs w:val="26"/>
        </w:rPr>
      </w:pPr>
      <w:r w:rsidRPr="00741B21">
        <w:rPr>
          <w:rFonts w:ascii="Trebuchet MS" w:eastAsia="Calibri" w:hAnsi="Trebuchet MS" w:cs="Times New Roman"/>
          <w:sz w:val="24"/>
          <w:szCs w:val="26"/>
        </w:rPr>
        <w:t>Mitigation Measures</w:t>
      </w:r>
    </w:p>
    <w:p w14:paraId="6C7940CF" w14:textId="7DDB1BA0" w:rsidR="00A64CCD" w:rsidRPr="00B223A0" w:rsidRDefault="00A64CCD" w:rsidP="00A64CCD">
      <w:pPr>
        <w:pStyle w:val="Mitigationtitle"/>
        <w:rPr>
          <w:spacing w:val="-4"/>
        </w:rPr>
      </w:pPr>
      <w:bookmarkStart w:id="82" w:name="_Hlk6908197"/>
      <w:r w:rsidRPr="00B223A0">
        <w:rPr>
          <w:spacing w:val="-4"/>
        </w:rPr>
        <w:t>Mitigation Measure AQ-1</w:t>
      </w:r>
      <w:r>
        <w:rPr>
          <w:spacing w:val="-4"/>
        </w:rPr>
        <w:t>:</w:t>
      </w:r>
      <w:r w:rsidRPr="00B223A0">
        <w:rPr>
          <w:spacing w:val="-4"/>
        </w:rPr>
        <w:t xml:space="preserve"> Implement On-Road Vehicle and Off-Road Equipment Exhaust Emission Reduction Techniques</w:t>
      </w:r>
    </w:p>
    <w:p w14:paraId="02B83BF7" w14:textId="27B350E5" w:rsidR="00A64CCD" w:rsidRDefault="00A64CCD" w:rsidP="00A64CCD">
      <w:pPr>
        <w:pStyle w:val="Mitigationtext"/>
      </w:pPr>
      <w:r>
        <w:t xml:space="preserve">Where feasible, project proponents will implement emission reduction techniques to reduce exhaust emissions from off-road equipment. It is acknowledged that due to cost, availability, and the limits of current technology, there may be circumstances where implementation of certain emission reduction techniques will not feasible. The project proponent will document </w:t>
      </w:r>
      <w:r w:rsidR="00196CAA">
        <w:t>the</w:t>
      </w:r>
      <w:r>
        <w:t xml:space="preserve"> emission reduction techniques that will be applied and will explain the reasons other techniques that could reduce emissions are infeasible.</w:t>
      </w:r>
    </w:p>
    <w:p w14:paraId="70E12275" w14:textId="2D1F4099" w:rsidR="00A64CCD" w:rsidRDefault="00A64CCD" w:rsidP="00A64CCD">
      <w:pPr>
        <w:pStyle w:val="Mitigationtext"/>
      </w:pPr>
      <w:r>
        <w:t>Techniques for reducing emissions</w:t>
      </w:r>
      <w:r w:rsidR="00196CAA">
        <w:t xml:space="preserve"> may</w:t>
      </w:r>
      <w:r>
        <w:t xml:space="preserve"> include, but are not limited to, the following:</w:t>
      </w:r>
    </w:p>
    <w:p w14:paraId="07F3D766" w14:textId="77777777" w:rsidR="00A64CCD" w:rsidRDefault="00A64CCD" w:rsidP="00A64CCD">
      <w:pPr>
        <w:pStyle w:val="MMBullet1"/>
      </w:pPr>
      <w:r>
        <w:t>D</w:t>
      </w:r>
      <w:r w:rsidRPr="00F42B69">
        <w:t xml:space="preserve">iesel-powered off-road equipment used in construction </w:t>
      </w:r>
      <w:r>
        <w:t>will</w:t>
      </w:r>
      <w:r w:rsidRPr="00F42B69">
        <w:t xml:space="preserve"> meet EPA</w:t>
      </w:r>
      <w:r>
        <w:t>’</w:t>
      </w:r>
      <w:r w:rsidRPr="00F42B69">
        <w:t>s Tier 4 emission standards as defined in 40 CFR 1039 and comply with the exhaust emission test procedures and provisions of 40 CFR Parts 1065 and 1068. Tier</w:t>
      </w:r>
      <w:r>
        <w:t> </w:t>
      </w:r>
      <w:r w:rsidRPr="00F42B69">
        <w:t xml:space="preserve">3 models can be used if a Tier 4 version of the equipment type is not yet produced by manufacturers. This measure can also be achieved by using battery-electric off-road equipment as it becomes available. </w:t>
      </w:r>
      <w:r w:rsidRPr="0056658D">
        <w:t xml:space="preserve">Prior to implementation of treatment activities, </w:t>
      </w:r>
      <w:r>
        <w:t xml:space="preserve">the </w:t>
      </w:r>
      <w:r w:rsidRPr="0056658D">
        <w:t xml:space="preserve">project proponent </w:t>
      </w:r>
      <w:r>
        <w:t>will</w:t>
      </w:r>
      <w:r w:rsidRPr="0056658D">
        <w:t xml:space="preserve"> demonstrate the ability to supply the compliant equipment. A copy of each unit</w:t>
      </w:r>
      <w:r>
        <w:t>’</w:t>
      </w:r>
      <w:r w:rsidRPr="0056658D">
        <w:t xml:space="preserve">s certified tier specification or model year specification and operating permit (if applicable) </w:t>
      </w:r>
      <w:r>
        <w:t>will</w:t>
      </w:r>
      <w:r w:rsidRPr="0056658D">
        <w:t xml:space="preserve"> be available upon request at the time of mobilization of each unit of equipment.</w:t>
      </w:r>
    </w:p>
    <w:p w14:paraId="309B1608" w14:textId="77777777" w:rsidR="00A64CCD" w:rsidRDefault="00A64CCD" w:rsidP="00A64CCD">
      <w:pPr>
        <w:pStyle w:val="MMBullet1"/>
      </w:pPr>
      <w:r>
        <w:t>Use renewable diesel fuel in diesel-powered construction equipment. Renewable diesel fuel must meet the following criteria:</w:t>
      </w:r>
    </w:p>
    <w:p w14:paraId="48A910AA" w14:textId="77777777" w:rsidR="00A64CCD" w:rsidRDefault="00A64CCD" w:rsidP="00A64CCD">
      <w:pPr>
        <w:pStyle w:val="MMBullet2"/>
      </w:pPr>
      <w:r>
        <w:t>meet California’s Low Carbon Fuel Standards and be certified by CARB Executive Officer;</w:t>
      </w:r>
    </w:p>
    <w:p w14:paraId="18F128D8" w14:textId="77777777" w:rsidR="00A64CCD" w:rsidRDefault="00A64CCD" w:rsidP="00A64CCD">
      <w:pPr>
        <w:pStyle w:val="MMBullet2"/>
      </w:pPr>
      <w:r>
        <w:t>be hydrogenation-derived (reaction with hydrogen at high temperatures) from 100 percent biomass material (i.e., non-petroleum sources), such as animal fats and vegetables;</w:t>
      </w:r>
    </w:p>
    <w:p w14:paraId="76B8AD33" w14:textId="77777777" w:rsidR="00A64CCD" w:rsidRDefault="00A64CCD" w:rsidP="00A64CCD">
      <w:pPr>
        <w:pStyle w:val="MMBullet2"/>
      </w:pPr>
      <w:r>
        <w:t>contain no fatty acids or functionalized fatty acid esters; and</w:t>
      </w:r>
    </w:p>
    <w:p w14:paraId="25D9695A" w14:textId="77777777" w:rsidR="00A64CCD" w:rsidRDefault="00A64CCD" w:rsidP="00A64CCD">
      <w:pPr>
        <w:pStyle w:val="MMBullet2"/>
      </w:pPr>
      <w:r>
        <w:t xml:space="preserve">have a chemical structure that is identical to petroleum-based diesel and complies with American Society for Testing and Materials D975 requirements for diesel fuels to ensure compatibility with all existing diesel engines. </w:t>
      </w:r>
    </w:p>
    <w:p w14:paraId="20AB63DC" w14:textId="77777777" w:rsidR="00A64CCD" w:rsidRDefault="00A64CCD" w:rsidP="00A64CCD">
      <w:pPr>
        <w:pStyle w:val="MMBullet1"/>
      </w:pPr>
      <w:r>
        <w:t>Electric- and gasoline-powered equipment will be substituted for diesel-powered equipment.</w:t>
      </w:r>
    </w:p>
    <w:p w14:paraId="6A22B14E" w14:textId="77777777" w:rsidR="00A64CCD" w:rsidRDefault="00A64CCD" w:rsidP="00A64CCD">
      <w:pPr>
        <w:pStyle w:val="MMBullet1"/>
      </w:pPr>
      <w:r>
        <w:t>Workers will be encouraged to carpool to work sites, and/or use public transportation for their commutes.</w:t>
      </w:r>
    </w:p>
    <w:p w14:paraId="1DC1AD34" w14:textId="10F42CE0" w:rsidR="00A64CCD" w:rsidRDefault="00A64CCD" w:rsidP="00A64CCD">
      <w:pPr>
        <w:pStyle w:val="MMBullet1"/>
      </w:pPr>
      <w:r>
        <w:t>Off-road equipment, diesel trucks, and generators will be equipped with Best Available Control Technology for emission reductions of NO</w:t>
      </w:r>
      <w:r>
        <w:rPr>
          <w:vertAlign w:val="subscript"/>
        </w:rPr>
        <w:t>X</w:t>
      </w:r>
      <w:r>
        <w:t xml:space="preserve"> and PM.</w:t>
      </w:r>
      <w:r w:rsidR="00986BB6">
        <w:t xml:space="preserve"> </w:t>
      </w:r>
    </w:p>
    <w:p w14:paraId="7E70904B" w14:textId="6633FB5E" w:rsidR="003B1A61" w:rsidRPr="005635F1" w:rsidRDefault="003B1A61" w:rsidP="00A64CCD">
      <w:pPr>
        <w:pStyle w:val="Heading6"/>
      </w:pPr>
      <w:r w:rsidRPr="005635F1">
        <w:lastRenderedPageBreak/>
        <w:t>Significance after Mitigation</w:t>
      </w:r>
    </w:p>
    <w:p w14:paraId="0A6B2E26" w14:textId="74E47689" w:rsidR="00DF357B" w:rsidRDefault="0056658D" w:rsidP="00030F9B">
      <w:pPr>
        <w:pStyle w:val="BodyText"/>
      </w:pPr>
      <w:r>
        <w:t>Mitigation Measure AQ-</w:t>
      </w:r>
      <w:r w:rsidR="00DA1812">
        <w:t>1</w:t>
      </w:r>
      <w:r>
        <w:t xml:space="preserve"> would reduce the mass emissions of criteria air pollutants and precursors generated by use of </w:t>
      </w:r>
      <w:bookmarkStart w:id="83" w:name="_Hlk20857684"/>
      <w:r w:rsidR="009D26AD">
        <w:t>on-road vehicles and</w:t>
      </w:r>
      <w:r>
        <w:t xml:space="preserve"> off-road equipment during treatment activities</w:t>
      </w:r>
      <w:bookmarkEnd w:id="83"/>
      <w:r>
        <w:t>.</w:t>
      </w:r>
      <w:r w:rsidR="003070A6">
        <w:t xml:space="preserve"> Given the potential </w:t>
      </w:r>
      <w:r w:rsidR="009D26AD">
        <w:t xml:space="preserve">infeasibility of implementing specific emission reduction techniques </w:t>
      </w:r>
      <w:r w:rsidR="003070A6">
        <w:t xml:space="preserve">and the uncertainties associated with treatment activity location, size, </w:t>
      </w:r>
      <w:r w:rsidR="00FD7C34">
        <w:t>and</w:t>
      </w:r>
      <w:r w:rsidR="003070A6">
        <w:t xml:space="preserve"> </w:t>
      </w:r>
      <w:r w:rsidR="00FD7C34">
        <w:t>timing, the</w:t>
      </w:r>
      <w:r w:rsidR="003070A6">
        <w:t xml:space="preserve"> emission reductions from implementation of Mitigation Measure AQ-</w:t>
      </w:r>
      <w:r w:rsidR="00DA1812">
        <w:t>1</w:t>
      </w:r>
      <w:r w:rsidRPr="0056658D">
        <w:t xml:space="preserve"> </w:t>
      </w:r>
      <w:r w:rsidR="002846BB">
        <w:t>cannot be meaningfully quantified</w:t>
      </w:r>
      <w:r w:rsidRPr="0056658D">
        <w:t xml:space="preserve">. </w:t>
      </w:r>
      <w:r w:rsidR="003070A6">
        <w:t>Thus, d</w:t>
      </w:r>
      <w:r w:rsidRPr="0056658D">
        <w:t>epending on the number of acres that would undergo treatment on the same day</w:t>
      </w:r>
      <w:r>
        <w:t xml:space="preserve"> (or same year)</w:t>
      </w:r>
      <w:r w:rsidRPr="0056658D">
        <w:t xml:space="preserve"> within the same air basin, the </w:t>
      </w:r>
      <w:r w:rsidR="002846BB">
        <w:t xml:space="preserve">potential remains that </w:t>
      </w:r>
      <w:r w:rsidRPr="0056658D">
        <w:t>levels of criteria air pollutants and precursors emitted by treatment activit</w:t>
      </w:r>
      <w:r w:rsidR="003070A6">
        <w:t>ies</w:t>
      </w:r>
      <w:r w:rsidRPr="0056658D">
        <w:t xml:space="preserve"> could </w:t>
      </w:r>
      <w:r>
        <w:t xml:space="preserve">still </w:t>
      </w:r>
      <w:r w:rsidRPr="0056658D">
        <w:t>exceed the mass emissions thresholds recommended by local air districts</w:t>
      </w:r>
      <w:r w:rsidR="00656FF1">
        <w:t>, thereby resulting in, or contributing to, exceedances of the NAAQS and CAAQS in air basins</w:t>
      </w:r>
      <w:r w:rsidRPr="0056658D">
        <w:t>.</w:t>
      </w:r>
      <w:r w:rsidR="003070A6">
        <w:t xml:space="preserve"> </w:t>
      </w:r>
    </w:p>
    <w:p w14:paraId="5017D566" w14:textId="2C650299" w:rsidR="002E7737" w:rsidRDefault="002E7737" w:rsidP="00030F9B">
      <w:pPr>
        <w:pStyle w:val="BodyText"/>
      </w:pPr>
      <w:r>
        <w:t xml:space="preserve">Mitigation Measure </w:t>
      </w:r>
      <w:r w:rsidR="003070A6">
        <w:t>AQ-</w:t>
      </w:r>
      <w:r w:rsidR="00DA1812">
        <w:t>1</w:t>
      </w:r>
      <w:r>
        <w:t xml:space="preserve"> would not reduce </w:t>
      </w:r>
      <w:r w:rsidR="009876A5">
        <w:t xml:space="preserve">to a less than significant level </w:t>
      </w:r>
      <w:r>
        <w:t xml:space="preserve">the potential for treatment-related vehicle travel on unpaved roads to result in, or contribute to, localized concentrations of </w:t>
      </w:r>
      <w:r w:rsidRPr="0028625C">
        <w:t>PM</w:t>
      </w:r>
      <w:r w:rsidRPr="0028625C">
        <w:rPr>
          <w:vertAlign w:val="subscript"/>
        </w:rPr>
        <w:t>10</w:t>
      </w:r>
      <w:r w:rsidRPr="0028625C">
        <w:t xml:space="preserve"> and PM</w:t>
      </w:r>
      <w:r w:rsidRPr="0028625C">
        <w:rPr>
          <w:vertAlign w:val="subscript"/>
        </w:rPr>
        <w:t>2.5</w:t>
      </w:r>
      <w:r w:rsidRPr="0028625C">
        <w:t xml:space="preserve"> </w:t>
      </w:r>
      <w:r>
        <w:t>that exceed applicable NAAQS and CAAQS.</w:t>
      </w:r>
    </w:p>
    <w:p w14:paraId="5308E1CA" w14:textId="3A2173A3" w:rsidR="006C7376" w:rsidRDefault="002846BB" w:rsidP="00030F9B">
      <w:pPr>
        <w:pStyle w:val="BodyText"/>
      </w:pPr>
      <w:r>
        <w:t xml:space="preserve">While implementation of Mitigation Measure AQ-1 would reduce emissions and the resultant exposure to </w:t>
      </w:r>
      <w:r w:rsidR="009876A5">
        <w:t xml:space="preserve">potential </w:t>
      </w:r>
      <w:r>
        <w:t xml:space="preserve">health effects, the </w:t>
      </w:r>
      <w:r w:rsidR="0043309A">
        <w:t xml:space="preserve">amount of the </w:t>
      </w:r>
      <w:r>
        <w:t>reduction cannot be determined because of the variables described above; therefore</w:t>
      </w:r>
      <w:r w:rsidR="00382A48">
        <w:t xml:space="preserve">, the potential remains that </w:t>
      </w:r>
      <w:r w:rsidR="002E7737">
        <w:t>localized exceedances of the NAAQS and CAAQS for CO, PM</w:t>
      </w:r>
      <w:r w:rsidR="002E7737" w:rsidRPr="006E68C7">
        <w:rPr>
          <w:vertAlign w:val="subscript"/>
        </w:rPr>
        <w:t>10</w:t>
      </w:r>
      <w:r w:rsidR="002E7737">
        <w:t>, and PM</w:t>
      </w:r>
      <w:r w:rsidR="002E7737">
        <w:rPr>
          <w:vertAlign w:val="subscript"/>
        </w:rPr>
        <w:t>2.</w:t>
      </w:r>
      <w:r w:rsidR="002E7737" w:rsidRPr="00D1227A">
        <w:rPr>
          <w:vertAlign w:val="subscript"/>
        </w:rPr>
        <w:t>5</w:t>
      </w:r>
      <w:r w:rsidR="00D1227A">
        <w:t xml:space="preserve"> and associated adverse health effects to exposed people</w:t>
      </w:r>
      <w:r w:rsidR="00382A48">
        <w:t xml:space="preserve"> could occur an</w:t>
      </w:r>
      <w:r w:rsidR="00FD7C34">
        <w:t>d</w:t>
      </w:r>
      <w:r>
        <w:t xml:space="preserve"> </w:t>
      </w:r>
      <w:r w:rsidR="003B1A61">
        <w:t xml:space="preserve">this impact would </w:t>
      </w:r>
      <w:r w:rsidR="00FA423D">
        <w:t xml:space="preserve">remain </w:t>
      </w:r>
      <w:r w:rsidR="00A41628" w:rsidRPr="00A41628">
        <w:rPr>
          <w:b/>
        </w:rPr>
        <w:t>potentially</w:t>
      </w:r>
      <w:r w:rsidR="00A41628">
        <w:t xml:space="preserve"> </w:t>
      </w:r>
      <w:r w:rsidR="003B1A61" w:rsidRPr="008940CF">
        <w:rPr>
          <w:b/>
        </w:rPr>
        <w:t xml:space="preserve">significant and </w:t>
      </w:r>
      <w:r w:rsidR="003B1A61" w:rsidRPr="00FD7C34">
        <w:rPr>
          <w:b/>
        </w:rPr>
        <w:t>unavoidable</w:t>
      </w:r>
      <w:r w:rsidR="003B1A61" w:rsidRPr="00FD7C34">
        <w:t>.</w:t>
      </w:r>
      <w:r w:rsidR="00D1227A">
        <w:t xml:space="preserve"> </w:t>
      </w:r>
    </w:p>
    <w:bookmarkEnd w:id="82"/>
    <w:p w14:paraId="15D0EA3F" w14:textId="464BE586" w:rsidR="0055372B" w:rsidRPr="00CC6793" w:rsidRDefault="0055372B" w:rsidP="0055372B">
      <w:pPr>
        <w:pStyle w:val="ImpactNo"/>
      </w:pPr>
      <w:r w:rsidRPr="00CC6793">
        <w:t xml:space="preserve">Impact </w:t>
      </w:r>
      <w:r>
        <w:t>AQ-</w:t>
      </w:r>
      <w:r w:rsidR="0091450C">
        <w:t>2</w:t>
      </w:r>
      <w:r w:rsidRPr="00CC6793">
        <w:t xml:space="preserve">: </w:t>
      </w:r>
      <w:r w:rsidRPr="00000FCE">
        <w:t>Expos</w:t>
      </w:r>
      <w:r>
        <w:t>e</w:t>
      </w:r>
      <w:r w:rsidRPr="00000FCE">
        <w:t xml:space="preserve"> </w:t>
      </w:r>
      <w:r w:rsidR="009E3966">
        <w:t>People</w:t>
      </w:r>
      <w:r w:rsidRPr="00000FCE">
        <w:t xml:space="preserve"> to </w:t>
      </w:r>
      <w:r>
        <w:t>Diesel Particulate Matter Emissions and Related Health Risk</w:t>
      </w:r>
    </w:p>
    <w:p w14:paraId="0AB72D2F" w14:textId="5D6F7FCA" w:rsidR="0055372B" w:rsidRPr="00CC6793" w:rsidRDefault="0055372B" w:rsidP="0055372B">
      <w:pPr>
        <w:pStyle w:val="Impactdescription"/>
      </w:pPr>
      <w:r>
        <w:t xml:space="preserve">Because of the short duration of treatment activities and because treatment activity would not take place near the same </w:t>
      </w:r>
      <w:r w:rsidR="009E3966">
        <w:t xml:space="preserve">people </w:t>
      </w:r>
      <w:r>
        <w:t>for an extended period of time,</w:t>
      </w:r>
      <w:r w:rsidRPr="003D5E10">
        <w:t xml:space="preserve"> </w:t>
      </w:r>
      <w:r>
        <w:t xml:space="preserve">diesel PM generated by treatment activities </w:t>
      </w:r>
      <w:r w:rsidRPr="00B20016">
        <w:t xml:space="preserve">would </w:t>
      </w:r>
      <w:r>
        <w:t xml:space="preserve">not </w:t>
      </w:r>
      <w:r w:rsidR="009E3966">
        <w:t xml:space="preserve">expose any person to </w:t>
      </w:r>
      <w:r>
        <w:t xml:space="preserve">an incremental increase in cancer risk greater than 10 in one million or a </w:t>
      </w:r>
      <w:r w:rsidR="00FF62FE">
        <w:t>H</w:t>
      </w:r>
      <w:r>
        <w:t xml:space="preserve">azard </w:t>
      </w:r>
      <w:r w:rsidR="00FF62FE">
        <w:t>I</w:t>
      </w:r>
      <w:r>
        <w:t xml:space="preserve">ndex of 1.0 or greater. </w:t>
      </w:r>
      <w:r w:rsidRPr="007A56B8">
        <w:rPr>
          <w:color w:val="000000" w:themeColor="text1"/>
          <w:spacing w:val="2"/>
        </w:rPr>
        <w:t xml:space="preserve">This impact would be </w:t>
      </w:r>
      <w:r w:rsidRPr="007A56B8">
        <w:rPr>
          <w:b/>
          <w:color w:val="000000" w:themeColor="text1"/>
          <w:spacing w:val="2"/>
        </w:rPr>
        <w:t>less than significant</w:t>
      </w:r>
      <w:r w:rsidRPr="007A56B8">
        <w:rPr>
          <w:color w:val="000000" w:themeColor="text1"/>
          <w:spacing w:val="2"/>
        </w:rPr>
        <w:t>.</w:t>
      </w:r>
    </w:p>
    <w:p w14:paraId="304D23B1" w14:textId="40179A8C" w:rsidR="0055372B" w:rsidRDefault="0055372B" w:rsidP="00535241">
      <w:pPr>
        <w:pStyle w:val="BodyText"/>
      </w:pPr>
      <w:r>
        <w:t xml:space="preserve">Implementation of </w:t>
      </w:r>
      <w:r w:rsidR="006D1F18">
        <w:t xml:space="preserve">treatments under </w:t>
      </w:r>
      <w:r>
        <w:t xml:space="preserve">the CalVTP </w:t>
      </w:r>
      <w:r w:rsidRPr="00391D77">
        <w:t xml:space="preserve">would result in exhaust emissions </w:t>
      </w:r>
      <w:r>
        <w:t xml:space="preserve">of diesel PM </w:t>
      </w:r>
      <w:r w:rsidRPr="00391D77">
        <w:t xml:space="preserve">from off-road equipment and haul truck trips associated with treatment activities. </w:t>
      </w:r>
      <w:r>
        <w:t xml:space="preserve">Mechanical treatments of forested lands </w:t>
      </w:r>
      <w:r w:rsidR="006D1F18">
        <w:t xml:space="preserve">(tree fuel type) </w:t>
      </w:r>
      <w:r>
        <w:t>would generally involve the greatest number of large, heavy-duty off-road diesel equipment such as harvesters, forwarders, masticators and chippers</w:t>
      </w:r>
      <w:r w:rsidR="006D1F18">
        <w:t xml:space="preserve"> in comparison to other treatment activities in other fuel types</w:t>
      </w:r>
      <w:r>
        <w:t xml:space="preserve">. Some diesel-powered equipment may also be used in manual treatments and herbicide application treatments, such as </w:t>
      </w:r>
      <w:r w:rsidR="006D1F18">
        <w:t>machine powered hand tools and applicators</w:t>
      </w:r>
      <w:r>
        <w:t xml:space="preserve">, and the preparation of prescribed burn areas may include bulldozing and chaining to loosen vegetation and for clearing vegetation to establish control lines. Diesel-powered on-road trucks would also be used to haul equipment and workers to and from treatment sites, and to haul livestock to sites where prescribed herbivory would be conducted. </w:t>
      </w:r>
    </w:p>
    <w:p w14:paraId="1A5EF8F2" w14:textId="68B124D6" w:rsidR="0055372B" w:rsidRDefault="0055372B" w:rsidP="00535241">
      <w:pPr>
        <w:pStyle w:val="BodyText"/>
      </w:pPr>
      <w:r>
        <w:t xml:space="preserve">As described in the Regulatory Setting </w:t>
      </w:r>
      <w:r w:rsidR="006D1F18">
        <w:t>(Section 3.4.1)</w:t>
      </w:r>
      <w:r>
        <w:t xml:space="preserve">, diesel PM is a TAC. </w:t>
      </w:r>
      <w:r w:rsidR="006F4738">
        <w:t>It is estimated that about 70 percent of total known cancer risk related to air toxics in California is attributable to diesel PM (CARB 2019c).</w:t>
      </w:r>
      <w:r w:rsidR="00573CAB">
        <w:t xml:space="preserve"> </w:t>
      </w:r>
      <w:r w:rsidRPr="000A3189" w:rsidDel="00F01853">
        <w:t>The potential cancer risk from inhal</w:t>
      </w:r>
      <w:r>
        <w:t>ing</w:t>
      </w:r>
      <w:r w:rsidRPr="000A3189" w:rsidDel="00F01853">
        <w:t xml:space="preserve"> diesel PM</w:t>
      </w:r>
      <w:r>
        <w:t xml:space="preserve"> </w:t>
      </w:r>
      <w:r w:rsidR="003F49E7">
        <w:t xml:space="preserve">is </w:t>
      </w:r>
      <w:r w:rsidR="005A0AF2">
        <w:t xml:space="preserve">greater </w:t>
      </w:r>
      <w:r w:rsidR="003F49E7">
        <w:t>than</w:t>
      </w:r>
      <w:r w:rsidRPr="000A3189" w:rsidDel="00F01853">
        <w:t xml:space="preserve"> the potential for all other </w:t>
      </w:r>
      <w:r>
        <w:t xml:space="preserve">diesel PM–related </w:t>
      </w:r>
      <w:r w:rsidRPr="000A3189" w:rsidDel="00F01853">
        <w:t>health impacts (i.e., noncancer chronic risk, short-term acute risk) and health impacts from other TACs (</w:t>
      </w:r>
      <w:r w:rsidRPr="000A3189">
        <w:t>CARB</w:t>
      </w:r>
      <w:r w:rsidRPr="000A3189" w:rsidDel="00F01853">
        <w:t xml:space="preserve"> 2003</w:t>
      </w:r>
      <w:r>
        <w:t>:K-1</w:t>
      </w:r>
      <w:r w:rsidRPr="000A3189" w:rsidDel="00F01853">
        <w:t>).</w:t>
      </w:r>
      <w:r>
        <w:t xml:space="preserve"> Based on the emissions calculations summarized under Impact AQ-</w:t>
      </w:r>
      <w:r w:rsidR="00EC4F95">
        <w:t>1</w:t>
      </w:r>
      <w:r w:rsidR="006D1F18">
        <w:t xml:space="preserve"> and </w:t>
      </w:r>
      <w:r w:rsidR="006D1F18" w:rsidRPr="009D5745">
        <w:t xml:space="preserve">presented in Appendix </w:t>
      </w:r>
      <w:r w:rsidR="009D5745" w:rsidRPr="009D5745">
        <w:t>AQ-1</w:t>
      </w:r>
      <w:r w:rsidRPr="009D5745">
        <w:t>, the</w:t>
      </w:r>
      <w:r>
        <w:t xml:space="preserve"> level of diesel PM exhaust that would be emitted by a single crew performing mechanical treatment </w:t>
      </w:r>
      <w:r w:rsidR="00382A48">
        <w:t xml:space="preserve">in </w:t>
      </w:r>
      <w:r w:rsidR="00573CAB">
        <w:t>tree-dominated fuel</w:t>
      </w:r>
      <w:r w:rsidR="00382A48">
        <w:t xml:space="preserve"> type</w:t>
      </w:r>
      <w:r w:rsidR="00573CAB">
        <w:t>s</w:t>
      </w:r>
      <w:r>
        <w:t xml:space="preserve"> would be approximately </w:t>
      </w:r>
      <w:r w:rsidR="00573CAB" w:rsidRPr="00573CAB">
        <w:t>1.4</w:t>
      </w:r>
      <w:r w:rsidRPr="00573CAB">
        <w:t xml:space="preserve"> </w:t>
      </w:r>
      <w:proofErr w:type="spellStart"/>
      <w:r w:rsidRPr="00573CAB">
        <w:t>lb</w:t>
      </w:r>
      <w:proofErr w:type="spellEnd"/>
      <w:r w:rsidRPr="00573CAB">
        <w:t>/day</w:t>
      </w:r>
      <w:r>
        <w:t xml:space="preserve"> and this level would be higher than for any other treatment </w:t>
      </w:r>
      <w:r w:rsidR="006D1F18">
        <w:t>activity in any other fuel type</w:t>
      </w:r>
      <w:r>
        <w:t xml:space="preserve">. </w:t>
      </w:r>
    </w:p>
    <w:p w14:paraId="488125DE" w14:textId="30A4C8FB" w:rsidR="0055372B" w:rsidRDefault="0055372B" w:rsidP="00535241">
      <w:pPr>
        <w:pStyle w:val="BodyText"/>
      </w:pPr>
      <w:r w:rsidRPr="00391D77">
        <w:t>The dose to which receptors are exposed is the primary factor used to determine health risk (i.e., potential exposure to TAC emission levels that exceed applicable standards). Dose is a function of the concentration of a substance or substances in the environment and the duration of exposure to the substance. Dose is positively correlated with time, meaning that a longer exposure period would result in a higher exposure level for the maximally exposed individual</w:t>
      </w:r>
      <w:r w:rsidR="006F4738">
        <w:t xml:space="preserve"> (the hypothetical individual who receives the greatest possible projected dose in the area of highest TAC concertation levels over a specified period of time)</w:t>
      </w:r>
      <w:r w:rsidRPr="00391D77">
        <w:t xml:space="preserve">. Thus, the risks estimated for a maximally exposed individual are higher if a fixed exposure occurs over a longer period of time. According to the Office of Environmental Health Hazard Assessment, health risk assessments, which determine the exposure of </w:t>
      </w:r>
      <w:r w:rsidR="00FB5F51">
        <w:t xml:space="preserve">people </w:t>
      </w:r>
      <w:r w:rsidRPr="00391D77">
        <w:t xml:space="preserve">to TAC emissions, should be based on a </w:t>
      </w:r>
      <w:r w:rsidR="0028364F">
        <w:t>30</w:t>
      </w:r>
      <w:r w:rsidRPr="00391D77">
        <w:t xml:space="preserve">- or </w:t>
      </w:r>
      <w:r w:rsidR="0028364F">
        <w:t>70</w:t>
      </w:r>
      <w:r w:rsidRPr="00391D77">
        <w:t>-year exposure period</w:t>
      </w:r>
      <w:r w:rsidR="0028364F">
        <w:t xml:space="preserve">, depending on </w:t>
      </w:r>
      <w:r w:rsidR="006F4738">
        <w:t xml:space="preserve">whether the analysis is for </w:t>
      </w:r>
      <w:r w:rsidR="0009319C">
        <w:t>a maximally exposed individual</w:t>
      </w:r>
      <w:r w:rsidR="006F4738">
        <w:t xml:space="preserve"> or </w:t>
      </w:r>
      <w:r w:rsidR="006F4738">
        <w:lastRenderedPageBreak/>
        <w:t>population-wide impacts</w:t>
      </w:r>
      <w:r w:rsidRPr="00391D77">
        <w:t>. However, such assessments should be limited to the period/duration of activities that generate TAC emissions (OEHHA 201</w:t>
      </w:r>
      <w:r w:rsidR="001F01F4">
        <w:t>5</w:t>
      </w:r>
      <w:r w:rsidRPr="00391D77">
        <w:t>).</w:t>
      </w:r>
      <w:r>
        <w:t xml:space="preserve"> </w:t>
      </w:r>
    </w:p>
    <w:p w14:paraId="1D969A34" w14:textId="72059B1D" w:rsidR="0055372B" w:rsidRDefault="0055372B" w:rsidP="00535241">
      <w:pPr>
        <w:pStyle w:val="BodyText"/>
      </w:pPr>
      <w:r>
        <w:t>Treatment activities would progress across treatment sites such that</w:t>
      </w:r>
      <w:r w:rsidRPr="00391D77">
        <w:t xml:space="preserve"> diesel PM generated by </w:t>
      </w:r>
      <w:r>
        <w:t>treatment</w:t>
      </w:r>
      <w:r w:rsidRPr="00391D77">
        <w:t xml:space="preserve"> activit</w:t>
      </w:r>
      <w:r>
        <w:t>ies</w:t>
      </w:r>
      <w:r w:rsidRPr="00391D77">
        <w:t xml:space="preserve"> would not take place near any single sensitive receptor for an extended period. </w:t>
      </w:r>
      <w:r>
        <w:t xml:space="preserve">For example, mechanical treatment of forested lands </w:t>
      </w:r>
      <w:r w:rsidR="00573CAB">
        <w:t xml:space="preserve">by a single treatment crew </w:t>
      </w:r>
      <w:r>
        <w:t>progress</w:t>
      </w:r>
      <w:r w:rsidR="00382A48">
        <w:t>es</w:t>
      </w:r>
      <w:r>
        <w:t xml:space="preserve"> at a rate of approximately 5 acres per day</w:t>
      </w:r>
      <w:r w:rsidR="00573CAB">
        <w:t xml:space="preserve"> (</w:t>
      </w:r>
      <w:r w:rsidR="003617F8">
        <w:t>California Tahoe Conservancy 2018:3-13</w:t>
      </w:r>
      <w:r w:rsidR="00573CAB">
        <w:t>)</w:t>
      </w:r>
      <w:r>
        <w:t xml:space="preserve">. Thus, </w:t>
      </w:r>
      <w:r w:rsidRPr="00391D77">
        <w:t xml:space="preserve">the diesel PM-emitting activities associated with </w:t>
      </w:r>
      <w:r>
        <w:t>treatment activities</w:t>
      </w:r>
      <w:r w:rsidRPr="00391D77">
        <w:t xml:space="preserve"> would </w:t>
      </w:r>
      <w:r>
        <w:t xml:space="preserve">not </w:t>
      </w:r>
      <w:r w:rsidRPr="00391D77">
        <w:t xml:space="preserve">take place in the same </w:t>
      </w:r>
      <w:r w:rsidR="003617F8">
        <w:t xml:space="preserve">approximate </w:t>
      </w:r>
      <w:r>
        <w:t xml:space="preserve">5-acre area </w:t>
      </w:r>
      <w:r w:rsidRPr="00391D77">
        <w:t xml:space="preserve">for more than </w:t>
      </w:r>
      <w:r w:rsidR="0028364F">
        <w:t>one</w:t>
      </w:r>
      <w:r>
        <w:t xml:space="preserve"> day. This means the period during which a single </w:t>
      </w:r>
      <w:r w:rsidR="00FB5F51">
        <w:t>person</w:t>
      </w:r>
      <w:r>
        <w:t xml:space="preserve"> could be exposed to diesel PM emissions from a treatment activity would be short</w:t>
      </w:r>
      <w:r w:rsidRPr="00391D77">
        <w:t xml:space="preserve"> relative to the 30- or 70-year exposure timeframe recommended for health risk assessments. In addition, diesel PM dissipates rapidly from the source, and exposure concentrations would decline with distance from these activities (Zhu et al. 2002:1032).</w:t>
      </w:r>
      <w:r>
        <w:t xml:space="preserve"> </w:t>
      </w:r>
      <w:r w:rsidRPr="00391D77">
        <w:t>Furthermore, SPR HAZ-1 require</w:t>
      </w:r>
      <w:r w:rsidR="00D47F65">
        <w:t>s</w:t>
      </w:r>
      <w:r w:rsidRPr="00391D77">
        <w:t xml:space="preserve"> that all diesel and gasoline-powered equipment </w:t>
      </w:r>
      <w:r>
        <w:t>be</w:t>
      </w:r>
      <w:r w:rsidRPr="00391D77">
        <w:t xml:space="preserve"> properly maintained to comply with all state and federal emissions requirements, which would </w:t>
      </w:r>
      <w:r>
        <w:t xml:space="preserve">prevent excessive </w:t>
      </w:r>
      <w:r w:rsidRPr="00391D77">
        <w:t xml:space="preserve">emissions </w:t>
      </w:r>
      <w:r>
        <w:t xml:space="preserve">of diesel PM </w:t>
      </w:r>
      <w:r w:rsidRPr="00391D77">
        <w:t>due to poorly functioning equipment.</w:t>
      </w:r>
      <w:r w:rsidR="00254C5A">
        <w:t xml:space="preserve"> </w:t>
      </w:r>
      <w:r>
        <w:t xml:space="preserve">Also, </w:t>
      </w:r>
      <w:r w:rsidRPr="00754BD5">
        <w:t>SPR NOI-4 require</w:t>
      </w:r>
      <w:r w:rsidR="00D47F65">
        <w:t>s</w:t>
      </w:r>
      <w:r w:rsidRPr="00754BD5">
        <w:t xml:space="preserve"> </w:t>
      </w:r>
      <w:r>
        <w:t>vegetation treatment</w:t>
      </w:r>
      <w:r w:rsidRPr="00754BD5">
        <w:t xml:space="preserve"> activities and staging areas </w:t>
      </w:r>
      <w:r>
        <w:t xml:space="preserve">be </w:t>
      </w:r>
      <w:r w:rsidRPr="00754BD5">
        <w:t xml:space="preserve">located as far as possible from </w:t>
      </w:r>
      <w:r w:rsidR="00FB5F51">
        <w:t>human</w:t>
      </w:r>
      <w:r w:rsidRPr="00754BD5">
        <w:t xml:space="preserve"> receptors</w:t>
      </w:r>
      <w:r w:rsidR="00D47F65">
        <w:t xml:space="preserve"> and SPR NOI-5 restricts equipment idling time.</w:t>
      </w:r>
    </w:p>
    <w:p w14:paraId="0C4B4388" w14:textId="6EDF19CE" w:rsidR="00AF505B" w:rsidRDefault="0028364F" w:rsidP="00A84343">
      <w:pPr>
        <w:pStyle w:val="BodyText"/>
      </w:pPr>
      <w:r>
        <w:t xml:space="preserve">Regarding </w:t>
      </w:r>
      <w:r w:rsidR="0055372B">
        <w:t>treatment activities in forested areas</w:t>
      </w:r>
      <w:r>
        <w:t>, a</w:t>
      </w:r>
      <w:r w:rsidR="0055372B" w:rsidRPr="00391D77">
        <w:t>n emerging set of research of diesel PM generated by roadway traffic (i.e., on-road vehicles) indicates that vegetation remove</w:t>
      </w:r>
      <w:r>
        <w:t>s</w:t>
      </w:r>
      <w:r w:rsidR="0055372B" w:rsidRPr="00391D77">
        <w:t xml:space="preserve"> particulates from the air</w:t>
      </w:r>
      <w:r w:rsidR="00A84343">
        <w:t xml:space="preserve">. It does so through the direct absorption of gaseous pollutants through leaf stomata and by dissolving water soluble pollutants onto moist leaf surfaces </w:t>
      </w:r>
      <w:r w:rsidR="0055372B" w:rsidRPr="00391D77">
        <w:t>(Islam et al. 2012:2</w:t>
      </w:r>
      <w:r w:rsidR="00535241">
        <w:t>,</w:t>
      </w:r>
      <w:r w:rsidR="0055372B" w:rsidRPr="00391D77">
        <w:t xml:space="preserve"> Zhang 2015:14).</w:t>
      </w:r>
      <w:r w:rsidR="00A84343" w:rsidRPr="00A84343">
        <w:t xml:space="preserve"> </w:t>
      </w:r>
      <w:r w:rsidR="00A84343">
        <w:t xml:space="preserve">Evergreen trees are particularly effective because the leaves are not shed during the winter, when air quality is usually worst due to </w:t>
      </w:r>
      <w:r w:rsidR="003E1BFF">
        <w:t xml:space="preserve">lower inversion heights </w:t>
      </w:r>
      <w:r w:rsidR="00A84343">
        <w:t>(</w:t>
      </w:r>
      <w:r w:rsidR="00A84343" w:rsidRPr="00391D77">
        <w:t>Islam et al. 2012:</w:t>
      </w:r>
      <w:r w:rsidR="00A84343">
        <w:t>1).</w:t>
      </w:r>
      <w:r w:rsidR="0055372B" w:rsidRPr="00391D77">
        <w:t xml:space="preserve"> The research demonstrates that </w:t>
      </w:r>
      <w:r>
        <w:t xml:space="preserve">the presence of </w:t>
      </w:r>
      <w:r w:rsidR="0055372B" w:rsidRPr="00391D77">
        <w:t xml:space="preserve">trees </w:t>
      </w:r>
      <w:r>
        <w:t xml:space="preserve">between vehicles and receptors </w:t>
      </w:r>
      <w:r w:rsidR="0055372B" w:rsidRPr="00391D77">
        <w:t xml:space="preserve">further reduce potential exposure to diesel PM along roadways. </w:t>
      </w:r>
      <w:r w:rsidR="0055372B">
        <w:t xml:space="preserve">Thus, treatment activities </w:t>
      </w:r>
      <w:r>
        <w:t>in the tree fuel type</w:t>
      </w:r>
      <w:r w:rsidR="0055372B">
        <w:t xml:space="preserve"> would experience the</w:t>
      </w:r>
      <w:r w:rsidR="0055372B" w:rsidRPr="00391D77">
        <w:t xml:space="preserve"> same mitigating effect on diesel PM emitted by equipment, because the </w:t>
      </w:r>
      <w:r w:rsidR="0055372B">
        <w:t xml:space="preserve">remaining stands of </w:t>
      </w:r>
      <w:r w:rsidR="0055372B" w:rsidRPr="00391D77">
        <w:t xml:space="preserve">trees provide the same buffering condition </w:t>
      </w:r>
      <w:r w:rsidR="0055372B">
        <w:t xml:space="preserve">identified </w:t>
      </w:r>
      <w:r w:rsidR="0055372B" w:rsidRPr="00391D77">
        <w:t xml:space="preserve">in the research. </w:t>
      </w:r>
      <w:r w:rsidR="0055372B">
        <w:t>For the reasons stated above</w:t>
      </w:r>
      <w:r w:rsidR="0055372B" w:rsidRPr="00391D77">
        <w:t xml:space="preserve">, </w:t>
      </w:r>
      <w:r>
        <w:t xml:space="preserve">it is expected that the cancer risk associated with </w:t>
      </w:r>
      <w:r w:rsidR="0055372B">
        <w:t>d</w:t>
      </w:r>
      <w:r w:rsidR="0055372B" w:rsidRPr="004570C6">
        <w:t>iesel PM generated by treatment activit</w:t>
      </w:r>
      <w:r w:rsidR="0055372B">
        <w:t>ies implemented under the CalVTP</w:t>
      </w:r>
      <w:r w:rsidR="0055372B" w:rsidRPr="004570C6">
        <w:t xml:space="preserve"> </w:t>
      </w:r>
      <w:r w:rsidR="00FE2D7C">
        <w:t xml:space="preserve">would be </w:t>
      </w:r>
      <w:r w:rsidR="00A84343">
        <w:t>less than 10 in one million</w:t>
      </w:r>
      <w:r w:rsidR="00FE2D7C">
        <w:t>. Therefore, qualifying projects under the CalVTP</w:t>
      </w:r>
      <w:r>
        <w:t xml:space="preserve"> </w:t>
      </w:r>
      <w:r w:rsidR="0055372B">
        <w:t xml:space="preserve">would not result in the exposure of </w:t>
      </w:r>
      <w:r w:rsidR="00FB5F51">
        <w:t>any individuals</w:t>
      </w:r>
      <w:r w:rsidR="0055372B">
        <w:t xml:space="preserve"> to </w:t>
      </w:r>
      <w:r w:rsidR="0055372B" w:rsidRPr="004570C6">
        <w:t xml:space="preserve">an incremental increase in cancer risk greater than 10 in one million or a </w:t>
      </w:r>
      <w:r w:rsidR="00FF62FE">
        <w:t>H</w:t>
      </w:r>
      <w:r w:rsidR="0055372B" w:rsidRPr="004570C6">
        <w:t xml:space="preserve">azard </w:t>
      </w:r>
      <w:r w:rsidR="00FF62FE">
        <w:t>I</w:t>
      </w:r>
      <w:r w:rsidR="0055372B" w:rsidRPr="004570C6">
        <w:t>ndex of 1.0.</w:t>
      </w:r>
      <w:r w:rsidR="0055372B" w:rsidRPr="00391D77">
        <w:t xml:space="preserve"> </w:t>
      </w:r>
      <w:r w:rsidR="0055372B">
        <w:t>I</w:t>
      </w:r>
      <w:r w:rsidR="0055372B" w:rsidRPr="00391D77">
        <w:t>mpact</w:t>
      </w:r>
      <w:r w:rsidR="0055372B">
        <w:t>s</w:t>
      </w:r>
      <w:r w:rsidR="0055372B" w:rsidRPr="00391D77">
        <w:t xml:space="preserve"> would be </w:t>
      </w:r>
      <w:r w:rsidR="0055372B" w:rsidRPr="00AC7CFD">
        <w:rPr>
          <w:b/>
        </w:rPr>
        <w:t>less than significant</w:t>
      </w:r>
      <w:r w:rsidR="00AF505B" w:rsidRPr="00391D77">
        <w:t>.</w:t>
      </w:r>
    </w:p>
    <w:p w14:paraId="4DD5079D" w14:textId="7FEDDB88" w:rsidR="00375321" w:rsidRDefault="003617F8" w:rsidP="00375321">
      <w:pPr>
        <w:pStyle w:val="BodyText"/>
      </w:pPr>
      <w:r>
        <w:t xml:space="preserve">Moreover, implementation of Mitigation Measure AQ-1 would </w:t>
      </w:r>
      <w:r w:rsidR="00375321">
        <w:t>reduce the emissions of diesel PM generated by use of on-road vehicles and off-road equipment during treatment activities.</w:t>
      </w:r>
    </w:p>
    <w:p w14:paraId="7612741D" w14:textId="77777777" w:rsidR="00B52E53" w:rsidRDefault="00B52E53" w:rsidP="00B52E53">
      <w:pPr>
        <w:pStyle w:val="Heading5"/>
      </w:pPr>
      <w:r w:rsidRPr="009328EF">
        <w:t>Mitigation Measures</w:t>
      </w:r>
    </w:p>
    <w:p w14:paraId="0E51E031" w14:textId="64EC01B7" w:rsidR="00B52E53" w:rsidRPr="00391D77" w:rsidRDefault="00B52E53" w:rsidP="00335804">
      <w:pPr>
        <w:pStyle w:val="Mitigationtext"/>
      </w:pPr>
      <w:r>
        <w:t>No mitigation is required for this impact.</w:t>
      </w:r>
    </w:p>
    <w:p w14:paraId="3306CCA8" w14:textId="630BFF98" w:rsidR="00AB4CCE" w:rsidRPr="00CC6793" w:rsidRDefault="00AB4CCE" w:rsidP="00AB4CCE">
      <w:pPr>
        <w:pStyle w:val="ImpactNo"/>
      </w:pPr>
      <w:r w:rsidRPr="00CC6793">
        <w:t xml:space="preserve">Impact </w:t>
      </w:r>
      <w:r>
        <w:t>AQ-</w:t>
      </w:r>
      <w:r w:rsidR="0091450C">
        <w:t>3</w:t>
      </w:r>
      <w:r w:rsidRPr="00CC6793">
        <w:t xml:space="preserve">: </w:t>
      </w:r>
      <w:r w:rsidRPr="00000FCE">
        <w:t>Expos</w:t>
      </w:r>
      <w:r>
        <w:t>e</w:t>
      </w:r>
      <w:r w:rsidRPr="00000FCE">
        <w:t xml:space="preserve"> </w:t>
      </w:r>
      <w:r w:rsidR="00E2312B">
        <w:t xml:space="preserve">People </w:t>
      </w:r>
      <w:r w:rsidRPr="00000FCE">
        <w:t xml:space="preserve">to </w:t>
      </w:r>
      <w:r>
        <w:t>Fugitive Dust Emissions Containing Naturally Occurring Asbestos and Related Health Risk</w:t>
      </w:r>
    </w:p>
    <w:p w14:paraId="26E610F7" w14:textId="03AD7C00" w:rsidR="00AB4CCE" w:rsidRPr="00CC6793" w:rsidRDefault="00AB4CCE" w:rsidP="00AB4CCE">
      <w:pPr>
        <w:pStyle w:val="Impactdescription"/>
      </w:pPr>
      <w:r>
        <w:t>Treatment activities implemented under the CalVTP could involve ground disturb</w:t>
      </w:r>
      <w:r w:rsidR="00320433">
        <w:t xml:space="preserve">ing </w:t>
      </w:r>
      <w:r>
        <w:t xml:space="preserve">activities in areas where NOA is present. However, multiple SPRs would limit exposure of </w:t>
      </w:r>
      <w:r w:rsidR="000444EC">
        <w:t>people</w:t>
      </w:r>
      <w:r>
        <w:t xml:space="preserve"> to NOA-containing fugitive dust emissions generated by treatment activities implemented under the CalVTP. This impact would be </w:t>
      </w:r>
      <w:r w:rsidRPr="00D640AD">
        <w:rPr>
          <w:b/>
        </w:rPr>
        <w:t>less than significant</w:t>
      </w:r>
      <w:r>
        <w:t>.</w:t>
      </w:r>
    </w:p>
    <w:p w14:paraId="63259597" w14:textId="65ABF6B1" w:rsidR="00AB4CCE" w:rsidRDefault="00AB4CCE" w:rsidP="00535241">
      <w:pPr>
        <w:pStyle w:val="BodyText"/>
      </w:pPr>
      <w:r w:rsidRPr="00391D77">
        <w:t xml:space="preserve">As </w:t>
      </w:r>
      <w:r>
        <w:t xml:space="preserve">discussed in Section 3.4.2, </w:t>
      </w:r>
      <w:r w:rsidR="00670EB0">
        <w:t>“</w:t>
      </w:r>
      <w:r>
        <w:t>Environmental Setting,</w:t>
      </w:r>
      <w:r w:rsidR="00670EB0">
        <w:t>”</w:t>
      </w:r>
      <w:r w:rsidRPr="00391D77">
        <w:t xml:space="preserve"> some areas </w:t>
      </w:r>
      <w:r>
        <w:t>within the</w:t>
      </w:r>
      <w:r w:rsidRPr="00391D77">
        <w:t xml:space="preserve"> </w:t>
      </w:r>
      <w:r>
        <w:t>treatable landscape</w:t>
      </w:r>
      <w:r w:rsidRPr="00391D77">
        <w:t xml:space="preserve"> contain serpentinite or other ultramafic rock and soil that could potentially contain NOA. </w:t>
      </w:r>
      <w:r>
        <w:t>These types</w:t>
      </w:r>
      <w:r w:rsidRPr="00391D77">
        <w:t xml:space="preserve"> of rock and soil contain thin veins of asbestos fibers that can become airborne when disturbed</w:t>
      </w:r>
      <w:r>
        <w:t xml:space="preserve">. </w:t>
      </w:r>
    </w:p>
    <w:p w14:paraId="33E8B519" w14:textId="325C51C1" w:rsidR="00AB4CCE" w:rsidRDefault="00AB4CCE" w:rsidP="00535241">
      <w:pPr>
        <w:pStyle w:val="BodyText"/>
      </w:pPr>
      <w:r>
        <w:t>Treatment activities implemented under the CalVTP could involve ground disturb</w:t>
      </w:r>
      <w:r w:rsidR="00030B1F">
        <w:t>ing</w:t>
      </w:r>
      <w:r>
        <w:t xml:space="preserve"> activities such as vehicle travel on unpaved roads and use of tractors in areas where </w:t>
      </w:r>
      <w:r w:rsidRPr="00391D77">
        <w:t>NOA is present</w:t>
      </w:r>
      <w:r w:rsidR="00030B1F">
        <w:t>, which may result in NOA becoming airborne</w:t>
      </w:r>
      <w:r w:rsidRPr="00391D77">
        <w:t>.</w:t>
      </w:r>
      <w:r>
        <w:t xml:space="preserve"> Treatment activities could also include prescribed burning in areas where NOA is present. The potential for fires in serpentine rock areas to release asbestos particles was investigated after the Chips Fire in August 2012, which burned over 75,000 acres in Plumas and Lassen National Forest Lands. Collected air samples indicated that no harmful levels of airborne asbestos particles were present in the smoke from this fire. </w:t>
      </w:r>
      <w:r w:rsidR="00C5527D">
        <w:t xml:space="preserve">The </w:t>
      </w:r>
      <w:r w:rsidR="00C5527D" w:rsidRPr="00C5527D">
        <w:t>U.S. Forest Service</w:t>
      </w:r>
      <w:r w:rsidR="00C5527D">
        <w:t xml:space="preserve"> (</w:t>
      </w:r>
      <w:r>
        <w:t>USFS</w:t>
      </w:r>
      <w:r w:rsidR="00C5527D">
        <w:t>)</w:t>
      </w:r>
      <w:r>
        <w:t xml:space="preserve"> concluded that working or firefighting in the Chips Fire serpentine rock areas presented no asbestos exposure danger. USFS found </w:t>
      </w:r>
      <w:r>
        <w:lastRenderedPageBreak/>
        <w:t xml:space="preserve">that while there was no need for firefighters to wear high-efficiency particulate air respirators while performing duties in the area, it was worth considering reasonable safety precautions such as dust minimization measures (USFS 2013). </w:t>
      </w:r>
    </w:p>
    <w:p w14:paraId="01784180" w14:textId="3AA3F25E" w:rsidR="00AB4CCE" w:rsidRDefault="00AB4CCE" w:rsidP="00535241">
      <w:pPr>
        <w:pStyle w:val="BodyText"/>
      </w:pPr>
      <w:r>
        <w:t xml:space="preserve">Multiple SPRs would limit exposure of </w:t>
      </w:r>
      <w:r w:rsidR="000444EC">
        <w:t>people</w:t>
      </w:r>
      <w:r>
        <w:t xml:space="preserve"> to fugitive dust emissions generated by treatment activities implemented under the CalVTP. </w:t>
      </w:r>
      <w:r w:rsidRPr="00E60B3E">
        <w:t>SPR AQ-</w:t>
      </w:r>
      <w:r w:rsidR="00951AFB" w:rsidRPr="00D11F03">
        <w:rPr>
          <w:u w:val="single"/>
        </w:rPr>
        <w:t>5</w:t>
      </w:r>
      <w:r w:rsidRPr="00D11F03">
        <w:rPr>
          <w:strike/>
        </w:rPr>
        <w:t>7</w:t>
      </w:r>
      <w:r w:rsidRPr="00E60B3E">
        <w:t xml:space="preserve"> </w:t>
      </w:r>
      <w:r>
        <w:t xml:space="preserve">requires </w:t>
      </w:r>
      <w:r w:rsidRPr="00E60B3E">
        <w:t>project proponent</w:t>
      </w:r>
      <w:r>
        <w:t>s</w:t>
      </w:r>
      <w:r w:rsidRPr="00E60B3E">
        <w:t xml:space="preserve"> </w:t>
      </w:r>
      <w:r>
        <w:t xml:space="preserve">to </w:t>
      </w:r>
      <w:r w:rsidRPr="00E60B3E">
        <w:t>avoid ground-disturb</w:t>
      </w:r>
      <w:r>
        <w:t>ance</w:t>
      </w:r>
      <w:r w:rsidRPr="00E60B3E">
        <w:t xml:space="preserve"> in areas identified as likely to contain NOA</w:t>
      </w:r>
      <w:r>
        <w:t xml:space="preserve"> as indicated on</w:t>
      </w:r>
      <w:r w:rsidRPr="00E60B3E">
        <w:t xml:space="preserve"> maps and guidance published by the California Geological Survey, unless an Asbestos Dust Control Plan (17 CCR Section 93105) is prepared and approved by the </w:t>
      </w:r>
      <w:r>
        <w:t xml:space="preserve">applicable local </w:t>
      </w:r>
      <w:r w:rsidRPr="00E60B3E">
        <w:t xml:space="preserve">air district. </w:t>
      </w:r>
      <w:r>
        <w:t>SPR AQ-</w:t>
      </w:r>
      <w:r w:rsidR="00951AFB" w:rsidRPr="00F61092">
        <w:rPr>
          <w:u w:val="single"/>
        </w:rPr>
        <w:t>5</w:t>
      </w:r>
      <w:r w:rsidRPr="00F61092">
        <w:rPr>
          <w:strike/>
        </w:rPr>
        <w:t>7</w:t>
      </w:r>
      <w:r>
        <w:t xml:space="preserve"> also requires treatment crews to follow any </w:t>
      </w:r>
      <w:r w:rsidRPr="00E60B3E">
        <w:t xml:space="preserve">NOA-related guidance provided by the applicable </w:t>
      </w:r>
      <w:r>
        <w:t xml:space="preserve">local </w:t>
      </w:r>
      <w:r w:rsidRPr="00E60B3E">
        <w:t>air district</w:t>
      </w:r>
      <w:r>
        <w:t xml:space="preserve">, reducing the risk of encountering NOA or generating airborne NOA emissions. Additionally, SPR </w:t>
      </w:r>
      <w:r w:rsidR="00E96BD7">
        <w:t>AQ-4</w:t>
      </w:r>
      <w:r w:rsidRPr="00E60B3E">
        <w:t xml:space="preserve"> </w:t>
      </w:r>
      <w:r>
        <w:t>requires treatment crews to</w:t>
      </w:r>
      <w:r w:rsidRPr="00E60B3E">
        <w:t xml:space="preserve"> wet unpaved roads using water trucks or treat roads with a non-toxic chemical dust suppressant (e.g., emulsion polymers, organic material) during dry, dusty conditions</w:t>
      </w:r>
      <w:r>
        <w:t xml:space="preserve">, which would reduce the risk of airborne NOA emissions. </w:t>
      </w:r>
      <w:r w:rsidR="006D4E3B">
        <w:t>I</w:t>
      </w:r>
      <w:r>
        <w:t>mplementation of SPR</w:t>
      </w:r>
      <w:r w:rsidR="00E96BD7">
        <w:t>s</w:t>
      </w:r>
      <w:r>
        <w:t xml:space="preserve"> AQ-</w:t>
      </w:r>
      <w:r w:rsidR="00E96BD7">
        <w:t>4</w:t>
      </w:r>
      <w:r>
        <w:t xml:space="preserve"> and </w:t>
      </w:r>
      <w:r w:rsidR="00E96BD7">
        <w:t>AQ-</w:t>
      </w:r>
      <w:r w:rsidR="00951AFB" w:rsidRPr="00F61092">
        <w:rPr>
          <w:u w:val="single"/>
        </w:rPr>
        <w:t>5</w:t>
      </w:r>
      <w:r w:rsidR="00E96BD7" w:rsidRPr="00F61092">
        <w:rPr>
          <w:strike/>
        </w:rPr>
        <w:t>7</w:t>
      </w:r>
      <w:r w:rsidR="006D4E3B">
        <w:t xml:space="preserve"> would minimize</w:t>
      </w:r>
      <w:r w:rsidRPr="00391D77">
        <w:t xml:space="preserve"> the potential for </w:t>
      </w:r>
      <w:r w:rsidR="000444EC">
        <w:t>people</w:t>
      </w:r>
      <w:r w:rsidRPr="00391D77">
        <w:t xml:space="preserve"> to be exposed to NOA. As a result, this impact would be </w:t>
      </w:r>
      <w:r w:rsidRPr="0050366B">
        <w:rPr>
          <w:b/>
        </w:rPr>
        <w:t>less than significant</w:t>
      </w:r>
      <w:r w:rsidRPr="00391D77">
        <w:t>.</w:t>
      </w:r>
    </w:p>
    <w:p w14:paraId="1FEEBD3B" w14:textId="77777777" w:rsidR="00106C19" w:rsidRDefault="00106C19" w:rsidP="00106C19">
      <w:pPr>
        <w:pStyle w:val="Heading5"/>
      </w:pPr>
      <w:r w:rsidRPr="009328EF">
        <w:t>Mitigation Measures</w:t>
      </w:r>
    </w:p>
    <w:p w14:paraId="27FEB039" w14:textId="24DE320A" w:rsidR="00106C19" w:rsidRPr="00391D77" w:rsidRDefault="00106C19" w:rsidP="00335804">
      <w:pPr>
        <w:pStyle w:val="Mitigationtext"/>
      </w:pPr>
      <w:r>
        <w:t>No mitigation is required for this impact.</w:t>
      </w:r>
    </w:p>
    <w:p w14:paraId="42C2D08E" w14:textId="4D24A95A" w:rsidR="002208FB" w:rsidRPr="00CC6793" w:rsidRDefault="002208FB" w:rsidP="002208FB">
      <w:pPr>
        <w:pStyle w:val="ImpactNo"/>
      </w:pPr>
      <w:bookmarkStart w:id="84" w:name="_Hlk6220066"/>
      <w:r w:rsidRPr="00CC6793">
        <w:t xml:space="preserve">Impact </w:t>
      </w:r>
      <w:r>
        <w:t>AQ-</w:t>
      </w:r>
      <w:r w:rsidR="0091450C">
        <w:t>4</w:t>
      </w:r>
      <w:r w:rsidRPr="00CC6793">
        <w:t xml:space="preserve">: </w:t>
      </w:r>
      <w:r w:rsidRPr="00000FCE">
        <w:t>Expos</w:t>
      </w:r>
      <w:r>
        <w:t>e</w:t>
      </w:r>
      <w:r w:rsidRPr="00000FCE">
        <w:t xml:space="preserve"> </w:t>
      </w:r>
      <w:r w:rsidR="00017BBD">
        <w:t xml:space="preserve">People </w:t>
      </w:r>
      <w:r w:rsidRPr="00000FCE">
        <w:t xml:space="preserve">to </w:t>
      </w:r>
      <w:r>
        <w:t>Toxic Air Contaminants Emitted by Prescribed Burns</w:t>
      </w:r>
      <w:r w:rsidR="0055372B">
        <w:t xml:space="preserve"> and Related Health Risk</w:t>
      </w:r>
    </w:p>
    <w:p w14:paraId="5F8D9892" w14:textId="21D8E42B" w:rsidR="009B3BEC" w:rsidRPr="00CC6793" w:rsidRDefault="00D9656A" w:rsidP="002208FB">
      <w:pPr>
        <w:pStyle w:val="Impactdescription"/>
      </w:pPr>
      <w:r>
        <w:t>P</w:t>
      </w:r>
      <w:r w:rsidR="00744B82">
        <w:t>rescribed burn</w:t>
      </w:r>
      <w:r w:rsidR="00712AA1">
        <w:t>s</w:t>
      </w:r>
      <w:r w:rsidR="00744B82">
        <w:t xml:space="preserve"> conducted under the CalVTP </w:t>
      </w:r>
      <w:r>
        <w:t>c</w:t>
      </w:r>
      <w:r w:rsidR="00744B82">
        <w:t>ould result</w:t>
      </w:r>
      <w:r>
        <w:t xml:space="preserve"> </w:t>
      </w:r>
      <w:r w:rsidR="00744B82">
        <w:t xml:space="preserve">in the short-term exposure of </w:t>
      </w:r>
      <w:r w:rsidR="00E1244C">
        <w:t xml:space="preserve">people </w:t>
      </w:r>
      <w:r w:rsidR="00744B82">
        <w:t>to concentrations of TACs and associated levels of acute health risk with a H</w:t>
      </w:r>
      <w:r w:rsidR="006D4E3B">
        <w:t xml:space="preserve">azard </w:t>
      </w:r>
      <w:r w:rsidR="00744B82">
        <w:t>I</w:t>
      </w:r>
      <w:r w:rsidR="006D4E3B">
        <w:t>ndex</w:t>
      </w:r>
      <w:r w:rsidR="00744B82">
        <w:t xml:space="preserve"> greater than 1.0. This would be a </w:t>
      </w:r>
      <w:r w:rsidR="00FA423D" w:rsidRPr="00FA423D">
        <w:rPr>
          <w:b/>
        </w:rPr>
        <w:t>potentially</w:t>
      </w:r>
      <w:r w:rsidR="00FA423D">
        <w:t xml:space="preserve"> </w:t>
      </w:r>
      <w:r w:rsidR="00744B82" w:rsidRPr="000F0543">
        <w:rPr>
          <w:b/>
        </w:rPr>
        <w:t xml:space="preserve">significant </w:t>
      </w:r>
      <w:r w:rsidR="00744B82" w:rsidRPr="00FA423D">
        <w:t>impact</w:t>
      </w:r>
      <w:r w:rsidR="00744B82">
        <w:t>.</w:t>
      </w:r>
    </w:p>
    <w:p w14:paraId="5A489317" w14:textId="1281C6DA" w:rsidR="00AD2054" w:rsidRDefault="00707AE3" w:rsidP="00535241">
      <w:pPr>
        <w:pStyle w:val="BodyText"/>
      </w:pPr>
      <w:bookmarkStart w:id="85" w:name="_Hlk5793265"/>
      <w:r>
        <w:t>T</w:t>
      </w:r>
      <w:r w:rsidR="00102F43">
        <w:t>he primary air pollutant of concern from smoke generated by prescribed burning is PM</w:t>
      </w:r>
      <w:r w:rsidR="00102F43" w:rsidRPr="000822D4">
        <w:rPr>
          <w:vertAlign w:val="subscript"/>
        </w:rPr>
        <w:t>2.5</w:t>
      </w:r>
      <w:r w:rsidR="00102F43">
        <w:t xml:space="preserve">. </w:t>
      </w:r>
      <w:r w:rsidR="001541BD">
        <w:t>PM</w:t>
      </w:r>
      <w:r w:rsidR="001541BD" w:rsidRPr="000822D4">
        <w:rPr>
          <w:vertAlign w:val="subscript"/>
        </w:rPr>
        <w:t>2.5</w:t>
      </w:r>
      <w:r w:rsidR="001541BD">
        <w:t xml:space="preserve"> </w:t>
      </w:r>
      <w:r w:rsidR="00102F43">
        <w:t>is a criteria air pollutant, subject to the health-based</w:t>
      </w:r>
      <w:r w:rsidR="00102F43" w:rsidRPr="009D49AE">
        <w:t xml:space="preserve"> </w:t>
      </w:r>
      <w:r w:rsidR="00102F43">
        <w:t>NAAQS and CAAQS</w:t>
      </w:r>
      <w:r w:rsidR="006D4E3B">
        <w:t xml:space="preserve"> (exceedance of NAAQS and CAAQS for PM</w:t>
      </w:r>
      <w:r w:rsidR="006D4E3B" w:rsidRPr="000822D4">
        <w:rPr>
          <w:vertAlign w:val="subscript"/>
        </w:rPr>
        <w:t>2.5</w:t>
      </w:r>
      <w:r w:rsidR="00102F43">
        <w:t xml:space="preserve"> is discussed in Impact AQ-</w:t>
      </w:r>
      <w:r w:rsidR="00EC4F95">
        <w:t>1</w:t>
      </w:r>
      <w:r w:rsidR="006D4E3B">
        <w:t>)</w:t>
      </w:r>
      <w:r w:rsidR="00102F43">
        <w:t xml:space="preserve">. </w:t>
      </w:r>
    </w:p>
    <w:p w14:paraId="0618F506" w14:textId="0519D192" w:rsidR="00AD2054" w:rsidRPr="00BA0CD0" w:rsidRDefault="004E0F55" w:rsidP="00535241">
      <w:pPr>
        <w:pStyle w:val="BodyText"/>
        <w:rPr>
          <w:spacing w:val="-1"/>
        </w:rPr>
      </w:pPr>
      <w:r w:rsidRPr="00BA0CD0">
        <w:rPr>
          <w:spacing w:val="-1"/>
        </w:rPr>
        <w:t xml:space="preserve">As discussed in Section 3.4.2, </w:t>
      </w:r>
      <w:r w:rsidR="00670EB0" w:rsidRPr="00BA0CD0">
        <w:rPr>
          <w:spacing w:val="-1"/>
        </w:rPr>
        <w:t>“</w:t>
      </w:r>
      <w:r w:rsidRPr="00BA0CD0">
        <w:rPr>
          <w:spacing w:val="-1"/>
        </w:rPr>
        <w:t>Environmental Setting,</w:t>
      </w:r>
      <w:r w:rsidR="00670EB0" w:rsidRPr="00BA0CD0">
        <w:rPr>
          <w:spacing w:val="-1"/>
        </w:rPr>
        <w:t>”</w:t>
      </w:r>
      <w:r w:rsidRPr="00BA0CD0">
        <w:rPr>
          <w:spacing w:val="-1"/>
        </w:rPr>
        <w:t xml:space="preserve"> s</w:t>
      </w:r>
      <w:r w:rsidR="00625C29" w:rsidRPr="00BA0CD0">
        <w:rPr>
          <w:spacing w:val="-1"/>
        </w:rPr>
        <w:t>moke from prescribed burning generates</w:t>
      </w:r>
      <w:r w:rsidR="00C25548" w:rsidRPr="00BA0CD0">
        <w:rPr>
          <w:spacing w:val="-1"/>
        </w:rPr>
        <w:t xml:space="preserve"> small concentrations of</w:t>
      </w:r>
      <w:r w:rsidR="00625C29" w:rsidRPr="00BA0CD0">
        <w:rPr>
          <w:spacing w:val="-1"/>
        </w:rPr>
        <w:t xml:space="preserve"> TACs</w:t>
      </w:r>
      <w:r w:rsidR="00E67C3E" w:rsidRPr="00BA0CD0">
        <w:rPr>
          <w:spacing w:val="-1"/>
        </w:rPr>
        <w:t>,</w:t>
      </w:r>
      <w:r w:rsidR="00625C29" w:rsidRPr="00BA0CD0">
        <w:rPr>
          <w:spacing w:val="-1"/>
        </w:rPr>
        <w:t xml:space="preserve"> such as aldehydes (including formaldehyde and acrolein)</w:t>
      </w:r>
      <w:r w:rsidR="00E67C3E" w:rsidRPr="00BA0CD0">
        <w:rPr>
          <w:spacing w:val="-1"/>
        </w:rPr>
        <w:t>,</w:t>
      </w:r>
      <w:r w:rsidR="00625C29" w:rsidRPr="00BA0CD0">
        <w:rPr>
          <w:spacing w:val="-1"/>
        </w:rPr>
        <w:t xml:space="preserve"> and organic compounds</w:t>
      </w:r>
      <w:r w:rsidR="00E67C3E" w:rsidRPr="00BA0CD0">
        <w:rPr>
          <w:spacing w:val="-1"/>
        </w:rPr>
        <w:t>,</w:t>
      </w:r>
      <w:r w:rsidR="00625C29" w:rsidRPr="00BA0CD0">
        <w:rPr>
          <w:spacing w:val="-1"/>
        </w:rPr>
        <w:t xml:space="preserve"> such as PAHs and benzene.</w:t>
      </w:r>
      <w:r w:rsidR="00D30C88" w:rsidRPr="00BA0CD0">
        <w:rPr>
          <w:spacing w:val="-1"/>
        </w:rPr>
        <w:t xml:space="preserve"> </w:t>
      </w:r>
      <w:r w:rsidR="00AD3424" w:rsidRPr="00BA0CD0">
        <w:rPr>
          <w:spacing w:val="-1"/>
        </w:rPr>
        <w:t xml:space="preserve">Smoke from prescribed burns also contains CO, which is identified as a TAC </w:t>
      </w:r>
      <w:r w:rsidR="004935B0" w:rsidRPr="00BA0CD0">
        <w:rPr>
          <w:spacing w:val="-1"/>
        </w:rPr>
        <w:t xml:space="preserve">as well as </w:t>
      </w:r>
      <w:r w:rsidR="00AD3424" w:rsidRPr="00BA0CD0">
        <w:rPr>
          <w:spacing w:val="-1"/>
        </w:rPr>
        <w:t xml:space="preserve">a criteria pollutant. </w:t>
      </w:r>
      <w:r w:rsidR="00625C29" w:rsidRPr="00BA0CD0">
        <w:rPr>
          <w:spacing w:val="-1"/>
        </w:rPr>
        <w:t xml:space="preserve">Although </w:t>
      </w:r>
      <w:r w:rsidR="009B3BEC" w:rsidRPr="00BA0CD0">
        <w:rPr>
          <w:spacing w:val="-1"/>
        </w:rPr>
        <w:t xml:space="preserve">the concentrations of </w:t>
      </w:r>
      <w:r w:rsidR="00625C29" w:rsidRPr="00BA0CD0">
        <w:rPr>
          <w:spacing w:val="-1"/>
        </w:rPr>
        <w:t xml:space="preserve">TACs </w:t>
      </w:r>
      <w:r w:rsidR="009B3BEC" w:rsidRPr="00BA0CD0">
        <w:rPr>
          <w:spacing w:val="-1"/>
        </w:rPr>
        <w:t xml:space="preserve">within smoke generated by prescribed burns </w:t>
      </w:r>
      <w:r w:rsidR="00625C29" w:rsidRPr="00BA0CD0">
        <w:rPr>
          <w:spacing w:val="-1"/>
        </w:rPr>
        <w:t xml:space="preserve">are much lower </w:t>
      </w:r>
      <w:r w:rsidR="009B3BEC" w:rsidRPr="00BA0CD0">
        <w:rPr>
          <w:spacing w:val="-1"/>
        </w:rPr>
        <w:t xml:space="preserve">than </w:t>
      </w:r>
      <w:r w:rsidR="00625C29" w:rsidRPr="00BA0CD0">
        <w:rPr>
          <w:spacing w:val="-1"/>
        </w:rPr>
        <w:t xml:space="preserve">concentrations </w:t>
      </w:r>
      <w:r w:rsidR="009B3BEC" w:rsidRPr="00BA0CD0">
        <w:rPr>
          <w:spacing w:val="-1"/>
        </w:rPr>
        <w:t>of PM</w:t>
      </w:r>
      <w:r w:rsidR="009B3BEC" w:rsidRPr="00BA0CD0">
        <w:rPr>
          <w:spacing w:val="-1"/>
          <w:vertAlign w:val="subscript"/>
        </w:rPr>
        <w:t>2.5</w:t>
      </w:r>
      <w:r w:rsidR="00625C29" w:rsidRPr="00BA0CD0">
        <w:rPr>
          <w:spacing w:val="-1"/>
        </w:rPr>
        <w:t xml:space="preserve">, TACs emitted by prescribed burning have the potential to </w:t>
      </w:r>
      <w:r w:rsidR="00E67C3E" w:rsidRPr="00BA0CD0">
        <w:rPr>
          <w:spacing w:val="-1"/>
        </w:rPr>
        <w:t xml:space="preserve">expose </w:t>
      </w:r>
      <w:r w:rsidR="00E1244C" w:rsidRPr="00BA0CD0">
        <w:rPr>
          <w:spacing w:val="-1"/>
        </w:rPr>
        <w:t xml:space="preserve">people </w:t>
      </w:r>
      <w:r w:rsidR="00E67C3E" w:rsidRPr="00BA0CD0">
        <w:rPr>
          <w:spacing w:val="-1"/>
        </w:rPr>
        <w:t>to</w:t>
      </w:r>
      <w:r w:rsidR="00625C29" w:rsidRPr="00BA0CD0">
        <w:rPr>
          <w:spacing w:val="-1"/>
        </w:rPr>
        <w:t xml:space="preserve"> adverse</w:t>
      </w:r>
      <w:r w:rsidR="00AD2054" w:rsidRPr="00BA0CD0">
        <w:rPr>
          <w:spacing w:val="-1"/>
        </w:rPr>
        <w:t xml:space="preserve"> short- and long-term</w:t>
      </w:r>
      <w:r w:rsidR="00625C29" w:rsidRPr="00BA0CD0">
        <w:rPr>
          <w:spacing w:val="-1"/>
        </w:rPr>
        <w:t xml:space="preserve"> health </w:t>
      </w:r>
      <w:r w:rsidR="009B3BEC" w:rsidRPr="00BA0CD0">
        <w:rPr>
          <w:spacing w:val="-1"/>
        </w:rPr>
        <w:t>effects</w:t>
      </w:r>
      <w:r w:rsidR="00625C29" w:rsidRPr="00BA0CD0">
        <w:rPr>
          <w:spacing w:val="-1"/>
        </w:rPr>
        <w:t xml:space="preserve"> (CARB and CDPH 2016). </w:t>
      </w:r>
      <w:r w:rsidR="00741153" w:rsidRPr="00BA0CD0">
        <w:rPr>
          <w:spacing w:val="-1"/>
        </w:rPr>
        <w:t>Risk factors published for these TACs indicate that they can expose receptors to short- and/or long-term health effects depending on the dose of exposure (CARB 2018</w:t>
      </w:r>
      <w:r w:rsidR="00B840C6" w:rsidRPr="00BA0CD0">
        <w:rPr>
          <w:spacing w:val="-1"/>
        </w:rPr>
        <w:t>b</w:t>
      </w:r>
      <w:r w:rsidR="00741153" w:rsidRPr="00BA0CD0">
        <w:rPr>
          <w:spacing w:val="-1"/>
        </w:rPr>
        <w:t xml:space="preserve">). </w:t>
      </w:r>
      <w:r w:rsidR="00EC035E" w:rsidRPr="00BA0CD0">
        <w:rPr>
          <w:spacing w:val="-1"/>
        </w:rPr>
        <w:t xml:space="preserve">The potential for receptors located near prescribed burn sites to be exposed to short- and long-term health effects </w:t>
      </w:r>
      <w:r w:rsidR="006D4E3B" w:rsidRPr="00BA0CD0">
        <w:rPr>
          <w:spacing w:val="-1"/>
        </w:rPr>
        <w:t xml:space="preserve">are addressed </w:t>
      </w:r>
      <w:r w:rsidR="00EC035E" w:rsidRPr="00BA0CD0">
        <w:rPr>
          <w:spacing w:val="-1"/>
        </w:rPr>
        <w:t xml:space="preserve">below. </w:t>
      </w:r>
      <w:r w:rsidR="003926AF" w:rsidRPr="00BA0CD0">
        <w:rPr>
          <w:spacing w:val="-1"/>
        </w:rPr>
        <w:t xml:space="preserve">Published research has studied worker (i.e., firefighter) exposure to TACs during burning; the results of these studies are used </w:t>
      </w:r>
      <w:r w:rsidR="00C72A39" w:rsidRPr="00BA0CD0">
        <w:rPr>
          <w:spacing w:val="-1"/>
        </w:rPr>
        <w:t>to inform the</w:t>
      </w:r>
      <w:r w:rsidR="003926AF" w:rsidRPr="00BA0CD0">
        <w:rPr>
          <w:spacing w:val="-1"/>
        </w:rPr>
        <w:t xml:space="preserve"> analy</w:t>
      </w:r>
      <w:r w:rsidR="00C72A39" w:rsidRPr="00BA0CD0">
        <w:rPr>
          <w:spacing w:val="-1"/>
        </w:rPr>
        <w:t xml:space="preserve">sis of </w:t>
      </w:r>
      <w:r w:rsidR="003926AF" w:rsidRPr="00BA0CD0">
        <w:rPr>
          <w:spacing w:val="-1"/>
        </w:rPr>
        <w:t>the effects of human exposure in general to TACs from prescribed burns</w:t>
      </w:r>
      <w:r w:rsidR="00EC035E" w:rsidRPr="00BA0CD0">
        <w:rPr>
          <w:spacing w:val="-1"/>
        </w:rPr>
        <w:t xml:space="preserve">. </w:t>
      </w:r>
    </w:p>
    <w:p w14:paraId="579849C8" w14:textId="5C156BAA" w:rsidR="00115809" w:rsidRDefault="00C52C39" w:rsidP="00115809">
      <w:pPr>
        <w:pStyle w:val="Heading6"/>
      </w:pPr>
      <w:r>
        <w:t xml:space="preserve">Exposure to </w:t>
      </w:r>
      <w:r w:rsidR="00115809">
        <w:t xml:space="preserve">Short-Term Acute Health </w:t>
      </w:r>
      <w:r w:rsidR="00FF62FE">
        <w:t>Effects</w:t>
      </w:r>
    </w:p>
    <w:p w14:paraId="1F184750" w14:textId="418AD7D3" w:rsidR="00A52873" w:rsidRPr="00030F9B" w:rsidRDefault="00AD2054" w:rsidP="00535241">
      <w:pPr>
        <w:pStyle w:val="BodyText"/>
        <w:rPr>
          <w:spacing w:val="-1"/>
        </w:rPr>
      </w:pPr>
      <w:bookmarkStart w:id="86" w:name="_Hlk6237269"/>
      <w:r w:rsidRPr="00030F9B">
        <w:rPr>
          <w:spacing w:val="-1"/>
        </w:rPr>
        <w:t>E</w:t>
      </w:r>
      <w:r w:rsidR="00625C29" w:rsidRPr="00030F9B">
        <w:rPr>
          <w:spacing w:val="-1"/>
        </w:rPr>
        <w:t xml:space="preserve">xposure to </w:t>
      </w:r>
      <w:r w:rsidR="00F437B3" w:rsidRPr="00030F9B">
        <w:rPr>
          <w:spacing w:val="-1"/>
        </w:rPr>
        <w:t xml:space="preserve">the types of </w:t>
      </w:r>
      <w:r w:rsidR="00967994" w:rsidRPr="00030F9B">
        <w:rPr>
          <w:spacing w:val="-1"/>
        </w:rPr>
        <w:t>TACs found in smoke</w:t>
      </w:r>
      <w:r w:rsidR="00625C29" w:rsidRPr="00030F9B">
        <w:rPr>
          <w:spacing w:val="-1"/>
        </w:rPr>
        <w:t xml:space="preserve"> </w:t>
      </w:r>
      <w:r w:rsidR="00967994" w:rsidRPr="00030F9B">
        <w:rPr>
          <w:spacing w:val="-1"/>
        </w:rPr>
        <w:t>could result in acute short-term health impacts such as eye and respiratory irritation</w:t>
      </w:r>
      <w:r w:rsidRPr="00030F9B">
        <w:rPr>
          <w:spacing w:val="-1"/>
        </w:rPr>
        <w:t xml:space="preserve"> and exacerbated asthma symptoms. </w:t>
      </w:r>
      <w:r w:rsidR="00426C64" w:rsidRPr="00030F9B">
        <w:rPr>
          <w:spacing w:val="-1"/>
        </w:rPr>
        <w:t>Studies evaluating exposure of firefighters to smoke from prescribed</w:t>
      </w:r>
      <w:r w:rsidR="00203AB1" w:rsidRPr="00030F9B">
        <w:rPr>
          <w:spacing w:val="-1"/>
        </w:rPr>
        <w:t xml:space="preserve"> </w:t>
      </w:r>
      <w:r w:rsidR="009408F8" w:rsidRPr="00030F9B">
        <w:rPr>
          <w:spacing w:val="-1"/>
        </w:rPr>
        <w:t>burns</w:t>
      </w:r>
      <w:r w:rsidR="00426C64" w:rsidRPr="00030F9B">
        <w:rPr>
          <w:spacing w:val="-1"/>
        </w:rPr>
        <w:t xml:space="preserve"> </w:t>
      </w:r>
      <w:r w:rsidR="00203AB1" w:rsidRPr="00030F9B">
        <w:rPr>
          <w:spacing w:val="-1"/>
        </w:rPr>
        <w:t xml:space="preserve">have compared measured exposure levels </w:t>
      </w:r>
      <w:r w:rsidR="00552763" w:rsidRPr="00030F9B">
        <w:rPr>
          <w:spacing w:val="-1"/>
        </w:rPr>
        <w:t xml:space="preserve">at </w:t>
      </w:r>
      <w:r w:rsidR="00082690" w:rsidRPr="00030F9B">
        <w:rPr>
          <w:spacing w:val="-1"/>
        </w:rPr>
        <w:t xml:space="preserve">or next to burn sites </w:t>
      </w:r>
      <w:r w:rsidR="00203AB1" w:rsidRPr="00030F9B">
        <w:rPr>
          <w:spacing w:val="-1"/>
        </w:rPr>
        <w:t>to the Permissible Exposure Limits</w:t>
      </w:r>
      <w:r w:rsidR="00613E78" w:rsidRPr="00030F9B">
        <w:rPr>
          <w:spacing w:val="-1"/>
        </w:rPr>
        <w:t xml:space="preserve"> (PEL)</w:t>
      </w:r>
      <w:r w:rsidR="00203AB1" w:rsidRPr="00030F9B">
        <w:rPr>
          <w:spacing w:val="-1"/>
        </w:rPr>
        <w:t xml:space="preserve"> </w:t>
      </w:r>
      <w:r w:rsidR="0014498C" w:rsidRPr="00030F9B">
        <w:rPr>
          <w:spacing w:val="-1"/>
        </w:rPr>
        <w:t>established by the U.S. Occupational Safety and Health Administration</w:t>
      </w:r>
      <w:r w:rsidR="00670EB0" w:rsidRPr="00030F9B">
        <w:rPr>
          <w:spacing w:val="-1"/>
        </w:rPr>
        <w:t>’</w:t>
      </w:r>
      <w:r w:rsidR="0014498C" w:rsidRPr="00030F9B">
        <w:rPr>
          <w:spacing w:val="-1"/>
        </w:rPr>
        <w:t xml:space="preserve">s (OSHA) </w:t>
      </w:r>
      <w:r w:rsidR="00613E78" w:rsidRPr="00030F9B">
        <w:rPr>
          <w:spacing w:val="-1"/>
        </w:rPr>
        <w:t>and to more stringent OELs</w:t>
      </w:r>
      <w:r w:rsidR="00B56EA1" w:rsidRPr="00030F9B">
        <w:rPr>
          <w:spacing w:val="-1"/>
        </w:rPr>
        <w:t xml:space="preserve"> </w:t>
      </w:r>
      <w:r w:rsidR="0014498C" w:rsidRPr="00030F9B">
        <w:rPr>
          <w:spacing w:val="-1"/>
        </w:rPr>
        <w:t>established</w:t>
      </w:r>
      <w:r w:rsidR="00613E78" w:rsidRPr="00030F9B">
        <w:rPr>
          <w:spacing w:val="-1"/>
        </w:rPr>
        <w:t xml:space="preserve"> by Cal/OSHA and</w:t>
      </w:r>
      <w:r w:rsidR="00B56EA1" w:rsidRPr="00030F9B">
        <w:rPr>
          <w:spacing w:val="-1"/>
        </w:rPr>
        <w:t xml:space="preserve"> </w:t>
      </w:r>
      <w:r w:rsidR="00240C5A" w:rsidRPr="00030F9B">
        <w:rPr>
          <w:spacing w:val="-1"/>
        </w:rPr>
        <w:t>the National Institute for Occupational Safety and Health</w:t>
      </w:r>
      <w:r w:rsidR="00613E78" w:rsidRPr="00030F9B">
        <w:rPr>
          <w:spacing w:val="-1"/>
        </w:rPr>
        <w:t xml:space="preserve">. Although </w:t>
      </w:r>
      <w:r w:rsidR="00AB093A" w:rsidRPr="00030F9B">
        <w:rPr>
          <w:spacing w:val="-1"/>
        </w:rPr>
        <w:t xml:space="preserve">studies have not found </w:t>
      </w:r>
      <w:r w:rsidR="004B3EB2" w:rsidRPr="00030F9B">
        <w:rPr>
          <w:spacing w:val="-1"/>
        </w:rPr>
        <w:t xml:space="preserve">the </w:t>
      </w:r>
      <w:r w:rsidR="00432752" w:rsidRPr="00030F9B">
        <w:rPr>
          <w:spacing w:val="-1"/>
        </w:rPr>
        <w:t>time-weighted average</w:t>
      </w:r>
      <w:r w:rsidR="00613E78" w:rsidRPr="00030F9B">
        <w:rPr>
          <w:spacing w:val="-1"/>
        </w:rPr>
        <w:t xml:space="preserve"> </w:t>
      </w:r>
      <w:r w:rsidR="004935B0" w:rsidRPr="00030F9B">
        <w:rPr>
          <w:spacing w:val="-1"/>
        </w:rPr>
        <w:t xml:space="preserve">TAC </w:t>
      </w:r>
      <w:r w:rsidR="00613E78" w:rsidRPr="00030F9B">
        <w:rPr>
          <w:spacing w:val="-1"/>
        </w:rPr>
        <w:t>exposure levels</w:t>
      </w:r>
      <w:r w:rsidR="00F74CC7" w:rsidRPr="00030F9B">
        <w:rPr>
          <w:spacing w:val="-1"/>
        </w:rPr>
        <w:t xml:space="preserve"> </w:t>
      </w:r>
      <w:r w:rsidR="00794B61" w:rsidRPr="00030F9B">
        <w:rPr>
          <w:spacing w:val="-1"/>
        </w:rPr>
        <w:t xml:space="preserve">that would </w:t>
      </w:r>
      <w:r w:rsidR="00613E78" w:rsidRPr="00030F9B">
        <w:rPr>
          <w:spacing w:val="-1"/>
        </w:rPr>
        <w:t>exceed OSHA</w:t>
      </w:r>
      <w:r w:rsidR="00670EB0" w:rsidRPr="00030F9B">
        <w:rPr>
          <w:spacing w:val="-1"/>
        </w:rPr>
        <w:t>’</w:t>
      </w:r>
      <w:r w:rsidR="00613E78" w:rsidRPr="00030F9B">
        <w:rPr>
          <w:spacing w:val="-1"/>
        </w:rPr>
        <w:t xml:space="preserve">s PELs, </w:t>
      </w:r>
      <w:r w:rsidR="00432752" w:rsidRPr="00030F9B">
        <w:rPr>
          <w:spacing w:val="-1"/>
        </w:rPr>
        <w:t xml:space="preserve">up to 14 percent of firefighters </w:t>
      </w:r>
      <w:r w:rsidR="00794B61" w:rsidRPr="00030F9B">
        <w:rPr>
          <w:spacing w:val="-1"/>
        </w:rPr>
        <w:t xml:space="preserve">evaluated in the studies </w:t>
      </w:r>
      <w:r w:rsidR="00432752" w:rsidRPr="00030F9B">
        <w:rPr>
          <w:spacing w:val="-1"/>
        </w:rPr>
        <w:t xml:space="preserve">were exposed to short-term respiratory irritant levels above </w:t>
      </w:r>
      <w:r w:rsidR="00BD79EF" w:rsidRPr="00030F9B">
        <w:rPr>
          <w:spacing w:val="-1"/>
        </w:rPr>
        <w:t xml:space="preserve">the more stringent </w:t>
      </w:r>
      <w:r w:rsidR="00432752" w:rsidRPr="00030F9B">
        <w:rPr>
          <w:spacing w:val="-1"/>
        </w:rPr>
        <w:t>OELs</w:t>
      </w:r>
      <w:r w:rsidR="00594B45" w:rsidRPr="00030F9B">
        <w:rPr>
          <w:spacing w:val="-1"/>
        </w:rPr>
        <w:t xml:space="preserve"> </w:t>
      </w:r>
      <w:r w:rsidR="00BD79EF" w:rsidRPr="00030F9B">
        <w:rPr>
          <w:spacing w:val="-1"/>
        </w:rPr>
        <w:t>(NWCG 2018, Reinhardt et al. 2000)</w:t>
      </w:r>
      <w:r w:rsidR="00432752" w:rsidRPr="00030F9B">
        <w:rPr>
          <w:spacing w:val="-1"/>
        </w:rPr>
        <w:t xml:space="preserve">. </w:t>
      </w:r>
      <w:r w:rsidR="00594B45" w:rsidRPr="00030F9B">
        <w:rPr>
          <w:spacing w:val="-1"/>
        </w:rPr>
        <w:t xml:space="preserve">Studies </w:t>
      </w:r>
      <w:r w:rsidR="004B3EB2" w:rsidRPr="00030F9B">
        <w:rPr>
          <w:spacing w:val="-1"/>
        </w:rPr>
        <w:t xml:space="preserve">also </w:t>
      </w:r>
      <w:r w:rsidR="00594B45" w:rsidRPr="00030F9B">
        <w:rPr>
          <w:spacing w:val="-1"/>
        </w:rPr>
        <w:t xml:space="preserve">found that the </w:t>
      </w:r>
      <w:r w:rsidR="00AD3424" w:rsidRPr="00030F9B">
        <w:rPr>
          <w:spacing w:val="-1"/>
        </w:rPr>
        <w:t xml:space="preserve">level of </w:t>
      </w:r>
      <w:r w:rsidR="001927E5" w:rsidRPr="00030F9B">
        <w:rPr>
          <w:spacing w:val="-1"/>
        </w:rPr>
        <w:t xml:space="preserve">acute </w:t>
      </w:r>
      <w:r w:rsidR="00AD3424" w:rsidRPr="00030F9B">
        <w:rPr>
          <w:spacing w:val="-1"/>
        </w:rPr>
        <w:t xml:space="preserve">health risk experienced by firefighters from </w:t>
      </w:r>
      <w:r w:rsidR="001927E5" w:rsidRPr="00030F9B">
        <w:rPr>
          <w:spacing w:val="-1"/>
        </w:rPr>
        <w:t xml:space="preserve">short-term </w:t>
      </w:r>
      <w:r w:rsidR="00AD3424" w:rsidRPr="00030F9B">
        <w:rPr>
          <w:spacing w:val="-1"/>
        </w:rPr>
        <w:t xml:space="preserve">exposure to formaldehyde, acrolein, benzene, and CO exceeded a </w:t>
      </w:r>
      <w:r w:rsidR="00FF62FE" w:rsidRPr="00030F9B">
        <w:rPr>
          <w:spacing w:val="-1"/>
        </w:rPr>
        <w:t>H</w:t>
      </w:r>
      <w:r w:rsidR="00594B45" w:rsidRPr="00030F9B">
        <w:rPr>
          <w:spacing w:val="-1"/>
        </w:rPr>
        <w:t xml:space="preserve">azard </w:t>
      </w:r>
      <w:r w:rsidR="00FF62FE" w:rsidRPr="00030F9B">
        <w:rPr>
          <w:spacing w:val="-1"/>
        </w:rPr>
        <w:t>I</w:t>
      </w:r>
      <w:r w:rsidR="00594B45" w:rsidRPr="00030F9B">
        <w:rPr>
          <w:spacing w:val="-1"/>
        </w:rPr>
        <w:t xml:space="preserve">ndex </w:t>
      </w:r>
      <w:r w:rsidR="00AD3424" w:rsidRPr="00030F9B">
        <w:rPr>
          <w:spacing w:val="-1"/>
        </w:rPr>
        <w:t xml:space="preserve">of </w:t>
      </w:r>
      <w:r w:rsidR="00594B45" w:rsidRPr="00030F9B">
        <w:rPr>
          <w:spacing w:val="-1"/>
        </w:rPr>
        <w:t xml:space="preserve">1.0 (NWCG 2018). </w:t>
      </w:r>
      <w:r w:rsidR="00432752" w:rsidRPr="00030F9B">
        <w:rPr>
          <w:spacing w:val="-1"/>
        </w:rPr>
        <w:t xml:space="preserve">The highest levels of exposure to TACs </w:t>
      </w:r>
      <w:r w:rsidR="00BD79EF" w:rsidRPr="00030F9B">
        <w:rPr>
          <w:spacing w:val="-1"/>
        </w:rPr>
        <w:t>occurred when</w:t>
      </w:r>
      <w:r w:rsidR="00203AB1" w:rsidRPr="00030F9B">
        <w:rPr>
          <w:spacing w:val="-1"/>
        </w:rPr>
        <w:t xml:space="preserve"> </w:t>
      </w:r>
      <w:r w:rsidR="004B3EB2" w:rsidRPr="00030F9B">
        <w:rPr>
          <w:spacing w:val="-1"/>
        </w:rPr>
        <w:t xml:space="preserve">burn personnel </w:t>
      </w:r>
      <w:r w:rsidR="00794B61" w:rsidRPr="00030F9B">
        <w:rPr>
          <w:spacing w:val="-1"/>
        </w:rPr>
        <w:t xml:space="preserve">were </w:t>
      </w:r>
      <w:r w:rsidR="00203AB1" w:rsidRPr="00030F9B">
        <w:rPr>
          <w:spacing w:val="-1"/>
        </w:rPr>
        <w:t xml:space="preserve">maintaining </w:t>
      </w:r>
      <w:r w:rsidR="00794B61" w:rsidRPr="00030F9B">
        <w:rPr>
          <w:spacing w:val="-1"/>
        </w:rPr>
        <w:t>prescribed burns</w:t>
      </w:r>
      <w:r w:rsidR="00203AB1" w:rsidRPr="00030F9B">
        <w:rPr>
          <w:spacing w:val="-1"/>
        </w:rPr>
        <w:t xml:space="preserve"> within designated </w:t>
      </w:r>
      <w:r w:rsidR="00794B61" w:rsidRPr="00030F9B">
        <w:rPr>
          <w:spacing w:val="-1"/>
        </w:rPr>
        <w:t xml:space="preserve">containment </w:t>
      </w:r>
      <w:r w:rsidR="00203AB1" w:rsidRPr="00030F9B">
        <w:rPr>
          <w:spacing w:val="-1"/>
        </w:rPr>
        <w:t>lines and performing direct attack of spot fires that cross</w:t>
      </w:r>
      <w:r w:rsidR="00794B61" w:rsidRPr="00030F9B">
        <w:rPr>
          <w:spacing w:val="-1"/>
        </w:rPr>
        <w:t>ed</w:t>
      </w:r>
      <w:r w:rsidR="00203AB1" w:rsidRPr="00030F9B">
        <w:rPr>
          <w:spacing w:val="-1"/>
        </w:rPr>
        <w:t xml:space="preserve"> </w:t>
      </w:r>
      <w:r w:rsidR="00794B61" w:rsidRPr="00030F9B">
        <w:rPr>
          <w:spacing w:val="-1"/>
        </w:rPr>
        <w:t xml:space="preserve">containment </w:t>
      </w:r>
      <w:r w:rsidR="00203AB1" w:rsidRPr="00030F9B">
        <w:rPr>
          <w:spacing w:val="-1"/>
        </w:rPr>
        <w:t xml:space="preserve">lines. These events and the associated smoke exposures </w:t>
      </w:r>
      <w:r w:rsidR="0043315B" w:rsidRPr="00030F9B">
        <w:rPr>
          <w:spacing w:val="-1"/>
        </w:rPr>
        <w:t>occur more frequently during stronger winds</w:t>
      </w:r>
      <w:r w:rsidR="00203AB1" w:rsidRPr="00030F9B">
        <w:rPr>
          <w:spacing w:val="-1"/>
        </w:rPr>
        <w:t xml:space="preserve">, which hamper fire management and </w:t>
      </w:r>
      <w:r w:rsidR="0043315B" w:rsidRPr="00030F9B">
        <w:rPr>
          <w:spacing w:val="-1"/>
        </w:rPr>
        <w:t xml:space="preserve">can </w:t>
      </w:r>
      <w:r w:rsidR="00203AB1" w:rsidRPr="00030F9B">
        <w:rPr>
          <w:spacing w:val="-1"/>
        </w:rPr>
        <w:t xml:space="preserve">carry the convective plume of </w:t>
      </w:r>
      <w:r w:rsidR="0043315B" w:rsidRPr="00030F9B">
        <w:rPr>
          <w:spacing w:val="-1"/>
        </w:rPr>
        <w:t xml:space="preserve">smoke </w:t>
      </w:r>
      <w:r w:rsidR="00203AB1" w:rsidRPr="00030F9B">
        <w:rPr>
          <w:spacing w:val="-1"/>
        </w:rPr>
        <w:t xml:space="preserve">into </w:t>
      </w:r>
      <w:r w:rsidR="0078239E" w:rsidRPr="00030F9B">
        <w:rPr>
          <w:spacing w:val="-1"/>
        </w:rPr>
        <w:t xml:space="preserve">the </w:t>
      </w:r>
      <w:r w:rsidR="00203AB1" w:rsidRPr="00030F9B">
        <w:rPr>
          <w:spacing w:val="-1"/>
        </w:rPr>
        <w:t xml:space="preserve">breathing zone </w:t>
      </w:r>
      <w:r w:rsidR="0078239E" w:rsidRPr="00030F9B">
        <w:rPr>
          <w:spacing w:val="-1"/>
        </w:rPr>
        <w:t xml:space="preserve">of firefighters </w:t>
      </w:r>
      <w:r w:rsidR="00203AB1" w:rsidRPr="00030F9B">
        <w:rPr>
          <w:spacing w:val="-1"/>
        </w:rPr>
        <w:t>(</w:t>
      </w:r>
      <w:bookmarkStart w:id="87" w:name="_Hlk8289555"/>
      <w:r w:rsidR="00203AB1" w:rsidRPr="00030F9B">
        <w:rPr>
          <w:spacing w:val="-1"/>
        </w:rPr>
        <w:t>Reinhardt and Ottmar 2004</w:t>
      </w:r>
      <w:bookmarkEnd w:id="87"/>
      <w:r w:rsidR="00203AB1" w:rsidRPr="00030F9B">
        <w:rPr>
          <w:spacing w:val="-1"/>
        </w:rPr>
        <w:t>).</w:t>
      </w:r>
      <w:r w:rsidR="00BD79EF" w:rsidRPr="00030F9B">
        <w:rPr>
          <w:spacing w:val="-1"/>
        </w:rPr>
        <w:t xml:space="preserve"> </w:t>
      </w:r>
    </w:p>
    <w:p w14:paraId="7EE7B6CF" w14:textId="17B654EA" w:rsidR="00444154" w:rsidRPr="00030F9B" w:rsidRDefault="0043315B" w:rsidP="00535241">
      <w:pPr>
        <w:pStyle w:val="BodyText"/>
        <w:rPr>
          <w:spacing w:val="-1"/>
        </w:rPr>
      </w:pPr>
      <w:r w:rsidRPr="00030F9B">
        <w:rPr>
          <w:spacing w:val="-1"/>
        </w:rPr>
        <w:lastRenderedPageBreak/>
        <w:t>As discussed under Impact AQ-</w:t>
      </w:r>
      <w:r w:rsidR="00EC4F95" w:rsidRPr="00030F9B">
        <w:rPr>
          <w:spacing w:val="-1"/>
        </w:rPr>
        <w:t>1</w:t>
      </w:r>
      <w:r w:rsidRPr="00030F9B">
        <w:rPr>
          <w:spacing w:val="-1"/>
        </w:rPr>
        <w:t>, p</w:t>
      </w:r>
      <w:r w:rsidR="00FF62FE" w:rsidRPr="00030F9B">
        <w:rPr>
          <w:spacing w:val="-1"/>
        </w:rPr>
        <w:t xml:space="preserve">rescribed burn smoke exposure, </w:t>
      </w:r>
      <w:r w:rsidR="00E2312B" w:rsidRPr="00030F9B">
        <w:rPr>
          <w:spacing w:val="-1"/>
        </w:rPr>
        <w:t xml:space="preserve">like </w:t>
      </w:r>
      <w:r w:rsidR="00FF62FE" w:rsidRPr="00030F9B">
        <w:rPr>
          <w:spacing w:val="-1"/>
        </w:rPr>
        <w:t xml:space="preserve">other emissions, is dependent on proximity to the source. </w:t>
      </w:r>
      <w:r w:rsidR="00794B61" w:rsidRPr="00030F9B">
        <w:rPr>
          <w:spacing w:val="-1"/>
        </w:rPr>
        <w:t>The studies describe above focused on exposure of firefighters, which are by necessity the nearest receptor to smoke during prescribe</w:t>
      </w:r>
      <w:r w:rsidR="001A6545" w:rsidRPr="00030F9B">
        <w:rPr>
          <w:spacing w:val="-1"/>
        </w:rPr>
        <w:t>d</w:t>
      </w:r>
      <w:r w:rsidR="00794B61" w:rsidRPr="00030F9B">
        <w:rPr>
          <w:spacing w:val="-1"/>
        </w:rPr>
        <w:t xml:space="preserve"> burning. The </w:t>
      </w:r>
      <w:r w:rsidR="00952B12" w:rsidRPr="00030F9B">
        <w:rPr>
          <w:spacing w:val="-1"/>
        </w:rPr>
        <w:t>general</w:t>
      </w:r>
      <w:r w:rsidR="00794B61" w:rsidRPr="00030F9B">
        <w:rPr>
          <w:spacing w:val="-1"/>
        </w:rPr>
        <w:t xml:space="preserve"> population would be further from smoke than </w:t>
      </w:r>
      <w:r w:rsidR="008218DD" w:rsidRPr="00030F9B">
        <w:rPr>
          <w:spacing w:val="-1"/>
        </w:rPr>
        <w:t>firefighters but</w:t>
      </w:r>
      <w:r w:rsidR="00794B61" w:rsidRPr="00030F9B">
        <w:rPr>
          <w:spacing w:val="-1"/>
        </w:rPr>
        <w:t xml:space="preserve"> may also be exposed. </w:t>
      </w:r>
      <w:r w:rsidR="007B200D" w:rsidRPr="00030F9B">
        <w:rPr>
          <w:spacing w:val="-1"/>
        </w:rPr>
        <w:t>However,</w:t>
      </w:r>
      <w:r w:rsidR="007D47EC" w:rsidRPr="00030F9B">
        <w:rPr>
          <w:spacing w:val="-1"/>
        </w:rPr>
        <w:t xml:space="preserve"> because smoke generally disperses over distance</w:t>
      </w:r>
      <w:r w:rsidR="007B200D" w:rsidRPr="00030F9B">
        <w:rPr>
          <w:spacing w:val="-1"/>
        </w:rPr>
        <w:t xml:space="preserve"> a</w:t>
      </w:r>
      <w:r w:rsidR="00952B12" w:rsidRPr="00030F9B">
        <w:rPr>
          <w:spacing w:val="-1"/>
        </w:rPr>
        <w:t xml:space="preserve">ny nearby people would experience lower concentrations of TAC-containing smoke than fire personnel working within or adjacent to burn areas. </w:t>
      </w:r>
    </w:p>
    <w:p w14:paraId="320BCCB4" w14:textId="3E95CE99" w:rsidR="00444154" w:rsidRDefault="009F7A17" w:rsidP="00535241">
      <w:pPr>
        <w:pStyle w:val="BodyText"/>
      </w:pPr>
      <w:r>
        <w:t>CAL FIRE</w:t>
      </w:r>
      <w:r w:rsidR="00A84343">
        <w:t xml:space="preserve"> and</w:t>
      </w:r>
      <w:r w:rsidR="00A84343" w:rsidRPr="00A84343">
        <w:t xml:space="preserve"> </w:t>
      </w:r>
      <w:r w:rsidR="00A84343">
        <w:t xml:space="preserve">other </w:t>
      </w:r>
      <w:r w:rsidR="00A84343" w:rsidRPr="00A84343">
        <w:t>agenc</w:t>
      </w:r>
      <w:r w:rsidR="00A84343">
        <w:t>ies</w:t>
      </w:r>
      <w:r w:rsidR="00A84343" w:rsidRPr="00A84343">
        <w:t xml:space="preserve"> that plan and implement prescribed burns </w:t>
      </w:r>
      <w:r w:rsidR="00A84343">
        <w:t xml:space="preserve">have </w:t>
      </w:r>
      <w:r w:rsidR="00A84343" w:rsidRPr="00A84343">
        <w:t>agency-specific planning tools, planning and safety documents, public notification protocols, and best management practices to reduce</w:t>
      </w:r>
      <w:r w:rsidR="00794B61">
        <w:t xml:space="preserve"> </w:t>
      </w:r>
      <w:r>
        <w:t xml:space="preserve">safety </w:t>
      </w:r>
      <w:r w:rsidR="00444154">
        <w:t>risks and</w:t>
      </w:r>
      <w:r>
        <w:t xml:space="preserve"> protect workers and the general population</w:t>
      </w:r>
      <w:r w:rsidR="00794B61">
        <w:t xml:space="preserve"> from excessive smoke exposure</w:t>
      </w:r>
      <w:r>
        <w:t xml:space="preserve">. </w:t>
      </w:r>
      <w:r w:rsidR="006737F6">
        <w:t>CAL FIRE also requires approval of an Incident Action Plan (IAP) which</w:t>
      </w:r>
      <w:r>
        <w:t xml:space="preserve">, among other things, </w:t>
      </w:r>
      <w:r w:rsidR="00794B61">
        <w:t xml:space="preserve">requires </w:t>
      </w:r>
      <w:r w:rsidR="00A52873">
        <w:t xml:space="preserve">real-time monitoring </w:t>
      </w:r>
      <w:r w:rsidR="00685759">
        <w:t>of</w:t>
      </w:r>
      <w:r w:rsidR="00A52873">
        <w:t xml:space="preserve"> smoke conditions, reduce</w:t>
      </w:r>
      <w:r w:rsidR="00794B61">
        <w:t>s</w:t>
      </w:r>
      <w:r w:rsidR="00A52873">
        <w:t xml:space="preserve"> the potential for smoke </w:t>
      </w:r>
      <w:r w:rsidR="00685759">
        <w:t>exposure</w:t>
      </w:r>
      <w:r w:rsidR="00A52873">
        <w:t>, and reduce</w:t>
      </w:r>
      <w:r w:rsidR="00794B61">
        <w:t>s</w:t>
      </w:r>
      <w:r w:rsidR="00A52873">
        <w:t xml:space="preserve"> inhalation hazards. </w:t>
      </w:r>
      <w:r w:rsidR="008251D3">
        <w:t>SPR AQ-</w:t>
      </w:r>
      <w:r w:rsidR="00951AFB" w:rsidRPr="00F61092">
        <w:rPr>
          <w:u w:val="single"/>
        </w:rPr>
        <w:t>6</w:t>
      </w:r>
      <w:r w:rsidR="00AC1D1D" w:rsidRPr="00F61092">
        <w:rPr>
          <w:strike/>
        </w:rPr>
        <w:t>8</w:t>
      </w:r>
      <w:r w:rsidR="008251D3">
        <w:t xml:space="preserve"> require</w:t>
      </w:r>
      <w:r w:rsidR="00CE2E67">
        <w:t>s</w:t>
      </w:r>
      <w:r w:rsidR="008251D3">
        <w:t xml:space="preserve"> prescribed burns conducted by non-CAL FIRE crews to follow all CAL FIRE safety procedures, including</w:t>
      </w:r>
      <w:r w:rsidR="00C72A39">
        <w:t xml:space="preserve"> developing and implementing</w:t>
      </w:r>
      <w:r w:rsidR="008251D3">
        <w:t xml:space="preserve"> an approved IAP. </w:t>
      </w:r>
      <w:r w:rsidR="00C96FD7">
        <w:t>F</w:t>
      </w:r>
      <w:r w:rsidR="009B11E3">
        <w:t>or safety reasons</w:t>
      </w:r>
      <w:r w:rsidR="00C96FD7">
        <w:t>,</w:t>
      </w:r>
      <w:r w:rsidR="009B11E3">
        <w:t xml:space="preserve"> </w:t>
      </w:r>
      <w:r w:rsidR="00C96FD7">
        <w:t>the public would</w:t>
      </w:r>
      <w:r w:rsidR="009B11E3">
        <w:t xml:space="preserve"> be restricted from areas where active </w:t>
      </w:r>
      <w:r w:rsidR="00FF62FE">
        <w:t>burns</w:t>
      </w:r>
      <w:r w:rsidR="00C96FD7">
        <w:t xml:space="preserve"> </w:t>
      </w:r>
      <w:r w:rsidR="00685759">
        <w:t>would</w:t>
      </w:r>
      <w:r w:rsidR="00C96FD7">
        <w:t xml:space="preserve"> tak</w:t>
      </w:r>
      <w:r w:rsidR="00685759">
        <w:t>e</w:t>
      </w:r>
      <w:r w:rsidR="00C96FD7">
        <w:t xml:space="preserve"> place</w:t>
      </w:r>
      <w:r w:rsidR="00952B12">
        <w:t>, which would also avoid and minimize smoke exposure</w:t>
      </w:r>
      <w:r w:rsidR="00C96FD7">
        <w:t>.</w:t>
      </w:r>
      <w:r w:rsidR="00B05F35">
        <w:t xml:space="preserve"> SPR AD-4 require</w:t>
      </w:r>
      <w:r w:rsidR="00952B12">
        <w:t>s</w:t>
      </w:r>
      <w:r w:rsidR="00B05F35">
        <w:t xml:space="preserve"> adequate public notice and signage about prescribed burns including timing, contact information, and description of the activity. </w:t>
      </w:r>
      <w:r w:rsidR="00A84343">
        <w:t xml:space="preserve">This would alert the public to planned burns and give them adequate notice to take precautionary measures such as </w:t>
      </w:r>
      <w:r w:rsidR="00444154">
        <w:t>using respirators, closing windows, or temporarily vacating the area</w:t>
      </w:r>
      <w:r w:rsidR="00E36E47">
        <w:t>.</w:t>
      </w:r>
      <w:r w:rsidR="00444154">
        <w:t xml:space="preserve"> </w:t>
      </w:r>
      <w:r w:rsidR="00C96FD7">
        <w:t>Additionally,</w:t>
      </w:r>
      <w:r w:rsidR="00FF62FE">
        <w:t xml:space="preserve"> per SPR AQ-2 and</w:t>
      </w:r>
      <w:r w:rsidR="00C96FD7">
        <w:t xml:space="preserve"> as discussed in Section 3.4.1, </w:t>
      </w:r>
      <w:r w:rsidR="00670EB0">
        <w:t>“</w:t>
      </w:r>
      <w:r w:rsidR="00C96FD7">
        <w:t>Regulatory Setting,</w:t>
      </w:r>
      <w:r w:rsidR="00670EB0">
        <w:t>”</w:t>
      </w:r>
      <w:r w:rsidR="00C96FD7">
        <w:t xml:space="preserve"> burn managers mu</w:t>
      </w:r>
      <w:r w:rsidR="00C705B5">
        <w:t>st</w:t>
      </w:r>
      <w:r w:rsidR="00C96FD7">
        <w:t xml:space="preserve"> submit and obtain approval for </w:t>
      </w:r>
      <w:r w:rsidR="003859AA">
        <w:t xml:space="preserve">each </w:t>
      </w:r>
      <w:r w:rsidR="00C96FD7">
        <w:t xml:space="preserve">SMP, which would identify nearby </w:t>
      </w:r>
      <w:r w:rsidR="00E1244C">
        <w:t>locations where people spend time</w:t>
      </w:r>
      <w:r w:rsidR="00C96FD7">
        <w:t xml:space="preserve"> and specify the prescription to reduce smoke </w:t>
      </w:r>
      <w:r w:rsidR="00EE011A">
        <w:t>exposure</w:t>
      </w:r>
      <w:r w:rsidR="00C96FD7">
        <w:t xml:space="preserve">. </w:t>
      </w:r>
      <w:r w:rsidR="00444154">
        <w:t xml:space="preserve">CAL FIRE </w:t>
      </w:r>
      <w:r w:rsidR="00C96FD7">
        <w:t>typically assign</w:t>
      </w:r>
      <w:r w:rsidR="00444154">
        <w:t xml:space="preserve">s one crew member </w:t>
      </w:r>
      <w:r w:rsidR="00C96FD7">
        <w:t xml:space="preserve">to report weather </w:t>
      </w:r>
      <w:r>
        <w:t xml:space="preserve">conditions </w:t>
      </w:r>
      <w:r w:rsidR="00C96FD7">
        <w:t xml:space="preserve">to the Incident Commander every 30 minutes to make sure the burn is staying within its prescription. If conditions ever deviate from the burn plan, the burn is rescheduled, and crews transition from </w:t>
      </w:r>
      <w:r w:rsidR="00EE011A">
        <w:t xml:space="preserve">managing </w:t>
      </w:r>
      <w:r w:rsidR="00C96FD7">
        <w:t>active burning activities to patrolling and/or extinguishing</w:t>
      </w:r>
      <w:r w:rsidR="00EE011A">
        <w:t xml:space="preserve"> the burn</w:t>
      </w:r>
      <w:r w:rsidR="00C96FD7">
        <w:t xml:space="preserve">. In the event a prescribed burn </w:t>
      </w:r>
      <w:r>
        <w:t xml:space="preserve">extends </w:t>
      </w:r>
      <w:r w:rsidR="00C96FD7">
        <w:t>beyond the perimeter of its planned area, hand crews are onsite to control the escape.</w:t>
      </w:r>
      <w:r w:rsidR="00C705B5">
        <w:t xml:space="preserve"> </w:t>
      </w:r>
    </w:p>
    <w:p w14:paraId="59CBF1FD" w14:textId="1D786B66" w:rsidR="00FF62FE" w:rsidRDefault="00093096" w:rsidP="00C96FD7">
      <w:pPr>
        <w:pStyle w:val="BodyText"/>
      </w:pPr>
      <w:r>
        <w:t xml:space="preserve">The </w:t>
      </w:r>
      <w:r w:rsidR="00C72A39">
        <w:t>prescription in the burn plan</w:t>
      </w:r>
      <w:r w:rsidR="00444154">
        <w:t>,</w:t>
      </w:r>
      <w:r>
        <w:t xml:space="preserve"> best management practices, safety protocols, and SPRs discussed above are intended to ensure</w:t>
      </w:r>
      <w:r w:rsidR="00444154">
        <w:t xml:space="preserve"> that burns stay within their prescriptio</w:t>
      </w:r>
      <w:r>
        <w:t>n</w:t>
      </w:r>
      <w:r w:rsidR="00F44324">
        <w:t xml:space="preserve"> and minimize the exposure of the public to smoke</w:t>
      </w:r>
      <w:r>
        <w:t>.</w:t>
      </w:r>
      <w:r w:rsidR="00670EB0">
        <w:t xml:space="preserve"> </w:t>
      </w:r>
      <w:r w:rsidR="00FF62FE">
        <w:t xml:space="preserve">However, despite adherence to an SMP, IAP, and other precautionary measures, there is no guarantee that smoke </w:t>
      </w:r>
      <w:r w:rsidR="009F7A17">
        <w:t>from every burn will</w:t>
      </w:r>
      <w:r w:rsidR="00FF62FE">
        <w:t xml:space="preserve"> behave as predicted and that </w:t>
      </w:r>
      <w:r w:rsidR="00E1244C">
        <w:t xml:space="preserve">people </w:t>
      </w:r>
      <w:r w:rsidR="00FF62FE">
        <w:t xml:space="preserve">would not be exposed to TACs from smoke. </w:t>
      </w:r>
      <w:r>
        <w:t>Common reasons that prescribed burns have gone out of prescription are abnormal weather conditions, greater fuel loading than anticipated, and unexpected winds (</w:t>
      </w:r>
      <w:bookmarkStart w:id="88" w:name="_Hlk8289572"/>
      <w:proofErr w:type="spellStart"/>
      <w:r>
        <w:t>Dether</w:t>
      </w:r>
      <w:proofErr w:type="spellEnd"/>
      <w:r>
        <w:t xml:space="preserve"> 2005</w:t>
      </w:r>
      <w:bookmarkEnd w:id="88"/>
      <w:r>
        <w:t xml:space="preserve">). </w:t>
      </w:r>
      <w:r w:rsidR="00D0468F">
        <w:t xml:space="preserve">Furthermore, the CalVTP would increase the number of acres that are treated through prescribed burning annually over existing vegetation treatment regimes. </w:t>
      </w:r>
      <w:r w:rsidR="009F7A17">
        <w:t xml:space="preserve">Despite the best efforts to control burns, the increase in the number </w:t>
      </w:r>
      <w:r w:rsidR="001A6545">
        <w:t xml:space="preserve">of </w:t>
      </w:r>
      <w:r w:rsidR="009F7A17">
        <w:t>prescribed burns performed each year</w:t>
      </w:r>
      <w:r w:rsidR="00D0468F">
        <w:t xml:space="preserve"> could result in </w:t>
      </w:r>
      <w:r w:rsidR="009F7A17">
        <w:t xml:space="preserve">a greater number of </w:t>
      </w:r>
      <w:r w:rsidR="00D0468F">
        <w:t xml:space="preserve">instances </w:t>
      </w:r>
      <w:r w:rsidR="009F7A17">
        <w:t xml:space="preserve">when </w:t>
      </w:r>
      <w:r w:rsidR="00D0468F">
        <w:t>prescribed burns go out of prescription</w:t>
      </w:r>
      <w:r w:rsidR="009F7A17">
        <w:t xml:space="preserve"> than under existing conditions</w:t>
      </w:r>
      <w:r w:rsidR="00D0468F">
        <w:t xml:space="preserve">. </w:t>
      </w:r>
      <w:r w:rsidR="00FF62FE">
        <w:t xml:space="preserve">Therefore, prescribed burns implemented under the CalVTP </w:t>
      </w:r>
      <w:r w:rsidR="009F7A17">
        <w:t xml:space="preserve">would </w:t>
      </w:r>
      <w:r w:rsidR="00FF62FE">
        <w:t xml:space="preserve">have the potential to expose </w:t>
      </w:r>
      <w:r w:rsidR="00E1244C">
        <w:t xml:space="preserve">people </w:t>
      </w:r>
      <w:r w:rsidR="00FF62FE">
        <w:t xml:space="preserve">to </w:t>
      </w:r>
      <w:r w:rsidR="00660155">
        <w:t>a short-term dose of TAC</w:t>
      </w:r>
      <w:r w:rsidR="00FF62FE">
        <w:t xml:space="preserve"> concentrations </w:t>
      </w:r>
      <w:r w:rsidR="00660155">
        <w:t>that exceeds</w:t>
      </w:r>
      <w:r w:rsidR="00FF62FE">
        <w:t xml:space="preserve"> a Hazard Index greater than 1.0</w:t>
      </w:r>
      <w:r w:rsidR="00660155">
        <w:t xml:space="preserve"> for </w:t>
      </w:r>
      <w:r w:rsidR="00FF62FE">
        <w:t xml:space="preserve">acute health </w:t>
      </w:r>
      <w:r w:rsidR="00660155">
        <w:t>risk</w:t>
      </w:r>
      <w:r w:rsidR="00FF62FE">
        <w:t>.</w:t>
      </w:r>
      <w:r w:rsidR="00104D08">
        <w:t xml:space="preserve"> </w:t>
      </w:r>
    </w:p>
    <w:p w14:paraId="2C810738" w14:textId="56D4CB89" w:rsidR="00115809" w:rsidRDefault="00C52C39" w:rsidP="00115809">
      <w:pPr>
        <w:pStyle w:val="Heading6"/>
      </w:pPr>
      <w:r>
        <w:t xml:space="preserve">Exposure to </w:t>
      </w:r>
      <w:r w:rsidR="00115809">
        <w:t xml:space="preserve">Long-Term Chronic Health </w:t>
      </w:r>
      <w:r w:rsidR="00FF62FE">
        <w:t>Effects</w:t>
      </w:r>
    </w:p>
    <w:p w14:paraId="0EF7C786" w14:textId="63376DBA" w:rsidR="00967994" w:rsidRDefault="00AD2054" w:rsidP="00967994">
      <w:pPr>
        <w:pStyle w:val="BodyText"/>
      </w:pPr>
      <w:r>
        <w:t>Exposure to</w:t>
      </w:r>
      <w:r w:rsidR="00F437B3">
        <w:t xml:space="preserve"> the types of</w:t>
      </w:r>
      <w:r>
        <w:t xml:space="preserve"> TACs </w:t>
      </w:r>
      <w:r w:rsidR="001F0660">
        <w:t xml:space="preserve">contained </w:t>
      </w:r>
      <w:r>
        <w:t>in smoke</w:t>
      </w:r>
      <w:r w:rsidR="008B115B">
        <w:t xml:space="preserve"> generated by prescribed burns</w:t>
      </w:r>
      <w:r>
        <w:t xml:space="preserve"> could result in </w:t>
      </w:r>
      <w:r w:rsidR="00967994">
        <w:t xml:space="preserve">chronic long-term health </w:t>
      </w:r>
      <w:r w:rsidR="005A3670">
        <w:t>risk, including</w:t>
      </w:r>
      <w:r w:rsidR="00967994">
        <w:t xml:space="preserve"> elevated cancer-risk</w:t>
      </w:r>
      <w:r w:rsidR="00C25548">
        <w:t xml:space="preserve">. </w:t>
      </w:r>
      <w:r w:rsidR="00F437B3">
        <w:t>The long-term public health impacts of prescribed burning are not well studied</w:t>
      </w:r>
      <w:r w:rsidR="009408F8">
        <w:t xml:space="preserve">; however, a human health risk assessment conducted on wildland firefighters found that </w:t>
      </w:r>
      <w:r w:rsidR="00C25548" w:rsidRPr="00D40628">
        <w:t>the levels of PAHs wildland firefighters were exposed to in smoke were not found to be the major contributors to their overall</w:t>
      </w:r>
      <w:r w:rsidR="001E183F">
        <w:t xml:space="preserve"> level of</w:t>
      </w:r>
      <w:r w:rsidR="00C25548" w:rsidRPr="00D40628">
        <w:t xml:space="preserve"> cancer risk</w:t>
      </w:r>
      <w:r w:rsidR="009408F8">
        <w:t xml:space="preserve"> (NWCG 2018)</w:t>
      </w:r>
      <w:r w:rsidR="00C25548" w:rsidRPr="00D40628">
        <w:t>.</w:t>
      </w:r>
      <w:r w:rsidR="009408F8">
        <w:t xml:space="preserve"> Sho</w:t>
      </w:r>
      <w:r w:rsidR="00967994" w:rsidRPr="002208FB">
        <w:t>rt-term elevated exposures (i.e., over</w:t>
      </w:r>
      <w:r w:rsidR="00967994">
        <w:t xml:space="preserve"> </w:t>
      </w:r>
      <w:r w:rsidR="00967994" w:rsidRPr="002208FB">
        <w:t xml:space="preserve">days to weeks) to carcinogens found in wildfire smoke </w:t>
      </w:r>
      <w:r w:rsidR="001E183F">
        <w:t>were found to be</w:t>
      </w:r>
      <w:r w:rsidR="00967994" w:rsidRPr="002208FB">
        <w:t xml:space="preserve"> small relative to total lifetime exposures to carcinogens in other, more common combustion sources</w:t>
      </w:r>
      <w:r w:rsidR="009408F8">
        <w:t xml:space="preserve"> </w:t>
      </w:r>
      <w:r w:rsidR="00967994" w:rsidRPr="002208FB">
        <w:t>(CARB and CDPH 2016)</w:t>
      </w:r>
      <w:r w:rsidR="00967994">
        <w:t xml:space="preserve">. </w:t>
      </w:r>
    </w:p>
    <w:p w14:paraId="73131670" w14:textId="7D273BE4" w:rsidR="009408F8" w:rsidRDefault="009408F8" w:rsidP="009408F8">
      <w:pPr>
        <w:pStyle w:val="BodyText"/>
      </w:pPr>
      <w:r>
        <w:t>As discussed in Impact AQ-</w:t>
      </w:r>
      <w:r w:rsidR="00E96BD7">
        <w:t>2</w:t>
      </w:r>
      <w:r>
        <w:t>, t</w:t>
      </w:r>
      <w:r w:rsidRPr="00391D77">
        <w:t xml:space="preserve">he dose to which receptors are exposed is the primary factor used to determine health risk (i.e., potential exposure to TAC emission levels that exceed applicable standards). </w:t>
      </w:r>
      <w:r>
        <w:t xml:space="preserve">Dose is a function of concentration over time. Prescribed burns typically last </w:t>
      </w:r>
      <w:r w:rsidR="0029021B">
        <w:t xml:space="preserve">1 </w:t>
      </w:r>
      <w:r>
        <w:t xml:space="preserve">day </w:t>
      </w:r>
      <w:r w:rsidR="00561BA4">
        <w:t xml:space="preserve">and </w:t>
      </w:r>
      <w:r w:rsidR="0029021B">
        <w:t>may occur up to 1</w:t>
      </w:r>
      <w:r>
        <w:t xml:space="preserve"> week in any given location</w:t>
      </w:r>
      <w:r w:rsidR="005716E0">
        <w:t xml:space="preserve"> and </w:t>
      </w:r>
      <w:r w:rsidR="005716E0" w:rsidRPr="00444154">
        <w:t>most do not go out of prescription</w:t>
      </w:r>
      <w:r w:rsidR="005716E0">
        <w:t xml:space="preserve"> and result in the movement of smoke plumes to areas where residences or </w:t>
      </w:r>
      <w:r w:rsidR="005A4B7B">
        <w:t>o</w:t>
      </w:r>
      <w:r w:rsidR="005716E0">
        <w:t xml:space="preserve">ther </w:t>
      </w:r>
      <w:r w:rsidR="005A4B7B">
        <w:t xml:space="preserve">people </w:t>
      </w:r>
      <w:r w:rsidR="005716E0">
        <w:t>are present.</w:t>
      </w:r>
      <w:r w:rsidR="00FF62FE">
        <w:t xml:space="preserve"> </w:t>
      </w:r>
      <w:r w:rsidR="005716E0">
        <w:t>Thus, it is not anticipated that the dose resulting from the increase in the number of prescribed burns that would occur under the CalVTP would expose any</w:t>
      </w:r>
      <w:r w:rsidR="005A4B7B">
        <w:t xml:space="preserve"> people</w:t>
      </w:r>
      <w:r w:rsidR="005716E0">
        <w:t xml:space="preserve"> to a level of chronic, non</w:t>
      </w:r>
      <w:r w:rsidR="007B200D">
        <w:t>carcinogenic</w:t>
      </w:r>
      <w:r w:rsidR="005716E0">
        <w:t xml:space="preserve"> risk that exceeds a H</w:t>
      </w:r>
      <w:r w:rsidR="007B200D">
        <w:t xml:space="preserve">azard </w:t>
      </w:r>
      <w:r w:rsidR="005716E0">
        <w:t>I</w:t>
      </w:r>
      <w:r w:rsidR="007B200D">
        <w:t>ndex</w:t>
      </w:r>
      <w:r w:rsidR="005716E0">
        <w:t xml:space="preserve"> of 1.0 or to an incremental increase in cancer risk that exceeds 10 in on</w:t>
      </w:r>
      <w:r w:rsidR="006D4E3B">
        <w:t>e</w:t>
      </w:r>
      <w:r w:rsidR="005716E0">
        <w:t xml:space="preserve"> million.</w:t>
      </w:r>
      <w:r w:rsidR="00670EB0">
        <w:t xml:space="preserve"> </w:t>
      </w:r>
    </w:p>
    <w:bookmarkEnd w:id="86"/>
    <w:p w14:paraId="1B9A92E7" w14:textId="77777777" w:rsidR="00561BA4" w:rsidRDefault="00561BA4" w:rsidP="00561BA4">
      <w:pPr>
        <w:pStyle w:val="Heading6"/>
      </w:pPr>
      <w:r>
        <w:lastRenderedPageBreak/>
        <w:t>Summary</w:t>
      </w:r>
    </w:p>
    <w:p w14:paraId="2E67D0E8" w14:textId="77777777" w:rsidR="00AB6E7B" w:rsidRDefault="00561BA4" w:rsidP="000F0543">
      <w:pPr>
        <w:pStyle w:val="BodyText"/>
      </w:pPr>
      <w:r>
        <w:t xml:space="preserve">In summary, </w:t>
      </w:r>
      <w:r w:rsidR="000F0543">
        <w:t xml:space="preserve">the increase in prescribed burn activity under the CalVTP would not result in the long-term exposure of TAC-containing smoke to residences or other </w:t>
      </w:r>
      <w:r w:rsidR="005A4B7B">
        <w:t>places where people spend time</w:t>
      </w:r>
      <w:r w:rsidR="000F0543">
        <w:t xml:space="preserve"> and, therefore, is not anticipated to expose any </w:t>
      </w:r>
      <w:r w:rsidR="005A4B7B">
        <w:t>people</w:t>
      </w:r>
      <w:r w:rsidR="000F0543">
        <w:t xml:space="preserve"> to a level of chronic, non</w:t>
      </w:r>
      <w:r w:rsidR="007B200D">
        <w:t>carcinogenic</w:t>
      </w:r>
      <w:r w:rsidR="000F0543">
        <w:t xml:space="preserve"> risk that exceeds a H</w:t>
      </w:r>
      <w:r w:rsidR="007B200D">
        <w:t xml:space="preserve">azard </w:t>
      </w:r>
      <w:r w:rsidR="000F0543">
        <w:t>I</w:t>
      </w:r>
      <w:r w:rsidR="007B200D">
        <w:t>ndex</w:t>
      </w:r>
      <w:r w:rsidR="000F0543">
        <w:t xml:space="preserve"> of 1.0 or to an incremental increase in cancer risk that exceeds 10 in on million. </w:t>
      </w:r>
      <w:r w:rsidR="008B317E">
        <w:t>However, despite adherence to all the safety measures in the SMP and IAP, unpredictable changes in weather can occur during prescribed burns</w:t>
      </w:r>
      <w:r w:rsidR="00FA423D">
        <w:t xml:space="preserve">; if this occurred, it could result </w:t>
      </w:r>
      <w:r w:rsidR="008B317E">
        <w:t xml:space="preserve">in the short-term exposure of residences </w:t>
      </w:r>
      <w:r w:rsidR="005A4B7B">
        <w:t>and places where people spend time</w:t>
      </w:r>
      <w:r w:rsidR="008B317E">
        <w:t xml:space="preserve"> to concentrations of TACs and associated levels of acute health risk with a H</w:t>
      </w:r>
      <w:r w:rsidR="007B200D">
        <w:t xml:space="preserve">azard </w:t>
      </w:r>
      <w:r w:rsidR="008B317E">
        <w:t>I</w:t>
      </w:r>
      <w:r w:rsidR="007B200D">
        <w:t>ndex</w:t>
      </w:r>
      <w:r w:rsidR="008B317E">
        <w:t xml:space="preserve"> greater than 1.0</w:t>
      </w:r>
      <w:r w:rsidR="000F0543">
        <w:t xml:space="preserve">. This would be a </w:t>
      </w:r>
      <w:r w:rsidR="00FA423D" w:rsidRPr="00FA423D">
        <w:rPr>
          <w:b/>
        </w:rPr>
        <w:t>potentially</w:t>
      </w:r>
      <w:r w:rsidR="00FA423D">
        <w:t xml:space="preserve"> </w:t>
      </w:r>
      <w:r w:rsidR="000F0543" w:rsidRPr="000F0543">
        <w:rPr>
          <w:b/>
        </w:rPr>
        <w:t xml:space="preserve">significant </w:t>
      </w:r>
      <w:r w:rsidR="000F0543" w:rsidRPr="007B200D">
        <w:t>impact</w:t>
      </w:r>
      <w:r w:rsidR="000F0543">
        <w:t xml:space="preserve">. </w:t>
      </w:r>
    </w:p>
    <w:p w14:paraId="132BAA7D" w14:textId="41BF7770" w:rsidR="002208FB" w:rsidRDefault="00AB6E7B" w:rsidP="000F0543">
      <w:pPr>
        <w:pStyle w:val="BodyText"/>
      </w:pPr>
      <w:r>
        <w:t xml:space="preserve">As discussed in Section 3.4.2, “Environmental Setting,” wildfires are a large source of TACs, and represent a greater public health concern than prescribed burns due to their uncontrolled nature and longer duration. Wildfires may last for weeks or even months, potentially resulting in a longer exposure of receptors to TACs from smoke emissions over a broad geography. Most critically, wildfires often burn structures in addition to vegetation, releasing a wider array of chlorinated and other toxic compounds not present in prescribed burns that could cause adverse health effects when inhaled (NWCG 2018). Given the unpredictability of wildfire, the variability in TAC emission characteristics of wildfire fuels (i.e., grass-type, shrub-type, tree-type, structures), and the possible variability in TAC emissions during prescribed burns under the CalVTP, evaluating the net effect of the CalVTP on TAC exposure associated with wildfire and wildfire response is not possible, nor is it pertinent to determining the significance of </w:t>
      </w:r>
      <w:r w:rsidR="00B47E98">
        <w:t>short-term exposure to TACs</w:t>
      </w:r>
      <w:r>
        <w:t xml:space="preserve"> under CEQA. This information is presented to explain the broader context for consideration of fire-related emissions in California, within which treatment emissions would occur.</w:t>
      </w:r>
      <w:r w:rsidR="00986BB6">
        <w:t xml:space="preserve"> </w:t>
      </w:r>
    </w:p>
    <w:p w14:paraId="310ABA35" w14:textId="09C1436E" w:rsidR="00B52E53" w:rsidRDefault="00B52E53" w:rsidP="00B52E53">
      <w:pPr>
        <w:pStyle w:val="Heading5"/>
      </w:pPr>
      <w:r w:rsidRPr="009328EF">
        <w:t>Mitigation Measures</w:t>
      </w:r>
    </w:p>
    <w:p w14:paraId="7EB8233C" w14:textId="295A8919" w:rsidR="00A8451A" w:rsidRDefault="00AB6E7B" w:rsidP="00335804">
      <w:pPr>
        <w:pStyle w:val="Mitigationtext"/>
      </w:pPr>
      <w:r>
        <w:t>The Board and CAL FIRE have incorporated all feasible measures to prevent and minimize smoke emissions as part of</w:t>
      </w:r>
      <w:r w:rsidR="00A8451A">
        <w:t xml:space="preserve"> the precautionary measures require</w:t>
      </w:r>
      <w:r>
        <w:t>d</w:t>
      </w:r>
      <w:r w:rsidR="00A8451A">
        <w:t xml:space="preserve"> in Smoke Management Plans, pursuant to SPR AQ-2, and in Incident Action Plans and other burn safety procedures, pursuant to SPR AQ-6</w:t>
      </w:r>
      <w:r w:rsidR="00D51CF4">
        <w:t>,</w:t>
      </w:r>
      <w:r w:rsidR="00A8451A">
        <w:t xml:space="preserve"> for the unintended occurrence of when a prescribed burn may go out of prescription and adversely affect offsite receptors. </w:t>
      </w:r>
      <w:r w:rsidR="00E36E47">
        <w:t>Additionally, S</w:t>
      </w:r>
      <w:r w:rsidR="00D57EC4">
        <w:t>PR</w:t>
      </w:r>
      <w:r w:rsidR="00E36E47">
        <w:t xml:space="preserve"> AD-4 will alert the public to planned prescribed burns and give them adequate notice to take precautionary measures such as using respirators, closing windows, or temporarily vacating the area to reduce the potential for exposure; considering actions taken by the public to reduce exposure to smoke from prescribed burns are voluntary, there are no additional feasible methods to </w:t>
      </w:r>
      <w:r w:rsidR="00B52E53">
        <w:t>compel</w:t>
      </w:r>
      <w:r w:rsidR="00E36E47">
        <w:t xml:space="preserve"> the public to reduce its exposure. </w:t>
      </w:r>
      <w:r>
        <w:t xml:space="preserve">Although all feasible precautions and notifications have been included in standard project requirements, the potential remains that short-term exposure to TACs from unpredictable weather changes could occur. </w:t>
      </w:r>
      <w:r w:rsidR="00A8451A">
        <w:t xml:space="preserve">Therefore, this impact would be </w:t>
      </w:r>
      <w:r w:rsidR="00A8451A" w:rsidRPr="00A41628">
        <w:rPr>
          <w:b/>
        </w:rPr>
        <w:t>potentially</w:t>
      </w:r>
      <w:r w:rsidR="00A8451A">
        <w:t xml:space="preserve"> </w:t>
      </w:r>
      <w:r w:rsidR="00A8451A" w:rsidRPr="005635F1">
        <w:rPr>
          <w:b/>
        </w:rPr>
        <w:t>significant and unavoidable</w:t>
      </w:r>
      <w:r w:rsidR="00A8451A" w:rsidRPr="005635F1">
        <w:t>.</w:t>
      </w:r>
    </w:p>
    <w:bookmarkEnd w:id="84"/>
    <w:bookmarkEnd w:id="85"/>
    <w:p w14:paraId="61983F8C" w14:textId="1C2E366D" w:rsidR="00216CA5" w:rsidRPr="00CC6793" w:rsidRDefault="00216CA5" w:rsidP="00216CA5">
      <w:pPr>
        <w:pStyle w:val="ImpactNo"/>
      </w:pPr>
      <w:r w:rsidRPr="00CC6793">
        <w:t xml:space="preserve">Impact </w:t>
      </w:r>
      <w:r>
        <w:t>AQ-</w:t>
      </w:r>
      <w:r w:rsidR="0091450C">
        <w:t>5</w:t>
      </w:r>
      <w:r w:rsidRPr="00CC6793">
        <w:t xml:space="preserve">: </w:t>
      </w:r>
      <w:r w:rsidRPr="00000FCE">
        <w:t>Expos</w:t>
      </w:r>
      <w:r>
        <w:t>e</w:t>
      </w:r>
      <w:r w:rsidRPr="00000FCE">
        <w:t xml:space="preserve"> </w:t>
      </w:r>
      <w:r w:rsidR="005A4B7B">
        <w:t>People</w:t>
      </w:r>
      <w:r w:rsidRPr="00000FCE">
        <w:t xml:space="preserve"> to </w:t>
      </w:r>
      <w:r>
        <w:t xml:space="preserve">Objectionable </w:t>
      </w:r>
      <w:r w:rsidRPr="00000FCE">
        <w:t>Odors</w:t>
      </w:r>
      <w:r w:rsidRPr="00AF505B">
        <w:t xml:space="preserve"> </w:t>
      </w:r>
      <w:r>
        <w:t>from Diesel Exhaust</w:t>
      </w:r>
    </w:p>
    <w:p w14:paraId="28CAC988" w14:textId="1A6A066D" w:rsidR="00216CA5" w:rsidRPr="00CC6793" w:rsidRDefault="00216CA5" w:rsidP="00216CA5">
      <w:pPr>
        <w:pStyle w:val="Impactdescription"/>
      </w:pPr>
      <w:r w:rsidRPr="00850959">
        <w:t xml:space="preserve">While </w:t>
      </w:r>
      <w:r>
        <w:t xml:space="preserve">the use of diesel-powered equipment </w:t>
      </w:r>
      <w:r w:rsidR="00B128DE">
        <w:t xml:space="preserve">during </w:t>
      </w:r>
      <w:r>
        <w:t xml:space="preserve">treatment activities performed under the CalVTP </w:t>
      </w:r>
      <w:r w:rsidRPr="00850959">
        <w:t xml:space="preserve">could result in temporary emissions of odorous diesel exhaust, it is not anticipated that this </w:t>
      </w:r>
      <w:r>
        <w:t xml:space="preserve">the levels of diesel exhaust </w:t>
      </w:r>
      <w:r w:rsidRPr="00850959">
        <w:t xml:space="preserve">would be </w:t>
      </w:r>
      <w:r w:rsidR="00CE4CD4" w:rsidRPr="00850959">
        <w:t>excessive,</w:t>
      </w:r>
      <w:r w:rsidRPr="00850959">
        <w:t xml:space="preserve"> nor would it affect a substantial number of</w:t>
      </w:r>
      <w:r w:rsidR="005A4B7B">
        <w:t xml:space="preserve"> people</w:t>
      </w:r>
      <w:r w:rsidRPr="00850959">
        <w:t xml:space="preserve">. This would be a </w:t>
      </w:r>
      <w:r w:rsidRPr="00850959">
        <w:rPr>
          <w:b/>
        </w:rPr>
        <w:t xml:space="preserve">less-than-significant </w:t>
      </w:r>
      <w:r w:rsidRPr="00B67925">
        <w:t>impact.</w:t>
      </w:r>
    </w:p>
    <w:p w14:paraId="06A240EC" w14:textId="41D15514" w:rsidR="00216CA5" w:rsidRPr="00391D77" w:rsidRDefault="00216CA5" w:rsidP="00216CA5">
      <w:pPr>
        <w:pStyle w:val="BodyText"/>
      </w:pPr>
      <w:r w:rsidRPr="00391D77">
        <w:t xml:space="preserve">The occurrence and severity of odor impacts depends on numerous factors, including: the nature, frequency, and intensity of the source; wind speed and direction; and the proximity and sensitivity of exposed </w:t>
      </w:r>
      <w:r w:rsidR="005A4B7B">
        <w:t>individuals</w:t>
      </w:r>
      <w:r w:rsidRPr="00391D77">
        <w:t xml:space="preserve">. The CalVTP would not introduce any new operational sources of odors to the </w:t>
      </w:r>
      <w:r>
        <w:t>treatable landscape</w:t>
      </w:r>
      <w:r w:rsidR="00372AB2">
        <w:t xml:space="preserve"> </w:t>
      </w:r>
      <w:r w:rsidRPr="00391D77">
        <w:t xml:space="preserve">or any new </w:t>
      </w:r>
      <w:r w:rsidR="007D4DA1">
        <w:t>locations where people spend time</w:t>
      </w:r>
      <w:r w:rsidRPr="00391D77">
        <w:t xml:space="preserve"> that could be exposed to existing odor sources. Diesel</w:t>
      </w:r>
      <w:r>
        <w:t>-powered</w:t>
      </w:r>
      <w:r w:rsidRPr="00391D77">
        <w:t xml:space="preserve"> equipment used for treatments implemented under the CalVTP could result in short-term odorous diesel exhaust emissions. </w:t>
      </w:r>
    </w:p>
    <w:p w14:paraId="19A16166" w14:textId="33EAAA5F" w:rsidR="00216CA5" w:rsidRDefault="00216CA5" w:rsidP="00216CA5">
      <w:pPr>
        <w:pStyle w:val="BodyText"/>
      </w:pPr>
      <w:r w:rsidRPr="00391D77">
        <w:t>As discussed in Impact AQ-</w:t>
      </w:r>
      <w:r w:rsidR="00E96BD7">
        <w:t>2</w:t>
      </w:r>
      <w:r w:rsidRPr="00391D77">
        <w:t>, diesel exhaust emissions would be temporary, would not be generated at any one location for an extended period, and would dissipate rapidly from the source with an increase in distance. Additionally, treatment</w:t>
      </w:r>
      <w:r>
        <w:t xml:space="preserve"> activities </w:t>
      </w:r>
      <w:r w:rsidRPr="00391D77">
        <w:t xml:space="preserve">are generally in less populated, rural, or undeveloped areas, where </w:t>
      </w:r>
      <w:r w:rsidR="007D4DA1">
        <w:t xml:space="preserve">human </w:t>
      </w:r>
      <w:r w:rsidRPr="00391D77">
        <w:t xml:space="preserve">receptors are sparse. Furthermore, SPR HAZ-1 requires that all diesel and gasoline-powered equipment </w:t>
      </w:r>
      <w:r>
        <w:t>be</w:t>
      </w:r>
      <w:r w:rsidRPr="00391D77">
        <w:t xml:space="preserve"> properly maintained to comply with all state and federal emissions requirements, which would </w:t>
      </w:r>
      <w:r>
        <w:t xml:space="preserve">prevent the occurrence of higher emissions of </w:t>
      </w:r>
      <w:r w:rsidRPr="00391D77">
        <w:t xml:space="preserve">diesel exhaust due to poorly functioning equipment. </w:t>
      </w:r>
      <w:r>
        <w:t xml:space="preserve">Also, </w:t>
      </w:r>
      <w:r w:rsidRPr="00754BD5">
        <w:t>SPR NOI-4 require</w:t>
      </w:r>
      <w:r>
        <w:t>s</w:t>
      </w:r>
      <w:r w:rsidRPr="00754BD5">
        <w:t xml:space="preserve"> </w:t>
      </w:r>
      <w:r>
        <w:t>vegetation treatment</w:t>
      </w:r>
      <w:r w:rsidRPr="00754BD5">
        <w:t xml:space="preserve"> activities and staging areas </w:t>
      </w:r>
      <w:r>
        <w:t xml:space="preserve">be </w:t>
      </w:r>
      <w:r w:rsidRPr="00754BD5">
        <w:t xml:space="preserve">located as far as possible from </w:t>
      </w:r>
      <w:r w:rsidR="0082403F">
        <w:t>noise-</w:t>
      </w:r>
      <w:r w:rsidRPr="00754BD5">
        <w:t>sensitive receptors</w:t>
      </w:r>
      <w:r>
        <w:t xml:space="preserve"> </w:t>
      </w:r>
      <w:r w:rsidR="0082403F" w:rsidRPr="006E012E">
        <w:t>(e.g., residential land uses, schools, hospitals, places of worship)</w:t>
      </w:r>
      <w:r w:rsidR="0082403F">
        <w:t xml:space="preserve"> </w:t>
      </w:r>
      <w:r>
        <w:t xml:space="preserve">and SPR NOI-5 restricts equipment idling time. </w:t>
      </w:r>
      <w:r w:rsidR="00DA3FE2">
        <w:t xml:space="preserve">These SPRs would reduce exposure of </w:t>
      </w:r>
      <w:r w:rsidR="00DA3FE2">
        <w:lastRenderedPageBreak/>
        <w:t xml:space="preserve">receptors to diesel exhaust odors because they require diesel-powered equipment to be located away from receptors and also reduce the amount of time that engines would be idling and producing odorous emissions. </w:t>
      </w:r>
      <w:r w:rsidRPr="00DC3233">
        <w:t xml:space="preserve">Accordingly, </w:t>
      </w:r>
      <w:r>
        <w:t xml:space="preserve">treatment activities conducted under the CalVTP </w:t>
      </w:r>
      <w:r w:rsidRPr="00DC3233">
        <w:t xml:space="preserve">would not create objectionable odors affecting a substantial number or people. </w:t>
      </w:r>
      <w:r w:rsidRPr="00391D77">
        <w:t xml:space="preserve">This impact would be </w:t>
      </w:r>
      <w:r w:rsidRPr="00C35B4E">
        <w:rPr>
          <w:b/>
        </w:rPr>
        <w:t>less than significant</w:t>
      </w:r>
      <w:r w:rsidRPr="00391D77">
        <w:t>.</w:t>
      </w:r>
    </w:p>
    <w:p w14:paraId="3854C615" w14:textId="77777777" w:rsidR="00106C19" w:rsidRDefault="00106C19" w:rsidP="00106C19">
      <w:pPr>
        <w:pStyle w:val="Heading5"/>
      </w:pPr>
      <w:r w:rsidRPr="009328EF">
        <w:t>Mitigation Measures</w:t>
      </w:r>
    </w:p>
    <w:p w14:paraId="39AFB666" w14:textId="273FF69C" w:rsidR="00106C19" w:rsidRDefault="00106C19" w:rsidP="00335804">
      <w:pPr>
        <w:pStyle w:val="Mitigationtext"/>
      </w:pPr>
      <w:r>
        <w:t>No mitigation is required for this impact.</w:t>
      </w:r>
    </w:p>
    <w:bookmarkEnd w:id="71"/>
    <w:p w14:paraId="40E605C2" w14:textId="13C8157B" w:rsidR="00BE3798" w:rsidRPr="00CC6793" w:rsidRDefault="00BE3798" w:rsidP="00BE3798">
      <w:pPr>
        <w:pStyle w:val="ImpactNo"/>
      </w:pPr>
      <w:r w:rsidRPr="00CC6793">
        <w:t xml:space="preserve">Impact </w:t>
      </w:r>
      <w:r>
        <w:t>AQ-</w:t>
      </w:r>
      <w:r w:rsidR="0091450C">
        <w:t>6</w:t>
      </w:r>
      <w:r w:rsidRPr="00CC6793">
        <w:t xml:space="preserve">: </w:t>
      </w:r>
      <w:r w:rsidRPr="00000FCE">
        <w:t>Expos</w:t>
      </w:r>
      <w:r>
        <w:t>e</w:t>
      </w:r>
      <w:r w:rsidRPr="00000FCE">
        <w:t xml:space="preserve"> </w:t>
      </w:r>
      <w:r w:rsidR="0082403F">
        <w:t xml:space="preserve">People </w:t>
      </w:r>
      <w:r w:rsidRPr="00000FCE">
        <w:t xml:space="preserve">to </w:t>
      </w:r>
      <w:r>
        <w:t xml:space="preserve">Objectionable </w:t>
      </w:r>
      <w:r w:rsidRPr="00000FCE">
        <w:t>Odors</w:t>
      </w:r>
      <w:r>
        <w:t xml:space="preserve"> from Smoke During Prescribed Burning</w:t>
      </w:r>
    </w:p>
    <w:p w14:paraId="5377B7C5" w14:textId="32AFED13" w:rsidR="00BE3798" w:rsidRPr="00CC6793" w:rsidRDefault="003A326C" w:rsidP="00A35365">
      <w:pPr>
        <w:pStyle w:val="Impactdescription"/>
      </w:pPr>
      <w:r>
        <w:t>Prescribed burn</w:t>
      </w:r>
      <w:r w:rsidR="00712AA1">
        <w:t>s</w:t>
      </w:r>
      <w:r>
        <w:t xml:space="preserve"> conducted under the CalVTP could result in the short-term exposure of </w:t>
      </w:r>
      <w:r w:rsidR="001A6545">
        <w:t xml:space="preserve">a substantial number of </w:t>
      </w:r>
      <w:r w:rsidR="0082403F">
        <w:t>people</w:t>
      </w:r>
      <w:r>
        <w:t xml:space="preserve"> to odorous smoke. </w:t>
      </w:r>
      <w:r w:rsidR="00A35365">
        <w:t xml:space="preserve">This would be a </w:t>
      </w:r>
      <w:r w:rsidR="00FA423D" w:rsidRPr="00FA423D">
        <w:rPr>
          <w:b/>
        </w:rPr>
        <w:t>potentially</w:t>
      </w:r>
      <w:r w:rsidR="00FA423D">
        <w:t xml:space="preserve"> </w:t>
      </w:r>
      <w:r w:rsidR="00A35365" w:rsidRPr="00A35365">
        <w:rPr>
          <w:b/>
        </w:rPr>
        <w:t xml:space="preserve">significant </w:t>
      </w:r>
      <w:r w:rsidR="00A35365" w:rsidRPr="00FA423D">
        <w:t>impact</w:t>
      </w:r>
      <w:r w:rsidR="00A35365">
        <w:t xml:space="preserve">. </w:t>
      </w:r>
    </w:p>
    <w:p w14:paraId="32D1E7AB" w14:textId="7043FC30" w:rsidR="00BE3798" w:rsidRDefault="00BE3798" w:rsidP="00BE3798">
      <w:pPr>
        <w:pStyle w:val="BodyText"/>
      </w:pPr>
      <w:r>
        <w:t>Prescribed burns and pile burning conducted under the CalVTP could result in temporary odorous smoke emissions, which could be perceived as objectionable depending on the frequency and intensity of the resultant smoke, wind speed and direction, and the proximity and sensitivity of exposed</w:t>
      </w:r>
      <w:r w:rsidR="0082403F">
        <w:t xml:space="preserve"> individuals</w:t>
      </w:r>
      <w:r>
        <w:t xml:space="preserve">. </w:t>
      </w:r>
    </w:p>
    <w:p w14:paraId="4C00A33E" w14:textId="7DECCFE5" w:rsidR="00EE6AFF" w:rsidRDefault="00BE3798" w:rsidP="00EE6AFF">
      <w:pPr>
        <w:pStyle w:val="BodyText"/>
      </w:pPr>
      <w:r>
        <w:t xml:space="preserve">Per SPR AQ-2, and as discussed in Section 3.4.1, </w:t>
      </w:r>
      <w:r w:rsidR="00670EB0">
        <w:t>“</w:t>
      </w:r>
      <w:r>
        <w:t>Regulatory Setting,</w:t>
      </w:r>
      <w:r w:rsidR="00670EB0">
        <w:t>”</w:t>
      </w:r>
      <w:r>
        <w:t xml:space="preserve"> prescribed burning implemented under the CalVTP would be conducted in accordance with local air district regulations regarding open burning and in accordance with requirements of the California Smoke Management Program. SMPs are intended to reduce smoke impacts from prescribed burning and must include basic information such as the location, types, and amounts of material to be burned; expected duration of the fire; identification of responsible personnel; and identification of all smoke-sensitive areas. Larger burns require additional information such as meteorological conditions necessary for burning, projections of where the smoke is expected to travel (both day and night), contingency actions to be taken if smoke impacts occur or meteorological conditions deviate from those specified in the SMP, and monitoring. Additionally, treatments implemented under the CalVTP would generally be in less populated, rural, or undeveloped areas, where </w:t>
      </w:r>
      <w:r w:rsidR="0082403F">
        <w:t xml:space="preserve">people </w:t>
      </w:r>
      <w:r>
        <w:t xml:space="preserve">are sparse. Furthermore, as discussed in Section 2.5.2, </w:t>
      </w:r>
      <w:r w:rsidR="00670EB0">
        <w:t>“</w:t>
      </w:r>
      <w:r>
        <w:t>Description of Treatment Activities,</w:t>
      </w:r>
      <w:r w:rsidR="00670EB0">
        <w:t>”</w:t>
      </w:r>
      <w:r>
        <w:t xml:space="preserve"> p</w:t>
      </w:r>
      <w:r w:rsidRPr="00F56DE1">
        <w:t>re</w:t>
      </w:r>
      <w:r>
        <w:t>scribed burns</w:t>
      </w:r>
      <w:r w:rsidDel="00535C26">
        <w:t xml:space="preserve"> </w:t>
      </w:r>
      <w:r>
        <w:t>could be conducted at 10- to 15-</w:t>
      </w:r>
      <w:r w:rsidRPr="00F56DE1">
        <w:t>year intervals to maintain</w:t>
      </w:r>
      <w:r>
        <w:t xml:space="preserve"> low fuel hazard dependent on vegetation type, climate type, and soil type. Therefore, exposure of the same </w:t>
      </w:r>
      <w:r w:rsidR="0082403F">
        <w:t>people</w:t>
      </w:r>
      <w:r>
        <w:t xml:space="preserve"> in any given location to odorous smoke emissions would occur infrequently over a period of a few days to weeks, with the possibility</w:t>
      </w:r>
      <w:r w:rsidRPr="00AC012E">
        <w:t xml:space="preserve"> </w:t>
      </w:r>
      <w:r>
        <w:t>of recurring every 10- to 15-years.</w:t>
      </w:r>
      <w:r w:rsidR="00EE6AFF" w:rsidRPr="00EE6AFF">
        <w:t xml:space="preserve"> </w:t>
      </w:r>
      <w:r w:rsidR="00EE6AFF">
        <w:t>As discussed in Impact AQ-</w:t>
      </w:r>
      <w:r w:rsidR="0091450C">
        <w:t>4</w:t>
      </w:r>
      <w:r w:rsidR="00EE6AFF">
        <w:t>, when in prescription, prescribed burns would not expose receptors to smoke and associated odors.</w:t>
      </w:r>
    </w:p>
    <w:p w14:paraId="3EE016E9" w14:textId="77777777" w:rsidR="00B47E98" w:rsidRDefault="00BE3798" w:rsidP="00B47E98">
      <w:pPr>
        <w:pStyle w:val="BodyText"/>
      </w:pPr>
      <w:r>
        <w:t xml:space="preserve">However, despite adherence to an SMP, low likelihood of substantial numbers of </w:t>
      </w:r>
      <w:r w:rsidR="00DD016A">
        <w:t>peo</w:t>
      </w:r>
      <w:r w:rsidR="002452FB">
        <w:t>p</w:t>
      </w:r>
      <w:r w:rsidR="00DD016A">
        <w:t>le</w:t>
      </w:r>
      <w:r>
        <w:t xml:space="preserve"> near prescribed burns, and infrequent occurrence of prescribed burns, there is no guarantee that smoke </w:t>
      </w:r>
      <w:r w:rsidR="002037F4">
        <w:t xml:space="preserve">from every prescribed burn </w:t>
      </w:r>
      <w:r>
        <w:t xml:space="preserve">would behave as predicted and that </w:t>
      </w:r>
      <w:r w:rsidR="006056C8">
        <w:t xml:space="preserve">a substantial number of </w:t>
      </w:r>
      <w:r w:rsidR="00DD016A">
        <w:t xml:space="preserve">people </w:t>
      </w:r>
      <w:r>
        <w:t xml:space="preserve">would not be exposed to smoke odors. Therefore, prescribed burns implemented under the CalVTP have the potential to expose </w:t>
      </w:r>
      <w:r w:rsidR="006056C8">
        <w:t xml:space="preserve">a substantial number of </w:t>
      </w:r>
      <w:r w:rsidR="00DD016A">
        <w:t xml:space="preserve">people </w:t>
      </w:r>
      <w:r>
        <w:t xml:space="preserve">to odorous smoke emissions. Thus, this impact would be </w:t>
      </w:r>
      <w:r w:rsidR="00FA423D" w:rsidRPr="00FA423D">
        <w:rPr>
          <w:b/>
        </w:rPr>
        <w:t>potentially</w:t>
      </w:r>
      <w:r w:rsidR="00FA423D">
        <w:t xml:space="preserve"> </w:t>
      </w:r>
      <w:r w:rsidRPr="00AC012E">
        <w:rPr>
          <w:b/>
        </w:rPr>
        <w:t>significant</w:t>
      </w:r>
      <w:r>
        <w:t>.</w:t>
      </w:r>
      <w:r w:rsidR="00B47E98" w:rsidRPr="00B47E98">
        <w:t xml:space="preserve"> </w:t>
      </w:r>
    </w:p>
    <w:p w14:paraId="189D48E7" w14:textId="2DE3F7D8" w:rsidR="00B47E98" w:rsidRDefault="00B47E98" w:rsidP="00B47E98">
      <w:pPr>
        <w:pStyle w:val="BodyText"/>
      </w:pPr>
      <w:r>
        <w:t>As discussed in Section 3.4.2, “Environmental Setting,” wildfires are a large source of smoke, and represent a greater odor source due to their uncontrolled nature and longer duration. Wildfires may last for weeks or even months, potentially resulting in a longer exposure of receptors to objectionable odors from smoke. Most critically, wildfires often burn structures in addition to vegetation, releasing a wider array of odorous emissions not present in prescribed burns that only combust vegetation. Given the unpredictability of wildfire, evaluating the net effect of the CalVTP on odors associated with wildfire is not possible, nor is it pertinent to determining the significance of short-term exposure to smoke-related odors under CEQA.</w:t>
      </w:r>
    </w:p>
    <w:p w14:paraId="2013EF46" w14:textId="6D01E476" w:rsidR="00B52E53" w:rsidRDefault="00B52E53" w:rsidP="00B52E53">
      <w:pPr>
        <w:pStyle w:val="Heading5"/>
      </w:pPr>
      <w:r w:rsidRPr="009328EF">
        <w:t>Mitigation Measures</w:t>
      </w:r>
    </w:p>
    <w:p w14:paraId="5E235FC5" w14:textId="77777777" w:rsidR="00C122D0" w:rsidRDefault="00B47E98" w:rsidP="00030F9B">
      <w:pPr>
        <w:pStyle w:val="Mitigationtext"/>
      </w:pPr>
      <w:r>
        <w:t>The Board and CAL FIRE have incorporated all feasible measures to prevent and minimize smoke emissions as part of</w:t>
      </w:r>
      <w:r w:rsidDel="00B47E98">
        <w:t xml:space="preserve"> </w:t>
      </w:r>
      <w:r w:rsidR="00D51CF4">
        <w:t xml:space="preserve">the precautionary measures the Board/CAL FIRE will require in Smoke Management Plans, pursuant to SPR AQ-2, and in Incident Action Plans and other burn safety procedures, pursuant to SPR AQ-6, for the unintended occurrence of when a prescribed burn may go out of prescription and adversely affect offsite receptors. </w:t>
      </w:r>
      <w:r w:rsidR="00B52E53">
        <w:t>Additionally, S</w:t>
      </w:r>
      <w:r w:rsidR="00D57EC4">
        <w:t>PR</w:t>
      </w:r>
      <w:r w:rsidR="00B52E53">
        <w:t xml:space="preserve"> AD-4 will alert the public to planned prescribed burns and give them adequate notice to take precautionary measures such as closing </w:t>
      </w:r>
      <w:r w:rsidR="00B52E53">
        <w:lastRenderedPageBreak/>
        <w:t xml:space="preserve">windows or temporarily vacating the area to reduce the potential for exposure to odors; considering actions taken by the public to reduce exposure to odors from prescribed burns are voluntary, there are no additional feasible methods to compel the public to reduce its exposure. </w:t>
      </w:r>
      <w:r>
        <w:t xml:space="preserve">Although all feasible precautions and notifications have been included in standard project requirements, the potential remains that short-term exposure to odorous smoke emissions from unpredictable weather changes could occur. </w:t>
      </w:r>
      <w:r w:rsidR="00D51CF4">
        <w:t xml:space="preserve">Therefore, this impact would be </w:t>
      </w:r>
      <w:r w:rsidR="00D51CF4" w:rsidRPr="00A41628">
        <w:rPr>
          <w:b/>
        </w:rPr>
        <w:t>potentially</w:t>
      </w:r>
      <w:r w:rsidR="00D51CF4">
        <w:t xml:space="preserve"> </w:t>
      </w:r>
      <w:r w:rsidR="00D51CF4" w:rsidRPr="005635F1">
        <w:rPr>
          <w:b/>
        </w:rPr>
        <w:t>significant and unavoidable</w:t>
      </w:r>
      <w:r w:rsidR="00D51CF4" w:rsidRPr="005635F1">
        <w:t>.</w:t>
      </w:r>
      <w:r w:rsidR="00D51CF4">
        <w:t xml:space="preserve"> </w:t>
      </w:r>
    </w:p>
    <w:p w14:paraId="536899CA" w14:textId="217916B7" w:rsidR="00335804" w:rsidRDefault="00335804">
      <w:pPr>
        <w:spacing w:after="200" w:line="276" w:lineRule="auto"/>
      </w:pPr>
      <w:r>
        <w:br w:type="page"/>
      </w:r>
    </w:p>
    <w:p w14:paraId="3D69339C" w14:textId="3014FC62" w:rsidR="00811941" w:rsidRDefault="00811941" w:rsidP="00BE3798">
      <w:pPr>
        <w:pStyle w:val="BodyText"/>
      </w:pPr>
    </w:p>
    <w:p w14:paraId="30230316" w14:textId="44F58F98" w:rsidR="0074657D" w:rsidRDefault="0074657D" w:rsidP="00BE3798">
      <w:pPr>
        <w:pStyle w:val="BodyText"/>
      </w:pPr>
      <w:r>
        <w:t>This page intentionally left blank.</w:t>
      </w:r>
    </w:p>
    <w:sectPr w:rsidR="0074657D" w:rsidSect="00AF160E">
      <w:headerReference w:type="even" r:id="rId27"/>
      <w:headerReference w:type="default" r:id="rId28"/>
      <w:footerReference w:type="even" r:id="rId29"/>
      <w:footerReference w:type="default" r:id="rId30"/>
      <w:pgSz w:w="12240" w:h="15840" w:code="1"/>
      <w:pgMar w:top="1080" w:right="1080" w:bottom="1080" w:left="1080" w:header="576" w:footer="576" w:gutter="0"/>
      <w:pgNumType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003EE" w14:textId="77777777" w:rsidR="00C37E4E" w:rsidRDefault="00C37E4E" w:rsidP="00DF378E">
      <w:r>
        <w:separator/>
      </w:r>
    </w:p>
  </w:endnote>
  <w:endnote w:type="continuationSeparator" w:id="0">
    <w:p w14:paraId="12038355" w14:textId="77777777" w:rsidR="00C37E4E" w:rsidRDefault="00C37E4E" w:rsidP="00DF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light">
    <w:altName w:val="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80EC0" w14:textId="0DE31754" w:rsidR="00C37E4E" w:rsidRDefault="00C37E4E" w:rsidP="00625CA4">
    <w:pPr>
      <w:pStyle w:val="Footer"/>
    </w:pPr>
    <w:r>
      <w:tab/>
    </w:r>
    <w:r w:rsidRPr="00AE4D3F">
      <w:t>Board of Forestry and Fire Protection</w:t>
    </w:r>
    <w:r>
      <w:br/>
    </w:r>
    <w:sdt>
      <w:sdtPr>
        <w:id w:val="2080238882"/>
        <w:docPartObj>
          <w:docPartGallery w:val="Page Numbers (Top of Page)"/>
          <w:docPartUnique/>
        </w:docPartObj>
      </w:sdtPr>
      <w:sdtEndPr/>
      <w:sdtContent>
        <w:sdt>
          <w:sdtPr>
            <w:id w:val="-1875848181"/>
            <w:docPartObj>
              <w:docPartGallery w:val="Page Numbers (Top of Page)"/>
              <w:docPartUnique/>
            </w:docPartObj>
          </w:sdtPr>
          <w:sdtEndPr/>
          <w:sdtContent>
            <w:r>
              <w:fldChar w:fldCharType="begin"/>
            </w:r>
            <w:r>
              <w:instrText xml:space="preserve"> PAGE </w:instrText>
            </w:r>
            <w:r>
              <w:fldChar w:fldCharType="separate"/>
            </w:r>
            <w:r w:rsidR="009C27F4">
              <w:rPr>
                <w:noProof/>
              </w:rPr>
              <w:t>3.4-2</w:t>
            </w:r>
            <w:r>
              <w:rPr>
                <w:noProof/>
              </w:rPr>
              <w:fldChar w:fldCharType="end"/>
            </w:r>
          </w:sdtContent>
        </w:sdt>
      </w:sdtContent>
    </w:sdt>
    <w:r>
      <w:tab/>
    </w:r>
    <w:r w:rsidR="00037D22">
      <w:rPr>
        <w:noProof/>
      </w:rPr>
      <w:t xml:space="preserve">Final </w:t>
    </w:r>
    <w:r>
      <w:rPr>
        <w:rFonts w:cs="Segoe UI Semilight"/>
      </w:rPr>
      <w:t>Program EIR for the California Vegetation Treatment Program</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F9528" w14:textId="1D9B0382" w:rsidR="00C37E4E" w:rsidRDefault="00C37E4E" w:rsidP="008E2ADD">
    <w:pPr>
      <w:pStyle w:val="Footer"/>
      <w:pBdr>
        <w:top w:val="single" w:sz="4" w:space="0" w:color="auto"/>
      </w:pBdr>
      <w:tabs>
        <w:tab w:val="clear" w:pos="10080"/>
        <w:tab w:val="right" w:pos="13680"/>
      </w:tabs>
    </w:pPr>
    <w:r w:rsidRPr="00AE4D3F">
      <w:t>Board of Forestry and Fire Protection</w:t>
    </w:r>
    <w:r>
      <w:br/>
    </w:r>
    <w:r w:rsidR="00037D22">
      <w:rPr>
        <w:noProof/>
      </w:rPr>
      <w:t xml:space="preserve">Final </w:t>
    </w:r>
    <w:r>
      <w:rPr>
        <w:rFonts w:cs="Segoe UI Semilight"/>
      </w:rPr>
      <w:t>Program EIR for the California Vegetation Treatment Program</w:t>
    </w:r>
    <w:r w:rsidRPr="005008F6">
      <w:tab/>
    </w:r>
    <w:sdt>
      <w:sdtPr>
        <w:id w:val="-711719210"/>
        <w:docPartObj>
          <w:docPartGallery w:val="Page Numbers (Top of Page)"/>
          <w:docPartUnique/>
        </w:docPartObj>
      </w:sdtPr>
      <w:sdtEndPr/>
      <w:sdtContent>
        <w:r>
          <w:fldChar w:fldCharType="begin"/>
        </w:r>
        <w:r>
          <w:instrText xml:space="preserve"> PAGE </w:instrText>
        </w:r>
        <w:r>
          <w:fldChar w:fldCharType="separate"/>
        </w:r>
        <w:r w:rsidR="009C27F4">
          <w:rPr>
            <w:noProof/>
          </w:rPr>
          <w:t>3.4-21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7AC63" w14:textId="53D097B6" w:rsidR="00C37E4E" w:rsidRDefault="00C37E4E" w:rsidP="00625CA4">
    <w:pPr>
      <w:pStyle w:val="Footer"/>
      <w:pBdr>
        <w:top w:val="single" w:sz="4" w:space="0" w:color="auto"/>
      </w:pBdr>
    </w:pPr>
    <w:r w:rsidRPr="00AE4D3F">
      <w:t>Board of Forestry and Fire Protection</w:t>
    </w:r>
    <w:r>
      <w:br/>
    </w:r>
    <w:r w:rsidR="00037D22">
      <w:rPr>
        <w:noProof/>
      </w:rPr>
      <w:t xml:space="preserve">Final </w:t>
    </w:r>
    <w:r>
      <w:rPr>
        <w:rFonts w:cs="Segoe UI Semilight"/>
      </w:rPr>
      <w:t>Program EIR for the California Vegetation Treatment Program</w:t>
    </w:r>
    <w:r w:rsidRPr="005008F6">
      <w:tab/>
    </w:r>
    <w:sdt>
      <w:sdtPr>
        <w:id w:val="667140436"/>
        <w:docPartObj>
          <w:docPartGallery w:val="Page Numbers (Top of Page)"/>
          <w:docPartUnique/>
        </w:docPartObj>
      </w:sdtPr>
      <w:sdtEndPr/>
      <w:sdtContent>
        <w:r>
          <w:fldChar w:fldCharType="begin"/>
        </w:r>
        <w:r>
          <w:instrText xml:space="preserve"> PAGE </w:instrText>
        </w:r>
        <w:r>
          <w:fldChar w:fldCharType="separate"/>
        </w:r>
        <w:r w:rsidR="009C27F4">
          <w:rPr>
            <w:noProof/>
          </w:rPr>
          <w:t>3.4-1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0AB09" w14:textId="1DD66AFA" w:rsidR="00C37E4E" w:rsidRDefault="00C37E4E" w:rsidP="009E6160">
    <w:pPr>
      <w:pStyle w:val="Footer"/>
      <w:tabs>
        <w:tab w:val="clear" w:pos="10080"/>
        <w:tab w:val="right" w:pos="22320"/>
      </w:tabs>
    </w:pPr>
    <w:r>
      <w:tab/>
    </w:r>
    <w:r w:rsidRPr="00AE4D3F">
      <w:t>Board of Forestry and Fire Protection</w:t>
    </w:r>
    <w:r>
      <w:br/>
    </w:r>
    <w:sdt>
      <w:sdtPr>
        <w:id w:val="-1937352765"/>
        <w:docPartObj>
          <w:docPartGallery w:val="Page Numbers (Top of Page)"/>
          <w:docPartUnique/>
        </w:docPartObj>
      </w:sdtPr>
      <w:sdtEndPr/>
      <w:sdtContent>
        <w:sdt>
          <w:sdtPr>
            <w:id w:val="452995495"/>
            <w:docPartObj>
              <w:docPartGallery w:val="Page Numbers (Top of Page)"/>
              <w:docPartUnique/>
            </w:docPartObj>
          </w:sdtPr>
          <w:sdtEndPr/>
          <w:sdtContent>
            <w:r>
              <w:fldChar w:fldCharType="begin"/>
            </w:r>
            <w:r>
              <w:instrText xml:space="preserve"> PAGE </w:instrText>
            </w:r>
            <w:r>
              <w:fldChar w:fldCharType="separate"/>
            </w:r>
            <w:r w:rsidR="009C27F4">
              <w:rPr>
                <w:noProof/>
              </w:rPr>
              <w:t>3.4-10</w:t>
            </w:r>
            <w:r>
              <w:rPr>
                <w:noProof/>
              </w:rPr>
              <w:fldChar w:fldCharType="end"/>
            </w:r>
          </w:sdtContent>
        </w:sdt>
      </w:sdtContent>
    </w:sdt>
    <w:r>
      <w:tab/>
    </w:r>
    <w:r w:rsidR="00037D22">
      <w:rPr>
        <w:noProof/>
      </w:rPr>
      <w:t xml:space="preserve">Final </w:t>
    </w:r>
    <w:r>
      <w:rPr>
        <w:rFonts w:cs="Segoe UI Semilight"/>
      </w:rPr>
      <w:t>Program EIR for the California Vegetation Treatment Program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EA848" w14:textId="4EB3CD8E" w:rsidR="00C37E4E" w:rsidRDefault="00C37E4E" w:rsidP="009E6160">
    <w:pPr>
      <w:pStyle w:val="Footer"/>
      <w:pBdr>
        <w:top w:val="single" w:sz="4" w:space="0" w:color="auto"/>
      </w:pBdr>
      <w:tabs>
        <w:tab w:val="clear" w:pos="10080"/>
        <w:tab w:val="right" w:pos="22320"/>
      </w:tabs>
    </w:pPr>
    <w:r w:rsidRPr="00AE4D3F">
      <w:t>Board of Forestry and Fire Protection</w:t>
    </w:r>
    <w:r>
      <w:br/>
    </w:r>
    <w:r w:rsidR="00037D22">
      <w:rPr>
        <w:noProof/>
      </w:rPr>
      <w:t xml:space="preserve">Final </w:t>
    </w:r>
    <w:r>
      <w:rPr>
        <w:rFonts w:cs="Segoe UI Semilight"/>
      </w:rPr>
      <w:t>Program EIR for the California Vegetation Treatment Program</w:t>
    </w:r>
    <w:r w:rsidRPr="005008F6">
      <w:tab/>
    </w:r>
    <w:sdt>
      <w:sdtPr>
        <w:id w:val="855392985"/>
        <w:docPartObj>
          <w:docPartGallery w:val="Page Numbers (Top of Page)"/>
          <w:docPartUnique/>
        </w:docPartObj>
      </w:sdtPr>
      <w:sdtEndPr/>
      <w:sdtContent>
        <w:r>
          <w:fldChar w:fldCharType="begin"/>
        </w:r>
        <w:r>
          <w:instrText xml:space="preserve"> PAGE </w:instrText>
        </w:r>
        <w:r>
          <w:fldChar w:fldCharType="separate"/>
        </w:r>
        <w:r w:rsidR="009C27F4">
          <w:rPr>
            <w:noProof/>
          </w:rPr>
          <w:t>3.4-9</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F092" w14:textId="792A9A8A" w:rsidR="00C37E4E" w:rsidRDefault="00C37E4E" w:rsidP="008E2ADD">
    <w:pPr>
      <w:pStyle w:val="Footer"/>
      <w:tabs>
        <w:tab w:val="clear" w:pos="10080"/>
        <w:tab w:val="right" w:pos="13680"/>
      </w:tabs>
    </w:pPr>
    <w:r>
      <w:tab/>
    </w:r>
    <w:r w:rsidRPr="00AE4D3F">
      <w:t>Board of Forestry and Fire Protection</w:t>
    </w:r>
    <w:r>
      <w:br/>
    </w:r>
    <w:sdt>
      <w:sdtPr>
        <w:id w:val="968939262"/>
        <w:docPartObj>
          <w:docPartGallery w:val="Page Numbers (Top of Page)"/>
          <w:docPartUnique/>
        </w:docPartObj>
      </w:sdtPr>
      <w:sdtEndPr/>
      <w:sdtContent>
        <w:sdt>
          <w:sdtPr>
            <w:id w:val="1181708794"/>
            <w:docPartObj>
              <w:docPartGallery w:val="Page Numbers (Top of Page)"/>
              <w:docPartUnique/>
            </w:docPartObj>
          </w:sdtPr>
          <w:sdtEndPr/>
          <w:sdtContent>
            <w:r>
              <w:fldChar w:fldCharType="begin"/>
            </w:r>
            <w:r>
              <w:instrText xml:space="preserve"> PAGE </w:instrText>
            </w:r>
            <w:r>
              <w:fldChar w:fldCharType="separate"/>
            </w:r>
            <w:r w:rsidR="009C27F4">
              <w:rPr>
                <w:noProof/>
              </w:rPr>
              <w:t>3.4-14</w:t>
            </w:r>
            <w:r>
              <w:rPr>
                <w:noProof/>
              </w:rPr>
              <w:fldChar w:fldCharType="end"/>
            </w:r>
          </w:sdtContent>
        </w:sdt>
      </w:sdtContent>
    </w:sdt>
    <w:r>
      <w:tab/>
    </w:r>
    <w:r w:rsidR="00037D22">
      <w:rPr>
        <w:noProof/>
      </w:rPr>
      <w:t xml:space="preserve">Final </w:t>
    </w:r>
    <w:r>
      <w:rPr>
        <w:rFonts w:cs="Segoe UI Semilight"/>
      </w:rPr>
      <w:t>Program EIR for the California Vegetation Treatment Program</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B0CDA" w14:textId="10CE4709" w:rsidR="00C37E4E" w:rsidRDefault="00C37E4E" w:rsidP="008E2ADD">
    <w:pPr>
      <w:pStyle w:val="Footer"/>
      <w:pBdr>
        <w:top w:val="single" w:sz="4" w:space="0" w:color="auto"/>
      </w:pBdr>
      <w:tabs>
        <w:tab w:val="clear" w:pos="10080"/>
        <w:tab w:val="right" w:pos="13680"/>
      </w:tabs>
    </w:pPr>
    <w:r w:rsidRPr="00AE4D3F">
      <w:t>Board of Forestry and Fire Protection</w:t>
    </w:r>
    <w:r>
      <w:br/>
    </w:r>
    <w:r w:rsidR="00037D22">
      <w:rPr>
        <w:noProof/>
      </w:rPr>
      <w:t xml:space="preserve">Final </w:t>
    </w:r>
    <w:r>
      <w:rPr>
        <w:rFonts w:cs="Segoe UI Semilight"/>
      </w:rPr>
      <w:t>Program EIR for the California Vegetation Treatment Program</w:t>
    </w:r>
    <w:r w:rsidRPr="005008F6">
      <w:tab/>
    </w:r>
    <w:sdt>
      <w:sdtPr>
        <w:id w:val="-1040049590"/>
        <w:docPartObj>
          <w:docPartGallery w:val="Page Numbers (Top of Page)"/>
          <w:docPartUnique/>
        </w:docPartObj>
      </w:sdtPr>
      <w:sdtEndPr/>
      <w:sdtContent>
        <w:r>
          <w:fldChar w:fldCharType="begin"/>
        </w:r>
        <w:r>
          <w:instrText xml:space="preserve"> PAGE </w:instrText>
        </w:r>
        <w:r>
          <w:fldChar w:fldCharType="separate"/>
        </w:r>
        <w:r w:rsidR="009C27F4">
          <w:rPr>
            <w:noProof/>
          </w:rPr>
          <w:t>3.4-13</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7F25E" w14:textId="06B82DAD" w:rsidR="00C37E4E" w:rsidRDefault="00C37E4E" w:rsidP="008E2ADD">
    <w:pPr>
      <w:pStyle w:val="Footer"/>
      <w:tabs>
        <w:tab w:val="clear" w:pos="10080"/>
        <w:tab w:val="right" w:pos="13680"/>
      </w:tabs>
    </w:pPr>
    <w:r>
      <w:tab/>
    </w:r>
    <w:r w:rsidRPr="00AE4D3F">
      <w:t>Board of Forestry and Fire Protection</w:t>
    </w:r>
    <w:r>
      <w:br/>
    </w:r>
    <w:sdt>
      <w:sdtPr>
        <w:id w:val="-1424492264"/>
        <w:docPartObj>
          <w:docPartGallery w:val="Page Numbers (Top of Page)"/>
          <w:docPartUnique/>
        </w:docPartObj>
      </w:sdtPr>
      <w:sdtEndPr/>
      <w:sdtContent>
        <w:sdt>
          <w:sdtPr>
            <w:id w:val="2120175707"/>
            <w:docPartObj>
              <w:docPartGallery w:val="Page Numbers (Top of Page)"/>
              <w:docPartUnique/>
            </w:docPartObj>
          </w:sdtPr>
          <w:sdtEndPr/>
          <w:sdtContent>
            <w:r>
              <w:fldChar w:fldCharType="begin"/>
            </w:r>
            <w:r>
              <w:instrText xml:space="preserve"> PAGE </w:instrText>
            </w:r>
            <w:r>
              <w:fldChar w:fldCharType="separate"/>
            </w:r>
            <w:r w:rsidR="009C27F4">
              <w:rPr>
                <w:noProof/>
              </w:rPr>
              <w:t>3.4-16</w:t>
            </w:r>
            <w:r>
              <w:rPr>
                <w:noProof/>
              </w:rPr>
              <w:fldChar w:fldCharType="end"/>
            </w:r>
          </w:sdtContent>
        </w:sdt>
      </w:sdtContent>
    </w:sdt>
    <w:r>
      <w:tab/>
    </w:r>
    <w:r w:rsidR="00037D22">
      <w:rPr>
        <w:noProof/>
      </w:rPr>
      <w:t xml:space="preserve">Final </w:t>
    </w:r>
    <w:r>
      <w:rPr>
        <w:rFonts w:cs="Segoe UI Semilight"/>
      </w:rPr>
      <w:t>Program EIR for the California Vegetation Treatment Program</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0DF3" w14:textId="45ECF925" w:rsidR="00C37E4E" w:rsidRDefault="00C37E4E" w:rsidP="008E2ADD">
    <w:pPr>
      <w:pStyle w:val="Footer"/>
      <w:pBdr>
        <w:top w:val="single" w:sz="4" w:space="0" w:color="auto"/>
      </w:pBdr>
      <w:tabs>
        <w:tab w:val="clear" w:pos="10080"/>
        <w:tab w:val="right" w:pos="13680"/>
      </w:tabs>
    </w:pPr>
    <w:r w:rsidRPr="00AE4D3F">
      <w:t>Board of Forestry and Fire Protection</w:t>
    </w:r>
    <w:r>
      <w:br/>
    </w:r>
    <w:r w:rsidR="00037D22">
      <w:rPr>
        <w:noProof/>
      </w:rPr>
      <w:t xml:space="preserve">Final </w:t>
    </w:r>
    <w:r>
      <w:rPr>
        <w:rFonts w:cs="Segoe UI Semilight"/>
      </w:rPr>
      <w:t>Program EIR for the California Vegetation Treatment Program</w:t>
    </w:r>
    <w:r w:rsidRPr="005008F6">
      <w:tab/>
    </w:r>
    <w:sdt>
      <w:sdtPr>
        <w:id w:val="1413971167"/>
        <w:docPartObj>
          <w:docPartGallery w:val="Page Numbers (Top of Page)"/>
          <w:docPartUnique/>
        </w:docPartObj>
      </w:sdtPr>
      <w:sdtEndPr/>
      <w:sdtContent>
        <w:r>
          <w:fldChar w:fldCharType="begin"/>
        </w:r>
        <w:r>
          <w:instrText xml:space="preserve"> PAGE </w:instrText>
        </w:r>
        <w:r>
          <w:fldChar w:fldCharType="separate"/>
        </w:r>
        <w:r w:rsidR="009C27F4">
          <w:rPr>
            <w:noProof/>
          </w:rPr>
          <w:t>3.4-17</w:t>
        </w:r>
        <w:r>
          <w:rPr>
            <w:noProof/>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2C83C" w14:textId="290409C3" w:rsidR="00C37E4E" w:rsidRDefault="00C37E4E" w:rsidP="008E2ADD">
    <w:pPr>
      <w:pStyle w:val="Footer"/>
      <w:tabs>
        <w:tab w:val="clear" w:pos="10080"/>
        <w:tab w:val="right" w:pos="13680"/>
      </w:tabs>
    </w:pPr>
    <w:r>
      <w:tab/>
    </w:r>
    <w:r w:rsidRPr="00AE4D3F">
      <w:t>Board of Forestry and Fire Protection</w:t>
    </w:r>
    <w:r>
      <w:br/>
    </w:r>
    <w:sdt>
      <w:sdtPr>
        <w:id w:val="1795863251"/>
        <w:docPartObj>
          <w:docPartGallery w:val="Page Numbers (Top of Page)"/>
          <w:docPartUnique/>
        </w:docPartObj>
      </w:sdtPr>
      <w:sdtEndPr/>
      <w:sdtContent>
        <w:sdt>
          <w:sdtPr>
            <w:id w:val="-1675034692"/>
            <w:docPartObj>
              <w:docPartGallery w:val="Page Numbers (Top of Page)"/>
              <w:docPartUnique/>
            </w:docPartObj>
          </w:sdtPr>
          <w:sdtEndPr/>
          <w:sdtContent>
            <w:r>
              <w:fldChar w:fldCharType="begin"/>
            </w:r>
            <w:r>
              <w:instrText xml:space="preserve"> PAGE </w:instrText>
            </w:r>
            <w:r>
              <w:fldChar w:fldCharType="separate"/>
            </w:r>
            <w:r w:rsidR="009C27F4">
              <w:rPr>
                <w:noProof/>
              </w:rPr>
              <w:t>3.4-20</w:t>
            </w:r>
            <w:r>
              <w:rPr>
                <w:noProof/>
              </w:rPr>
              <w:fldChar w:fldCharType="end"/>
            </w:r>
          </w:sdtContent>
        </w:sdt>
      </w:sdtContent>
    </w:sdt>
    <w:r>
      <w:tab/>
    </w:r>
    <w:r w:rsidR="00037D22">
      <w:rPr>
        <w:noProof/>
      </w:rPr>
      <w:t xml:space="preserve">Final </w:t>
    </w:r>
    <w:r>
      <w:rPr>
        <w:rFonts w:cs="Segoe UI Semilight"/>
      </w:rPr>
      <w:t>Program EIR for the California Vegetation Treatment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D84AE" w14:textId="77777777" w:rsidR="00C37E4E" w:rsidRDefault="00C37E4E" w:rsidP="00DF378E">
      <w:r>
        <w:separator/>
      </w:r>
    </w:p>
  </w:footnote>
  <w:footnote w:type="continuationSeparator" w:id="0">
    <w:p w14:paraId="4EE34326" w14:textId="77777777" w:rsidR="00C37E4E" w:rsidRDefault="00C37E4E" w:rsidP="00DF3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37EDE" w14:textId="3C47DECC" w:rsidR="00C37E4E" w:rsidRDefault="00C37E4E" w:rsidP="009F2A19">
    <w:pPr>
      <w:pStyle w:val="Header"/>
    </w:pPr>
    <w:r>
      <w:t>Air Quality</w:t>
    </w:r>
    <w:r>
      <w:tab/>
    </w:r>
    <w:r>
      <w:tab/>
      <w:t>Ascent Environmental</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14014" w14:textId="770B1539" w:rsidR="00C37E4E" w:rsidRDefault="00C37E4E" w:rsidP="008E2ADD">
    <w:pPr>
      <w:pStyle w:val="Header"/>
      <w:tabs>
        <w:tab w:val="clear" w:pos="10080"/>
        <w:tab w:val="right" w:pos="13680"/>
      </w:tabs>
    </w:pPr>
    <w:r>
      <w:t>Air Quality</w:t>
    </w:r>
    <w:r>
      <w:tab/>
    </w:r>
    <w:r>
      <w:tab/>
      <w:t>Ascent Environmental</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94A13" w14:textId="7F3A2AB5" w:rsidR="00C37E4E" w:rsidRDefault="00C37E4E" w:rsidP="008E2ADD">
    <w:pPr>
      <w:pStyle w:val="Header"/>
      <w:tabs>
        <w:tab w:val="clear" w:pos="10080"/>
        <w:tab w:val="right" w:pos="13680"/>
      </w:tabs>
    </w:pPr>
    <w:r>
      <w:t>Ascent Environmental</w:t>
    </w:r>
    <w:r>
      <w:tab/>
    </w:r>
    <w:r>
      <w:tab/>
      <w:t>Air Quality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6F659" w14:textId="3ABB3E0A" w:rsidR="00C37E4E" w:rsidRDefault="00C37E4E" w:rsidP="009F2A19">
    <w:pPr>
      <w:pStyle w:val="Header"/>
    </w:pPr>
    <w:r>
      <w:t>Ascent Environmental</w:t>
    </w:r>
    <w:r>
      <w:tab/>
    </w:r>
    <w:r>
      <w:tab/>
      <w:t>Air Quality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74C7B" w14:textId="09E76673" w:rsidR="00C37E4E" w:rsidRDefault="00C37E4E" w:rsidP="009F2A19">
    <w:pPr>
      <w:pStyle w:val="Header"/>
      <w:pBdr>
        <w:bottom w:val="none" w:sz="0" w:space="0" w:color="auto"/>
      </w:pBdr>
      <w:jc w:val="cent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DF9FD" w14:textId="720C9EDC" w:rsidR="00C37E4E" w:rsidRDefault="00C37E4E" w:rsidP="00555BB6">
    <w:pPr>
      <w:pStyle w:val="Header"/>
      <w:tabs>
        <w:tab w:val="clear" w:pos="5040"/>
        <w:tab w:val="clear" w:pos="10080"/>
        <w:tab w:val="center" w:pos="12150"/>
        <w:tab w:val="right" w:pos="22320"/>
      </w:tabs>
    </w:pPr>
    <w:r>
      <w:t>Air Quality</w:t>
    </w:r>
    <w:r>
      <w:tab/>
    </w:r>
    <w:r>
      <w:tab/>
      <w:t>Ascent Environmental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3D3C" w14:textId="2C3B17CB" w:rsidR="00C37E4E" w:rsidRDefault="00C37E4E" w:rsidP="00555BB6">
    <w:pPr>
      <w:pStyle w:val="Header"/>
      <w:tabs>
        <w:tab w:val="clear" w:pos="5040"/>
        <w:tab w:val="clear" w:pos="10080"/>
        <w:tab w:val="center" w:pos="12240"/>
        <w:tab w:val="right" w:pos="22320"/>
      </w:tabs>
    </w:pPr>
    <w:r>
      <w:t>Ascent Environmental</w:t>
    </w:r>
    <w:r>
      <w:tab/>
    </w:r>
    <w:r>
      <w:tab/>
      <w:t>Air Quality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1E94D" w14:textId="09E3DD3E" w:rsidR="00C37E4E" w:rsidRDefault="00C37E4E" w:rsidP="008E2ADD">
    <w:pPr>
      <w:pStyle w:val="Header"/>
      <w:tabs>
        <w:tab w:val="clear" w:pos="10080"/>
        <w:tab w:val="right" w:pos="13680"/>
      </w:tabs>
    </w:pPr>
    <w:r>
      <w:t>Air Quality</w:t>
    </w:r>
    <w:r>
      <w:tab/>
    </w:r>
    <w:r>
      <w:tab/>
      <w:t>Ascent Environmental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65353" w14:textId="69374F23" w:rsidR="00C37E4E" w:rsidRDefault="00C37E4E" w:rsidP="008E2ADD">
    <w:pPr>
      <w:pStyle w:val="Header"/>
      <w:tabs>
        <w:tab w:val="clear" w:pos="10080"/>
        <w:tab w:val="right" w:pos="13680"/>
      </w:tabs>
    </w:pPr>
    <w:r>
      <w:t>Ascent Environmental</w:t>
    </w:r>
    <w:r>
      <w:tab/>
    </w:r>
    <w:r>
      <w:tab/>
      <w:t>Air Quality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ED903" w14:textId="14D2D391" w:rsidR="00C37E4E" w:rsidRDefault="00C37E4E" w:rsidP="008E2ADD">
    <w:pPr>
      <w:pStyle w:val="Header"/>
      <w:tabs>
        <w:tab w:val="clear" w:pos="5040"/>
        <w:tab w:val="clear" w:pos="10080"/>
        <w:tab w:val="center" w:pos="6480"/>
        <w:tab w:val="right" w:pos="13680"/>
      </w:tabs>
    </w:pPr>
    <w:r>
      <w:t>Air Quality</w:t>
    </w:r>
    <w:r>
      <w:tab/>
    </w:r>
    <w:r>
      <w:tab/>
      <w:t>Ascent Environmental</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0A750" w14:textId="05AB39BE" w:rsidR="00C37E4E" w:rsidRDefault="00C37E4E" w:rsidP="008E2ADD">
    <w:pPr>
      <w:pStyle w:val="Header"/>
      <w:tabs>
        <w:tab w:val="clear" w:pos="5040"/>
        <w:tab w:val="clear" w:pos="10080"/>
        <w:tab w:val="center" w:pos="6480"/>
        <w:tab w:val="right" w:pos="13680"/>
      </w:tabs>
    </w:pPr>
    <w:r>
      <w:t>Ascent Environmental</w:t>
    </w:r>
    <w:r>
      <w:tab/>
    </w:r>
    <w:r>
      <w:tab/>
      <w:t>Air Quality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0218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4C2C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DCB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E644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EF1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6421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85C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6E3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DC32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27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8751E"/>
    <w:multiLevelType w:val="hybridMultilevel"/>
    <w:tmpl w:val="89286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8B4211"/>
    <w:multiLevelType w:val="hybridMultilevel"/>
    <w:tmpl w:val="A2D8D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3B031E"/>
    <w:multiLevelType w:val="multilevel"/>
    <w:tmpl w:val="469ADD6E"/>
    <w:lvl w:ilvl="0">
      <w:start w:val="3"/>
      <w:numFmt w:val="decimal"/>
      <w:pStyle w:val="Heading1"/>
      <w:lvlText w:val="%1"/>
      <w:lvlJc w:val="center"/>
      <w:pPr>
        <w:ind w:left="0" w:firstLine="0"/>
      </w:pPr>
      <w:rPr>
        <w:rFonts w:hint="default"/>
        <w:specVanish w:val="0"/>
      </w:rPr>
    </w:lvl>
    <w:lvl w:ilvl="1">
      <w:start w:val="4"/>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096BFD"/>
    <w:multiLevelType w:val="hybridMultilevel"/>
    <w:tmpl w:val="D08C1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257A9D"/>
    <w:multiLevelType w:val="hybridMultilevel"/>
    <w:tmpl w:val="D84EB71E"/>
    <w:lvl w:ilvl="0" w:tplc="A9EAF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64B32"/>
    <w:multiLevelType w:val="hybridMultilevel"/>
    <w:tmpl w:val="8724D986"/>
    <w:lvl w:ilvl="0" w:tplc="D83AA7D8">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4B3AD0"/>
    <w:multiLevelType w:val="hybridMultilevel"/>
    <w:tmpl w:val="0262E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E5C9B"/>
    <w:multiLevelType w:val="hybridMultilevel"/>
    <w:tmpl w:val="8A56AC36"/>
    <w:lvl w:ilvl="0" w:tplc="001ECCC2">
      <w:start w:val="1"/>
      <w:numFmt w:val="bullet"/>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522CA5"/>
    <w:multiLevelType w:val="hybridMultilevel"/>
    <w:tmpl w:val="E3F6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43BB9"/>
    <w:multiLevelType w:val="hybridMultilevel"/>
    <w:tmpl w:val="E5383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066B4"/>
    <w:multiLevelType w:val="hybridMultilevel"/>
    <w:tmpl w:val="BF78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7"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21"/>
  </w:num>
  <w:num w:numId="3">
    <w:abstractNumId w:val="15"/>
  </w:num>
  <w:num w:numId="4">
    <w:abstractNumId w:val="27"/>
  </w:num>
  <w:num w:numId="5">
    <w:abstractNumId w:val="12"/>
  </w:num>
  <w:num w:numId="6">
    <w:abstractNumId w:val="19"/>
  </w:num>
  <w:num w:numId="7">
    <w:abstractNumId w:val="14"/>
  </w:num>
  <w:num w:numId="8">
    <w:abstractNumId w:val="26"/>
  </w:num>
  <w:num w:numId="9">
    <w:abstractNumId w:val="13"/>
  </w:num>
  <w:num w:numId="10">
    <w:abstractNumId w:val="17"/>
  </w:num>
  <w:num w:numId="11">
    <w:abstractNumId w:val="11"/>
  </w:num>
  <w:num w:numId="12">
    <w:abstractNumId w:val="10"/>
  </w:num>
  <w:num w:numId="13">
    <w:abstractNumId w:val="25"/>
  </w:num>
  <w:num w:numId="14">
    <w:abstractNumId w:val="25"/>
  </w:num>
  <w:num w:numId="15">
    <w:abstractNumId w:val="25"/>
  </w:num>
  <w:num w:numId="16">
    <w:abstractNumId w:val="23"/>
  </w:num>
  <w:num w:numId="17">
    <w:abstractNumId w:val="25"/>
  </w:num>
  <w:num w:numId="18">
    <w:abstractNumId w:val="16"/>
  </w:num>
  <w:num w:numId="19">
    <w:abstractNumId w:val="22"/>
  </w:num>
  <w:num w:numId="20">
    <w:abstractNumId w:val="20"/>
  </w:num>
  <w:num w:numId="21">
    <w:abstractNumId w:val="24"/>
  </w:num>
  <w:num w:numId="22">
    <w:abstractNumId w:val="18"/>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readOnly" w:formatting="1" w:enforcement="1" w:cryptProviderType="rsaAES" w:cryptAlgorithmClass="hash" w:cryptAlgorithmType="typeAny" w:cryptAlgorithmSid="14" w:cryptSpinCount="100000" w:hash="/TFKbNjr/9EJEe/NKoYmJcDC5XuU3YePhGjkjOUxmn6ixnNXkvgJLYlCbmL4bV5prpib9/y1ZOo48taEPrdvog==" w:salt="lahKt+iksYIIgWAa3SHgcA=="/>
  <w:defaultTabStop w:val="720"/>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zNDOyMDA3MjM3NTBX0lEKTi0uzszPAykwrAUAd7emyywAAAA="/>
  </w:docVars>
  <w:rsids>
    <w:rsidRoot w:val="00DF378E"/>
    <w:rsid w:val="000000F9"/>
    <w:rsid w:val="000001E3"/>
    <w:rsid w:val="00000E86"/>
    <w:rsid w:val="00000FCE"/>
    <w:rsid w:val="00000FF6"/>
    <w:rsid w:val="000011E3"/>
    <w:rsid w:val="00003504"/>
    <w:rsid w:val="00003830"/>
    <w:rsid w:val="000051D8"/>
    <w:rsid w:val="0000642C"/>
    <w:rsid w:val="0000663F"/>
    <w:rsid w:val="00007397"/>
    <w:rsid w:val="00010642"/>
    <w:rsid w:val="000107A4"/>
    <w:rsid w:val="00014827"/>
    <w:rsid w:val="0001502B"/>
    <w:rsid w:val="00015180"/>
    <w:rsid w:val="00015B0D"/>
    <w:rsid w:val="0001738F"/>
    <w:rsid w:val="00017BBD"/>
    <w:rsid w:val="0002008F"/>
    <w:rsid w:val="00021CEA"/>
    <w:rsid w:val="00023A57"/>
    <w:rsid w:val="00024613"/>
    <w:rsid w:val="00024C25"/>
    <w:rsid w:val="000251FE"/>
    <w:rsid w:val="00026719"/>
    <w:rsid w:val="00026B7B"/>
    <w:rsid w:val="00026BF8"/>
    <w:rsid w:val="00026DF0"/>
    <w:rsid w:val="000272FF"/>
    <w:rsid w:val="00027803"/>
    <w:rsid w:val="000279A7"/>
    <w:rsid w:val="00027B38"/>
    <w:rsid w:val="000307F8"/>
    <w:rsid w:val="00030B1F"/>
    <w:rsid w:val="00030CC8"/>
    <w:rsid w:val="00030F9B"/>
    <w:rsid w:val="00034CA7"/>
    <w:rsid w:val="0003622D"/>
    <w:rsid w:val="000363C0"/>
    <w:rsid w:val="00036FDF"/>
    <w:rsid w:val="00037076"/>
    <w:rsid w:val="00037A0D"/>
    <w:rsid w:val="00037D22"/>
    <w:rsid w:val="00041309"/>
    <w:rsid w:val="0004153F"/>
    <w:rsid w:val="00041693"/>
    <w:rsid w:val="00043AE4"/>
    <w:rsid w:val="00043D66"/>
    <w:rsid w:val="000444EC"/>
    <w:rsid w:val="00045257"/>
    <w:rsid w:val="00045A49"/>
    <w:rsid w:val="00045A53"/>
    <w:rsid w:val="00045AE7"/>
    <w:rsid w:val="00046B01"/>
    <w:rsid w:val="00047D8C"/>
    <w:rsid w:val="000509F0"/>
    <w:rsid w:val="00050E33"/>
    <w:rsid w:val="00051927"/>
    <w:rsid w:val="000522B8"/>
    <w:rsid w:val="00052CF6"/>
    <w:rsid w:val="00053061"/>
    <w:rsid w:val="000535F1"/>
    <w:rsid w:val="00053A92"/>
    <w:rsid w:val="00055565"/>
    <w:rsid w:val="00055C74"/>
    <w:rsid w:val="00057CCB"/>
    <w:rsid w:val="000612BE"/>
    <w:rsid w:val="000613B8"/>
    <w:rsid w:val="000613EB"/>
    <w:rsid w:val="0006166E"/>
    <w:rsid w:val="0006241B"/>
    <w:rsid w:val="00062747"/>
    <w:rsid w:val="000635BE"/>
    <w:rsid w:val="00064948"/>
    <w:rsid w:val="00064E7C"/>
    <w:rsid w:val="000664B3"/>
    <w:rsid w:val="000666B9"/>
    <w:rsid w:val="00071BAB"/>
    <w:rsid w:val="000723DC"/>
    <w:rsid w:val="00072704"/>
    <w:rsid w:val="00072C37"/>
    <w:rsid w:val="00073D3C"/>
    <w:rsid w:val="0007544F"/>
    <w:rsid w:val="000756AD"/>
    <w:rsid w:val="00075A0F"/>
    <w:rsid w:val="0007665A"/>
    <w:rsid w:val="00080113"/>
    <w:rsid w:val="000822D4"/>
    <w:rsid w:val="000823E1"/>
    <w:rsid w:val="00082690"/>
    <w:rsid w:val="00083A4A"/>
    <w:rsid w:val="000851EE"/>
    <w:rsid w:val="0008667A"/>
    <w:rsid w:val="000869D7"/>
    <w:rsid w:val="000877C3"/>
    <w:rsid w:val="000877EF"/>
    <w:rsid w:val="00087FC4"/>
    <w:rsid w:val="00090DC1"/>
    <w:rsid w:val="0009115C"/>
    <w:rsid w:val="00091511"/>
    <w:rsid w:val="00093096"/>
    <w:rsid w:val="0009319C"/>
    <w:rsid w:val="000936D7"/>
    <w:rsid w:val="000943EA"/>
    <w:rsid w:val="000949BF"/>
    <w:rsid w:val="00094A36"/>
    <w:rsid w:val="0009566E"/>
    <w:rsid w:val="00095946"/>
    <w:rsid w:val="00096039"/>
    <w:rsid w:val="00096124"/>
    <w:rsid w:val="00096BA6"/>
    <w:rsid w:val="00096BEC"/>
    <w:rsid w:val="000970A9"/>
    <w:rsid w:val="0009741D"/>
    <w:rsid w:val="00097857"/>
    <w:rsid w:val="00097F46"/>
    <w:rsid w:val="000A143F"/>
    <w:rsid w:val="000A1B0E"/>
    <w:rsid w:val="000A2250"/>
    <w:rsid w:val="000A22F4"/>
    <w:rsid w:val="000A4903"/>
    <w:rsid w:val="000A57AA"/>
    <w:rsid w:val="000A595E"/>
    <w:rsid w:val="000A628A"/>
    <w:rsid w:val="000A69F8"/>
    <w:rsid w:val="000A6C00"/>
    <w:rsid w:val="000A6E6E"/>
    <w:rsid w:val="000A72E5"/>
    <w:rsid w:val="000A757B"/>
    <w:rsid w:val="000A7E0F"/>
    <w:rsid w:val="000B0085"/>
    <w:rsid w:val="000B1DA8"/>
    <w:rsid w:val="000B246E"/>
    <w:rsid w:val="000B341A"/>
    <w:rsid w:val="000B3911"/>
    <w:rsid w:val="000B3C39"/>
    <w:rsid w:val="000B3DDE"/>
    <w:rsid w:val="000B4123"/>
    <w:rsid w:val="000B5992"/>
    <w:rsid w:val="000B6174"/>
    <w:rsid w:val="000C1062"/>
    <w:rsid w:val="000C11C1"/>
    <w:rsid w:val="000C1831"/>
    <w:rsid w:val="000C21CB"/>
    <w:rsid w:val="000C2787"/>
    <w:rsid w:val="000C2C91"/>
    <w:rsid w:val="000C2DAC"/>
    <w:rsid w:val="000C2EBA"/>
    <w:rsid w:val="000C3A27"/>
    <w:rsid w:val="000C3AC0"/>
    <w:rsid w:val="000C3CA5"/>
    <w:rsid w:val="000C3FC8"/>
    <w:rsid w:val="000C55C1"/>
    <w:rsid w:val="000C6C14"/>
    <w:rsid w:val="000C6DA2"/>
    <w:rsid w:val="000C7116"/>
    <w:rsid w:val="000C745D"/>
    <w:rsid w:val="000C7A77"/>
    <w:rsid w:val="000D0935"/>
    <w:rsid w:val="000D20D0"/>
    <w:rsid w:val="000D2B09"/>
    <w:rsid w:val="000D2B79"/>
    <w:rsid w:val="000D608D"/>
    <w:rsid w:val="000D62D5"/>
    <w:rsid w:val="000D6A87"/>
    <w:rsid w:val="000D6F2E"/>
    <w:rsid w:val="000D748A"/>
    <w:rsid w:val="000D76EB"/>
    <w:rsid w:val="000D7A62"/>
    <w:rsid w:val="000E1F37"/>
    <w:rsid w:val="000E29E0"/>
    <w:rsid w:val="000E31E6"/>
    <w:rsid w:val="000E3240"/>
    <w:rsid w:val="000E355C"/>
    <w:rsid w:val="000E42A8"/>
    <w:rsid w:val="000E4819"/>
    <w:rsid w:val="000E4B83"/>
    <w:rsid w:val="000E4F40"/>
    <w:rsid w:val="000E53ED"/>
    <w:rsid w:val="000E5C28"/>
    <w:rsid w:val="000E5EDC"/>
    <w:rsid w:val="000E74AB"/>
    <w:rsid w:val="000F0543"/>
    <w:rsid w:val="000F06B9"/>
    <w:rsid w:val="000F1300"/>
    <w:rsid w:val="000F29A1"/>
    <w:rsid w:val="000F2D83"/>
    <w:rsid w:val="000F2DB3"/>
    <w:rsid w:val="000F39A8"/>
    <w:rsid w:val="000F3A86"/>
    <w:rsid w:val="000F3BB5"/>
    <w:rsid w:val="000F5DED"/>
    <w:rsid w:val="000F6B5F"/>
    <w:rsid w:val="000F7069"/>
    <w:rsid w:val="000F790C"/>
    <w:rsid w:val="001005FD"/>
    <w:rsid w:val="00100D23"/>
    <w:rsid w:val="0010122E"/>
    <w:rsid w:val="001014A3"/>
    <w:rsid w:val="00101D8C"/>
    <w:rsid w:val="00102098"/>
    <w:rsid w:val="00102135"/>
    <w:rsid w:val="00102705"/>
    <w:rsid w:val="00102C57"/>
    <w:rsid w:val="00102F43"/>
    <w:rsid w:val="00104572"/>
    <w:rsid w:val="00104BF6"/>
    <w:rsid w:val="00104D08"/>
    <w:rsid w:val="00105687"/>
    <w:rsid w:val="00106793"/>
    <w:rsid w:val="00106C19"/>
    <w:rsid w:val="00107102"/>
    <w:rsid w:val="00107DBF"/>
    <w:rsid w:val="00112005"/>
    <w:rsid w:val="00112F60"/>
    <w:rsid w:val="00113361"/>
    <w:rsid w:val="00113517"/>
    <w:rsid w:val="00114A4E"/>
    <w:rsid w:val="00114C12"/>
    <w:rsid w:val="00115116"/>
    <w:rsid w:val="00115809"/>
    <w:rsid w:val="00115887"/>
    <w:rsid w:val="00117263"/>
    <w:rsid w:val="00117A26"/>
    <w:rsid w:val="001208E3"/>
    <w:rsid w:val="00120B35"/>
    <w:rsid w:val="00120C87"/>
    <w:rsid w:val="00121237"/>
    <w:rsid w:val="0012268F"/>
    <w:rsid w:val="00123292"/>
    <w:rsid w:val="00123757"/>
    <w:rsid w:val="00123989"/>
    <w:rsid w:val="00123B4C"/>
    <w:rsid w:val="00123F02"/>
    <w:rsid w:val="00125BEE"/>
    <w:rsid w:val="001278FD"/>
    <w:rsid w:val="00127AE7"/>
    <w:rsid w:val="00127B1F"/>
    <w:rsid w:val="00127B47"/>
    <w:rsid w:val="00130207"/>
    <w:rsid w:val="00130FFD"/>
    <w:rsid w:val="00132480"/>
    <w:rsid w:val="00132FA0"/>
    <w:rsid w:val="001330EB"/>
    <w:rsid w:val="00133161"/>
    <w:rsid w:val="00133F92"/>
    <w:rsid w:val="00134116"/>
    <w:rsid w:val="00134957"/>
    <w:rsid w:val="00135167"/>
    <w:rsid w:val="00135A15"/>
    <w:rsid w:val="0013636A"/>
    <w:rsid w:val="001371AF"/>
    <w:rsid w:val="00137DB7"/>
    <w:rsid w:val="001403AF"/>
    <w:rsid w:val="00141B54"/>
    <w:rsid w:val="001420FE"/>
    <w:rsid w:val="0014263C"/>
    <w:rsid w:val="00143526"/>
    <w:rsid w:val="001446C3"/>
    <w:rsid w:val="00144757"/>
    <w:rsid w:val="0014498C"/>
    <w:rsid w:val="00145661"/>
    <w:rsid w:val="00146FA9"/>
    <w:rsid w:val="0014758C"/>
    <w:rsid w:val="00151006"/>
    <w:rsid w:val="001512E0"/>
    <w:rsid w:val="00151363"/>
    <w:rsid w:val="001515DB"/>
    <w:rsid w:val="00151AB9"/>
    <w:rsid w:val="00151D10"/>
    <w:rsid w:val="00152961"/>
    <w:rsid w:val="001541BD"/>
    <w:rsid w:val="00155756"/>
    <w:rsid w:val="00157BBE"/>
    <w:rsid w:val="00160061"/>
    <w:rsid w:val="00160597"/>
    <w:rsid w:val="00162942"/>
    <w:rsid w:val="0016344F"/>
    <w:rsid w:val="001645DA"/>
    <w:rsid w:val="00164A42"/>
    <w:rsid w:val="00165098"/>
    <w:rsid w:val="001659AC"/>
    <w:rsid w:val="00165A34"/>
    <w:rsid w:val="00165A7F"/>
    <w:rsid w:val="00165F22"/>
    <w:rsid w:val="00166605"/>
    <w:rsid w:val="00166BDC"/>
    <w:rsid w:val="00167C78"/>
    <w:rsid w:val="001705F6"/>
    <w:rsid w:val="001710C0"/>
    <w:rsid w:val="00171881"/>
    <w:rsid w:val="00173578"/>
    <w:rsid w:val="00173E48"/>
    <w:rsid w:val="0017420A"/>
    <w:rsid w:val="00174D60"/>
    <w:rsid w:val="00174D63"/>
    <w:rsid w:val="001756BB"/>
    <w:rsid w:val="001764B7"/>
    <w:rsid w:val="001774AA"/>
    <w:rsid w:val="00177A1B"/>
    <w:rsid w:val="001803CF"/>
    <w:rsid w:val="0018167B"/>
    <w:rsid w:val="00181768"/>
    <w:rsid w:val="00182101"/>
    <w:rsid w:val="00182406"/>
    <w:rsid w:val="001828F3"/>
    <w:rsid w:val="00182BD6"/>
    <w:rsid w:val="00185085"/>
    <w:rsid w:val="00185C92"/>
    <w:rsid w:val="00185DBE"/>
    <w:rsid w:val="00186DC4"/>
    <w:rsid w:val="00186DCC"/>
    <w:rsid w:val="0018776D"/>
    <w:rsid w:val="00187B7E"/>
    <w:rsid w:val="00187C69"/>
    <w:rsid w:val="001905AD"/>
    <w:rsid w:val="00190B77"/>
    <w:rsid w:val="00191746"/>
    <w:rsid w:val="001927E5"/>
    <w:rsid w:val="00192E7B"/>
    <w:rsid w:val="0019318E"/>
    <w:rsid w:val="0019332D"/>
    <w:rsid w:val="00193596"/>
    <w:rsid w:val="0019389B"/>
    <w:rsid w:val="00193CBF"/>
    <w:rsid w:val="00194A17"/>
    <w:rsid w:val="00194DFB"/>
    <w:rsid w:val="001957C8"/>
    <w:rsid w:val="00195DDF"/>
    <w:rsid w:val="00196AFF"/>
    <w:rsid w:val="00196CAA"/>
    <w:rsid w:val="001A0774"/>
    <w:rsid w:val="001A07B8"/>
    <w:rsid w:val="001A13FD"/>
    <w:rsid w:val="001A1B25"/>
    <w:rsid w:val="001A24BE"/>
    <w:rsid w:val="001A2C5D"/>
    <w:rsid w:val="001A348C"/>
    <w:rsid w:val="001A435F"/>
    <w:rsid w:val="001A4605"/>
    <w:rsid w:val="001A5C61"/>
    <w:rsid w:val="001A6545"/>
    <w:rsid w:val="001A6555"/>
    <w:rsid w:val="001B3B95"/>
    <w:rsid w:val="001B4147"/>
    <w:rsid w:val="001B4216"/>
    <w:rsid w:val="001B567D"/>
    <w:rsid w:val="001B5C9B"/>
    <w:rsid w:val="001B660D"/>
    <w:rsid w:val="001B6CFA"/>
    <w:rsid w:val="001B71C2"/>
    <w:rsid w:val="001B75D1"/>
    <w:rsid w:val="001B7778"/>
    <w:rsid w:val="001B7A2C"/>
    <w:rsid w:val="001B7CD3"/>
    <w:rsid w:val="001C45CC"/>
    <w:rsid w:val="001C5460"/>
    <w:rsid w:val="001C56C3"/>
    <w:rsid w:val="001C573A"/>
    <w:rsid w:val="001C586A"/>
    <w:rsid w:val="001C69AD"/>
    <w:rsid w:val="001C6BB8"/>
    <w:rsid w:val="001C71E0"/>
    <w:rsid w:val="001D0DDF"/>
    <w:rsid w:val="001D1D2D"/>
    <w:rsid w:val="001D3442"/>
    <w:rsid w:val="001D36CA"/>
    <w:rsid w:val="001D376F"/>
    <w:rsid w:val="001D3A52"/>
    <w:rsid w:val="001D3B0A"/>
    <w:rsid w:val="001D5EF7"/>
    <w:rsid w:val="001D664C"/>
    <w:rsid w:val="001D684C"/>
    <w:rsid w:val="001D72AE"/>
    <w:rsid w:val="001E040F"/>
    <w:rsid w:val="001E0620"/>
    <w:rsid w:val="001E0E5F"/>
    <w:rsid w:val="001E1812"/>
    <w:rsid w:val="001E183F"/>
    <w:rsid w:val="001E1BE0"/>
    <w:rsid w:val="001E1C27"/>
    <w:rsid w:val="001E1D2A"/>
    <w:rsid w:val="001E2BC6"/>
    <w:rsid w:val="001E3FC6"/>
    <w:rsid w:val="001E4207"/>
    <w:rsid w:val="001E4ABE"/>
    <w:rsid w:val="001E4CD3"/>
    <w:rsid w:val="001E4D51"/>
    <w:rsid w:val="001E5465"/>
    <w:rsid w:val="001E584F"/>
    <w:rsid w:val="001E588C"/>
    <w:rsid w:val="001E5D22"/>
    <w:rsid w:val="001E6350"/>
    <w:rsid w:val="001E6B3E"/>
    <w:rsid w:val="001E721F"/>
    <w:rsid w:val="001E7603"/>
    <w:rsid w:val="001E7815"/>
    <w:rsid w:val="001E793D"/>
    <w:rsid w:val="001F01F4"/>
    <w:rsid w:val="001F0601"/>
    <w:rsid w:val="001F0660"/>
    <w:rsid w:val="001F0EF3"/>
    <w:rsid w:val="001F43DB"/>
    <w:rsid w:val="001F6729"/>
    <w:rsid w:val="001F6CF5"/>
    <w:rsid w:val="001F7AFF"/>
    <w:rsid w:val="001F7C0C"/>
    <w:rsid w:val="00200C3B"/>
    <w:rsid w:val="002010A0"/>
    <w:rsid w:val="00201F2A"/>
    <w:rsid w:val="00202EE9"/>
    <w:rsid w:val="0020355C"/>
    <w:rsid w:val="00203600"/>
    <w:rsid w:val="002037F4"/>
    <w:rsid w:val="00203AB1"/>
    <w:rsid w:val="00203EFE"/>
    <w:rsid w:val="00204101"/>
    <w:rsid w:val="002041BF"/>
    <w:rsid w:val="0020535A"/>
    <w:rsid w:val="00205F4A"/>
    <w:rsid w:val="00206F5E"/>
    <w:rsid w:val="00210DFB"/>
    <w:rsid w:val="002116E0"/>
    <w:rsid w:val="00213BDF"/>
    <w:rsid w:val="00213DA1"/>
    <w:rsid w:val="0021562F"/>
    <w:rsid w:val="00215EC5"/>
    <w:rsid w:val="00216A45"/>
    <w:rsid w:val="00216CA5"/>
    <w:rsid w:val="0022037A"/>
    <w:rsid w:val="002203F1"/>
    <w:rsid w:val="002208FB"/>
    <w:rsid w:val="00221986"/>
    <w:rsid w:val="00221D81"/>
    <w:rsid w:val="00222BEE"/>
    <w:rsid w:val="002244D6"/>
    <w:rsid w:val="00224520"/>
    <w:rsid w:val="002247BD"/>
    <w:rsid w:val="00225498"/>
    <w:rsid w:val="00226135"/>
    <w:rsid w:val="00226245"/>
    <w:rsid w:val="002314B6"/>
    <w:rsid w:val="0023208D"/>
    <w:rsid w:val="00232AC0"/>
    <w:rsid w:val="002342AA"/>
    <w:rsid w:val="002348D4"/>
    <w:rsid w:val="00236A57"/>
    <w:rsid w:val="002405DB"/>
    <w:rsid w:val="00240C3E"/>
    <w:rsid w:val="00240C5A"/>
    <w:rsid w:val="0024113A"/>
    <w:rsid w:val="00242225"/>
    <w:rsid w:val="00242667"/>
    <w:rsid w:val="0024271C"/>
    <w:rsid w:val="00243214"/>
    <w:rsid w:val="00243E12"/>
    <w:rsid w:val="00244E50"/>
    <w:rsid w:val="002452E7"/>
    <w:rsid w:val="002452FB"/>
    <w:rsid w:val="00245695"/>
    <w:rsid w:val="00245D21"/>
    <w:rsid w:val="00246C02"/>
    <w:rsid w:val="00250376"/>
    <w:rsid w:val="00251C25"/>
    <w:rsid w:val="00251D4B"/>
    <w:rsid w:val="002531D1"/>
    <w:rsid w:val="00253558"/>
    <w:rsid w:val="00253D62"/>
    <w:rsid w:val="00254276"/>
    <w:rsid w:val="00254483"/>
    <w:rsid w:val="00254C5A"/>
    <w:rsid w:val="00254CBB"/>
    <w:rsid w:val="00254D26"/>
    <w:rsid w:val="002557A0"/>
    <w:rsid w:val="00255827"/>
    <w:rsid w:val="00257C1E"/>
    <w:rsid w:val="002615E8"/>
    <w:rsid w:val="00262ACE"/>
    <w:rsid w:val="0026445F"/>
    <w:rsid w:val="002646AD"/>
    <w:rsid w:val="00265736"/>
    <w:rsid w:val="00265859"/>
    <w:rsid w:val="0026667A"/>
    <w:rsid w:val="00266AC6"/>
    <w:rsid w:val="00266D94"/>
    <w:rsid w:val="00270E01"/>
    <w:rsid w:val="00270F82"/>
    <w:rsid w:val="002724FC"/>
    <w:rsid w:val="00273022"/>
    <w:rsid w:val="00273504"/>
    <w:rsid w:val="002739AF"/>
    <w:rsid w:val="00274350"/>
    <w:rsid w:val="00275D67"/>
    <w:rsid w:val="0027643C"/>
    <w:rsid w:val="0027773F"/>
    <w:rsid w:val="002831BC"/>
    <w:rsid w:val="002834F8"/>
    <w:rsid w:val="0028364F"/>
    <w:rsid w:val="002846BB"/>
    <w:rsid w:val="00284AC2"/>
    <w:rsid w:val="00284D64"/>
    <w:rsid w:val="0028505F"/>
    <w:rsid w:val="0028625C"/>
    <w:rsid w:val="0029021B"/>
    <w:rsid w:val="00292285"/>
    <w:rsid w:val="00292467"/>
    <w:rsid w:val="00293751"/>
    <w:rsid w:val="00294964"/>
    <w:rsid w:val="0029498E"/>
    <w:rsid w:val="00295E81"/>
    <w:rsid w:val="002967FD"/>
    <w:rsid w:val="00297035"/>
    <w:rsid w:val="00297745"/>
    <w:rsid w:val="00297D1D"/>
    <w:rsid w:val="002A085F"/>
    <w:rsid w:val="002A0ECA"/>
    <w:rsid w:val="002A1FF2"/>
    <w:rsid w:val="002A407D"/>
    <w:rsid w:val="002A449F"/>
    <w:rsid w:val="002A6EC2"/>
    <w:rsid w:val="002A6F03"/>
    <w:rsid w:val="002B006E"/>
    <w:rsid w:val="002B1B05"/>
    <w:rsid w:val="002B23EF"/>
    <w:rsid w:val="002B256C"/>
    <w:rsid w:val="002B2D2C"/>
    <w:rsid w:val="002B38E4"/>
    <w:rsid w:val="002B3C3E"/>
    <w:rsid w:val="002B3DC5"/>
    <w:rsid w:val="002B484B"/>
    <w:rsid w:val="002B51F3"/>
    <w:rsid w:val="002B5655"/>
    <w:rsid w:val="002B593D"/>
    <w:rsid w:val="002B649F"/>
    <w:rsid w:val="002B7E49"/>
    <w:rsid w:val="002C15A5"/>
    <w:rsid w:val="002C17DB"/>
    <w:rsid w:val="002C27DF"/>
    <w:rsid w:val="002C2917"/>
    <w:rsid w:val="002C39E6"/>
    <w:rsid w:val="002C48FE"/>
    <w:rsid w:val="002C4D11"/>
    <w:rsid w:val="002C585C"/>
    <w:rsid w:val="002C58BE"/>
    <w:rsid w:val="002C6562"/>
    <w:rsid w:val="002C7DE0"/>
    <w:rsid w:val="002D03CF"/>
    <w:rsid w:val="002D1C68"/>
    <w:rsid w:val="002D237A"/>
    <w:rsid w:val="002D3696"/>
    <w:rsid w:val="002D38C7"/>
    <w:rsid w:val="002D4381"/>
    <w:rsid w:val="002D6692"/>
    <w:rsid w:val="002D72CD"/>
    <w:rsid w:val="002E0265"/>
    <w:rsid w:val="002E2352"/>
    <w:rsid w:val="002E270F"/>
    <w:rsid w:val="002E2BAE"/>
    <w:rsid w:val="002E3427"/>
    <w:rsid w:val="002E6024"/>
    <w:rsid w:val="002E6314"/>
    <w:rsid w:val="002E7737"/>
    <w:rsid w:val="002E77B5"/>
    <w:rsid w:val="002F1751"/>
    <w:rsid w:val="002F1C6D"/>
    <w:rsid w:val="002F1D6E"/>
    <w:rsid w:val="002F2593"/>
    <w:rsid w:val="002F2978"/>
    <w:rsid w:val="002F4297"/>
    <w:rsid w:val="002F46AF"/>
    <w:rsid w:val="002F5F47"/>
    <w:rsid w:val="002F6B45"/>
    <w:rsid w:val="002F6DFC"/>
    <w:rsid w:val="002F786A"/>
    <w:rsid w:val="00301171"/>
    <w:rsid w:val="003012B4"/>
    <w:rsid w:val="0030185E"/>
    <w:rsid w:val="00301952"/>
    <w:rsid w:val="00302592"/>
    <w:rsid w:val="003025E0"/>
    <w:rsid w:val="003027C8"/>
    <w:rsid w:val="00302E30"/>
    <w:rsid w:val="003033B3"/>
    <w:rsid w:val="00304995"/>
    <w:rsid w:val="00304FB8"/>
    <w:rsid w:val="00305CBD"/>
    <w:rsid w:val="003060D7"/>
    <w:rsid w:val="003070A6"/>
    <w:rsid w:val="003072F5"/>
    <w:rsid w:val="0031000F"/>
    <w:rsid w:val="003102FB"/>
    <w:rsid w:val="003119C6"/>
    <w:rsid w:val="0031251A"/>
    <w:rsid w:val="003133E8"/>
    <w:rsid w:val="00313B49"/>
    <w:rsid w:val="0031458B"/>
    <w:rsid w:val="00314921"/>
    <w:rsid w:val="00314BFB"/>
    <w:rsid w:val="00315EFD"/>
    <w:rsid w:val="003160D2"/>
    <w:rsid w:val="00316A82"/>
    <w:rsid w:val="00316CA7"/>
    <w:rsid w:val="00317939"/>
    <w:rsid w:val="00317E71"/>
    <w:rsid w:val="00320433"/>
    <w:rsid w:val="003206A8"/>
    <w:rsid w:val="003209F1"/>
    <w:rsid w:val="00320F09"/>
    <w:rsid w:val="003226C8"/>
    <w:rsid w:val="00322835"/>
    <w:rsid w:val="00322A23"/>
    <w:rsid w:val="00322CAD"/>
    <w:rsid w:val="00323877"/>
    <w:rsid w:val="0032438F"/>
    <w:rsid w:val="00324FC8"/>
    <w:rsid w:val="003250AC"/>
    <w:rsid w:val="0032528A"/>
    <w:rsid w:val="00325616"/>
    <w:rsid w:val="003301E1"/>
    <w:rsid w:val="003317E2"/>
    <w:rsid w:val="00331D61"/>
    <w:rsid w:val="00331F9F"/>
    <w:rsid w:val="003338D6"/>
    <w:rsid w:val="00333B12"/>
    <w:rsid w:val="00333D48"/>
    <w:rsid w:val="00333FD2"/>
    <w:rsid w:val="003349E8"/>
    <w:rsid w:val="00335804"/>
    <w:rsid w:val="00335D77"/>
    <w:rsid w:val="00336412"/>
    <w:rsid w:val="00336DE5"/>
    <w:rsid w:val="00337CC7"/>
    <w:rsid w:val="00337CFA"/>
    <w:rsid w:val="003405B1"/>
    <w:rsid w:val="003411EF"/>
    <w:rsid w:val="00342661"/>
    <w:rsid w:val="00342801"/>
    <w:rsid w:val="003429F2"/>
    <w:rsid w:val="00342DEF"/>
    <w:rsid w:val="0034414B"/>
    <w:rsid w:val="00344B24"/>
    <w:rsid w:val="00345567"/>
    <w:rsid w:val="00345D5B"/>
    <w:rsid w:val="00345DD6"/>
    <w:rsid w:val="00347292"/>
    <w:rsid w:val="00350016"/>
    <w:rsid w:val="00350968"/>
    <w:rsid w:val="00351BC5"/>
    <w:rsid w:val="00352B39"/>
    <w:rsid w:val="003537C7"/>
    <w:rsid w:val="00353CA0"/>
    <w:rsid w:val="00353E09"/>
    <w:rsid w:val="00354537"/>
    <w:rsid w:val="00355093"/>
    <w:rsid w:val="00355626"/>
    <w:rsid w:val="00356032"/>
    <w:rsid w:val="00356C2C"/>
    <w:rsid w:val="00356D00"/>
    <w:rsid w:val="0035768E"/>
    <w:rsid w:val="003617F8"/>
    <w:rsid w:val="00361A31"/>
    <w:rsid w:val="00361E1A"/>
    <w:rsid w:val="00362D2A"/>
    <w:rsid w:val="00363B67"/>
    <w:rsid w:val="0036423A"/>
    <w:rsid w:val="003648A9"/>
    <w:rsid w:val="00365C61"/>
    <w:rsid w:val="003665ED"/>
    <w:rsid w:val="003719E4"/>
    <w:rsid w:val="00372AB2"/>
    <w:rsid w:val="00372F41"/>
    <w:rsid w:val="00373E1E"/>
    <w:rsid w:val="00373FF7"/>
    <w:rsid w:val="00375199"/>
    <w:rsid w:val="00375321"/>
    <w:rsid w:val="00375EB7"/>
    <w:rsid w:val="00376F36"/>
    <w:rsid w:val="00377239"/>
    <w:rsid w:val="003803AC"/>
    <w:rsid w:val="00380ABB"/>
    <w:rsid w:val="003811BD"/>
    <w:rsid w:val="00381478"/>
    <w:rsid w:val="00382485"/>
    <w:rsid w:val="00382A48"/>
    <w:rsid w:val="00384FE5"/>
    <w:rsid w:val="0038506F"/>
    <w:rsid w:val="003859AA"/>
    <w:rsid w:val="00387264"/>
    <w:rsid w:val="003900AC"/>
    <w:rsid w:val="0039050D"/>
    <w:rsid w:val="00390D6F"/>
    <w:rsid w:val="0039104F"/>
    <w:rsid w:val="003926AF"/>
    <w:rsid w:val="00393A8C"/>
    <w:rsid w:val="00395654"/>
    <w:rsid w:val="0039743C"/>
    <w:rsid w:val="003A08B4"/>
    <w:rsid w:val="003A29E3"/>
    <w:rsid w:val="003A2B6C"/>
    <w:rsid w:val="003A2E7D"/>
    <w:rsid w:val="003A3244"/>
    <w:rsid w:val="003A326C"/>
    <w:rsid w:val="003A37F9"/>
    <w:rsid w:val="003A5561"/>
    <w:rsid w:val="003A6726"/>
    <w:rsid w:val="003A6E7A"/>
    <w:rsid w:val="003A6FDA"/>
    <w:rsid w:val="003B051F"/>
    <w:rsid w:val="003B1056"/>
    <w:rsid w:val="003B14B6"/>
    <w:rsid w:val="003B1952"/>
    <w:rsid w:val="003B1A61"/>
    <w:rsid w:val="003B1A82"/>
    <w:rsid w:val="003B3018"/>
    <w:rsid w:val="003B3613"/>
    <w:rsid w:val="003B4596"/>
    <w:rsid w:val="003B50BC"/>
    <w:rsid w:val="003B5C0E"/>
    <w:rsid w:val="003B5F66"/>
    <w:rsid w:val="003B6760"/>
    <w:rsid w:val="003C0765"/>
    <w:rsid w:val="003C08EC"/>
    <w:rsid w:val="003C0EF1"/>
    <w:rsid w:val="003C3BA4"/>
    <w:rsid w:val="003C3DC0"/>
    <w:rsid w:val="003C434C"/>
    <w:rsid w:val="003C51A4"/>
    <w:rsid w:val="003C584A"/>
    <w:rsid w:val="003C7FB8"/>
    <w:rsid w:val="003D2493"/>
    <w:rsid w:val="003D3899"/>
    <w:rsid w:val="003D401D"/>
    <w:rsid w:val="003D4626"/>
    <w:rsid w:val="003D5442"/>
    <w:rsid w:val="003D61D4"/>
    <w:rsid w:val="003D687B"/>
    <w:rsid w:val="003D7137"/>
    <w:rsid w:val="003D7817"/>
    <w:rsid w:val="003E0A13"/>
    <w:rsid w:val="003E126F"/>
    <w:rsid w:val="003E1B81"/>
    <w:rsid w:val="003E1BFF"/>
    <w:rsid w:val="003E3530"/>
    <w:rsid w:val="003E44E9"/>
    <w:rsid w:val="003E5473"/>
    <w:rsid w:val="003E5A87"/>
    <w:rsid w:val="003E5CDA"/>
    <w:rsid w:val="003E5E1A"/>
    <w:rsid w:val="003E6901"/>
    <w:rsid w:val="003E779A"/>
    <w:rsid w:val="003F0031"/>
    <w:rsid w:val="003F0667"/>
    <w:rsid w:val="003F2590"/>
    <w:rsid w:val="003F2768"/>
    <w:rsid w:val="003F494E"/>
    <w:rsid w:val="003F49E7"/>
    <w:rsid w:val="003F4E7D"/>
    <w:rsid w:val="003F62D8"/>
    <w:rsid w:val="003F67F6"/>
    <w:rsid w:val="003F72C0"/>
    <w:rsid w:val="004000A6"/>
    <w:rsid w:val="00400F2F"/>
    <w:rsid w:val="00401191"/>
    <w:rsid w:val="004011B6"/>
    <w:rsid w:val="004018DA"/>
    <w:rsid w:val="004019D1"/>
    <w:rsid w:val="004036F7"/>
    <w:rsid w:val="00404DDC"/>
    <w:rsid w:val="00405D08"/>
    <w:rsid w:val="00406F5A"/>
    <w:rsid w:val="00407176"/>
    <w:rsid w:val="00407855"/>
    <w:rsid w:val="00410566"/>
    <w:rsid w:val="004107EF"/>
    <w:rsid w:val="004120CA"/>
    <w:rsid w:val="00412FFD"/>
    <w:rsid w:val="004137E0"/>
    <w:rsid w:val="00413F85"/>
    <w:rsid w:val="004140C6"/>
    <w:rsid w:val="0041486A"/>
    <w:rsid w:val="00415043"/>
    <w:rsid w:val="004155AC"/>
    <w:rsid w:val="004167FE"/>
    <w:rsid w:val="00420DB1"/>
    <w:rsid w:val="00423D11"/>
    <w:rsid w:val="00423DA7"/>
    <w:rsid w:val="00423E3C"/>
    <w:rsid w:val="00424092"/>
    <w:rsid w:val="00425FFB"/>
    <w:rsid w:val="00426071"/>
    <w:rsid w:val="004263BA"/>
    <w:rsid w:val="004263E7"/>
    <w:rsid w:val="0042651B"/>
    <w:rsid w:val="004269AA"/>
    <w:rsid w:val="00426C64"/>
    <w:rsid w:val="00427205"/>
    <w:rsid w:val="004278A3"/>
    <w:rsid w:val="00430F2E"/>
    <w:rsid w:val="0043175D"/>
    <w:rsid w:val="00432752"/>
    <w:rsid w:val="0043309A"/>
    <w:rsid w:val="004330A0"/>
    <w:rsid w:val="0043315B"/>
    <w:rsid w:val="00433489"/>
    <w:rsid w:val="00434FF5"/>
    <w:rsid w:val="004358D1"/>
    <w:rsid w:val="004361A7"/>
    <w:rsid w:val="00436B00"/>
    <w:rsid w:val="004377C1"/>
    <w:rsid w:val="00437930"/>
    <w:rsid w:val="00440178"/>
    <w:rsid w:val="004406BE"/>
    <w:rsid w:val="00441AEA"/>
    <w:rsid w:val="004425C4"/>
    <w:rsid w:val="00442F35"/>
    <w:rsid w:val="00443420"/>
    <w:rsid w:val="004434FC"/>
    <w:rsid w:val="00443DF9"/>
    <w:rsid w:val="00444154"/>
    <w:rsid w:val="00444E5E"/>
    <w:rsid w:val="004450C6"/>
    <w:rsid w:val="0044620C"/>
    <w:rsid w:val="00447892"/>
    <w:rsid w:val="00447DE9"/>
    <w:rsid w:val="0045117B"/>
    <w:rsid w:val="004527A6"/>
    <w:rsid w:val="004530E4"/>
    <w:rsid w:val="00453272"/>
    <w:rsid w:val="00453556"/>
    <w:rsid w:val="004535F1"/>
    <w:rsid w:val="004542FF"/>
    <w:rsid w:val="00454D14"/>
    <w:rsid w:val="004555D4"/>
    <w:rsid w:val="00456B7B"/>
    <w:rsid w:val="00457258"/>
    <w:rsid w:val="00460B0D"/>
    <w:rsid w:val="00460F0D"/>
    <w:rsid w:val="00461589"/>
    <w:rsid w:val="00461770"/>
    <w:rsid w:val="00461E6B"/>
    <w:rsid w:val="004633A1"/>
    <w:rsid w:val="00463740"/>
    <w:rsid w:val="00463FEC"/>
    <w:rsid w:val="004648E3"/>
    <w:rsid w:val="00464A6C"/>
    <w:rsid w:val="0046511E"/>
    <w:rsid w:val="00465AFA"/>
    <w:rsid w:val="004660AE"/>
    <w:rsid w:val="00466354"/>
    <w:rsid w:val="00467350"/>
    <w:rsid w:val="0047029E"/>
    <w:rsid w:val="00470B30"/>
    <w:rsid w:val="00471306"/>
    <w:rsid w:val="0047169A"/>
    <w:rsid w:val="0047205E"/>
    <w:rsid w:val="00472B7A"/>
    <w:rsid w:val="00472DB4"/>
    <w:rsid w:val="00472EB0"/>
    <w:rsid w:val="00473912"/>
    <w:rsid w:val="00473C9B"/>
    <w:rsid w:val="0047432D"/>
    <w:rsid w:val="004748B9"/>
    <w:rsid w:val="00474C29"/>
    <w:rsid w:val="00477715"/>
    <w:rsid w:val="00480ED0"/>
    <w:rsid w:val="00481C20"/>
    <w:rsid w:val="00484A02"/>
    <w:rsid w:val="00484A75"/>
    <w:rsid w:val="00485646"/>
    <w:rsid w:val="00485E37"/>
    <w:rsid w:val="00490C38"/>
    <w:rsid w:val="00491257"/>
    <w:rsid w:val="00491556"/>
    <w:rsid w:val="00492934"/>
    <w:rsid w:val="004935B0"/>
    <w:rsid w:val="0049401A"/>
    <w:rsid w:val="004957C4"/>
    <w:rsid w:val="0049619C"/>
    <w:rsid w:val="00496DF3"/>
    <w:rsid w:val="00497321"/>
    <w:rsid w:val="00497A80"/>
    <w:rsid w:val="00497EB4"/>
    <w:rsid w:val="004A07F8"/>
    <w:rsid w:val="004A0A68"/>
    <w:rsid w:val="004A0BC3"/>
    <w:rsid w:val="004A16B1"/>
    <w:rsid w:val="004A1828"/>
    <w:rsid w:val="004A1900"/>
    <w:rsid w:val="004A2157"/>
    <w:rsid w:val="004A224C"/>
    <w:rsid w:val="004A28E1"/>
    <w:rsid w:val="004A2BE2"/>
    <w:rsid w:val="004A2C81"/>
    <w:rsid w:val="004A3263"/>
    <w:rsid w:val="004A3F59"/>
    <w:rsid w:val="004A4A25"/>
    <w:rsid w:val="004A4BBB"/>
    <w:rsid w:val="004A6F94"/>
    <w:rsid w:val="004A7073"/>
    <w:rsid w:val="004A7113"/>
    <w:rsid w:val="004B1989"/>
    <w:rsid w:val="004B37FD"/>
    <w:rsid w:val="004B3BE6"/>
    <w:rsid w:val="004B3EB2"/>
    <w:rsid w:val="004B3F2C"/>
    <w:rsid w:val="004B459F"/>
    <w:rsid w:val="004B55E6"/>
    <w:rsid w:val="004B61AA"/>
    <w:rsid w:val="004B6434"/>
    <w:rsid w:val="004B6F91"/>
    <w:rsid w:val="004B76B4"/>
    <w:rsid w:val="004C0F56"/>
    <w:rsid w:val="004C1252"/>
    <w:rsid w:val="004C27C1"/>
    <w:rsid w:val="004C291F"/>
    <w:rsid w:val="004C294D"/>
    <w:rsid w:val="004C2A5C"/>
    <w:rsid w:val="004C2FB9"/>
    <w:rsid w:val="004C542B"/>
    <w:rsid w:val="004C5B52"/>
    <w:rsid w:val="004C5D5A"/>
    <w:rsid w:val="004C670F"/>
    <w:rsid w:val="004C6D82"/>
    <w:rsid w:val="004C725E"/>
    <w:rsid w:val="004D0094"/>
    <w:rsid w:val="004D06E6"/>
    <w:rsid w:val="004D07E6"/>
    <w:rsid w:val="004D0D13"/>
    <w:rsid w:val="004D103F"/>
    <w:rsid w:val="004D19CD"/>
    <w:rsid w:val="004D2F34"/>
    <w:rsid w:val="004D3566"/>
    <w:rsid w:val="004D3BF7"/>
    <w:rsid w:val="004D4CA3"/>
    <w:rsid w:val="004D4F16"/>
    <w:rsid w:val="004D599C"/>
    <w:rsid w:val="004D6E23"/>
    <w:rsid w:val="004D7566"/>
    <w:rsid w:val="004D7DF9"/>
    <w:rsid w:val="004E0390"/>
    <w:rsid w:val="004E04C5"/>
    <w:rsid w:val="004E0845"/>
    <w:rsid w:val="004E0A98"/>
    <w:rsid w:val="004E0F55"/>
    <w:rsid w:val="004E1300"/>
    <w:rsid w:val="004E16B8"/>
    <w:rsid w:val="004E16CF"/>
    <w:rsid w:val="004E3229"/>
    <w:rsid w:val="004E54D6"/>
    <w:rsid w:val="004E5D3E"/>
    <w:rsid w:val="004E71D7"/>
    <w:rsid w:val="004E73C7"/>
    <w:rsid w:val="004E780C"/>
    <w:rsid w:val="004F07FA"/>
    <w:rsid w:val="004F0BEC"/>
    <w:rsid w:val="004F1946"/>
    <w:rsid w:val="004F1F17"/>
    <w:rsid w:val="004F22C2"/>
    <w:rsid w:val="004F3108"/>
    <w:rsid w:val="004F4AE5"/>
    <w:rsid w:val="004F51B1"/>
    <w:rsid w:val="004F552E"/>
    <w:rsid w:val="004F5BA6"/>
    <w:rsid w:val="004F64EC"/>
    <w:rsid w:val="004F6652"/>
    <w:rsid w:val="004F678B"/>
    <w:rsid w:val="004F6E47"/>
    <w:rsid w:val="004F72B3"/>
    <w:rsid w:val="004F7F1C"/>
    <w:rsid w:val="00500AD7"/>
    <w:rsid w:val="00502517"/>
    <w:rsid w:val="00502648"/>
    <w:rsid w:val="00502DCE"/>
    <w:rsid w:val="005040D6"/>
    <w:rsid w:val="00504453"/>
    <w:rsid w:val="00505FC7"/>
    <w:rsid w:val="0050669E"/>
    <w:rsid w:val="00506FBB"/>
    <w:rsid w:val="00507FC6"/>
    <w:rsid w:val="00510705"/>
    <w:rsid w:val="0051091B"/>
    <w:rsid w:val="0051124A"/>
    <w:rsid w:val="005117D3"/>
    <w:rsid w:val="00511B64"/>
    <w:rsid w:val="00511ED3"/>
    <w:rsid w:val="00512D23"/>
    <w:rsid w:val="00512F1E"/>
    <w:rsid w:val="0051310D"/>
    <w:rsid w:val="00513365"/>
    <w:rsid w:val="00513650"/>
    <w:rsid w:val="00514278"/>
    <w:rsid w:val="0051488F"/>
    <w:rsid w:val="00516A30"/>
    <w:rsid w:val="00517CC7"/>
    <w:rsid w:val="00520B49"/>
    <w:rsid w:val="0052158A"/>
    <w:rsid w:val="00521C07"/>
    <w:rsid w:val="00521C0E"/>
    <w:rsid w:val="005225BA"/>
    <w:rsid w:val="00522B68"/>
    <w:rsid w:val="00524293"/>
    <w:rsid w:val="00524D0D"/>
    <w:rsid w:val="00525644"/>
    <w:rsid w:val="00526918"/>
    <w:rsid w:val="00530332"/>
    <w:rsid w:val="005308A9"/>
    <w:rsid w:val="005310FE"/>
    <w:rsid w:val="0053130B"/>
    <w:rsid w:val="0053197B"/>
    <w:rsid w:val="00531B0B"/>
    <w:rsid w:val="00531D63"/>
    <w:rsid w:val="00532E5D"/>
    <w:rsid w:val="00534839"/>
    <w:rsid w:val="00535241"/>
    <w:rsid w:val="00537702"/>
    <w:rsid w:val="005406F9"/>
    <w:rsid w:val="00540863"/>
    <w:rsid w:val="0054303C"/>
    <w:rsid w:val="00543BD7"/>
    <w:rsid w:val="00544ABC"/>
    <w:rsid w:val="00545BED"/>
    <w:rsid w:val="00546746"/>
    <w:rsid w:val="0054752C"/>
    <w:rsid w:val="0055032F"/>
    <w:rsid w:val="0055053F"/>
    <w:rsid w:val="00550F99"/>
    <w:rsid w:val="0055135F"/>
    <w:rsid w:val="0055188D"/>
    <w:rsid w:val="00552763"/>
    <w:rsid w:val="005527AC"/>
    <w:rsid w:val="00552CBC"/>
    <w:rsid w:val="0055372B"/>
    <w:rsid w:val="00553B81"/>
    <w:rsid w:val="005544B6"/>
    <w:rsid w:val="00554623"/>
    <w:rsid w:val="00554746"/>
    <w:rsid w:val="0055498E"/>
    <w:rsid w:val="0055508E"/>
    <w:rsid w:val="00555BB6"/>
    <w:rsid w:val="005572FE"/>
    <w:rsid w:val="0056001F"/>
    <w:rsid w:val="00560966"/>
    <w:rsid w:val="00560C36"/>
    <w:rsid w:val="005612C4"/>
    <w:rsid w:val="00561BA4"/>
    <w:rsid w:val="00562054"/>
    <w:rsid w:val="005635F1"/>
    <w:rsid w:val="00563919"/>
    <w:rsid w:val="005644B9"/>
    <w:rsid w:val="005646EB"/>
    <w:rsid w:val="00566388"/>
    <w:rsid w:val="0056658D"/>
    <w:rsid w:val="00566775"/>
    <w:rsid w:val="0056778C"/>
    <w:rsid w:val="00567C34"/>
    <w:rsid w:val="0057102F"/>
    <w:rsid w:val="00571127"/>
    <w:rsid w:val="005716E0"/>
    <w:rsid w:val="0057173E"/>
    <w:rsid w:val="00573CAB"/>
    <w:rsid w:val="00575407"/>
    <w:rsid w:val="00575871"/>
    <w:rsid w:val="00576574"/>
    <w:rsid w:val="00576ED6"/>
    <w:rsid w:val="0058050D"/>
    <w:rsid w:val="00580EC6"/>
    <w:rsid w:val="00582B8C"/>
    <w:rsid w:val="00583B3A"/>
    <w:rsid w:val="00583CCE"/>
    <w:rsid w:val="005841CC"/>
    <w:rsid w:val="005852F9"/>
    <w:rsid w:val="005853F0"/>
    <w:rsid w:val="005859A2"/>
    <w:rsid w:val="005860BB"/>
    <w:rsid w:val="00586397"/>
    <w:rsid w:val="00587071"/>
    <w:rsid w:val="00587E8A"/>
    <w:rsid w:val="005909E6"/>
    <w:rsid w:val="00590A11"/>
    <w:rsid w:val="00590A38"/>
    <w:rsid w:val="005920A8"/>
    <w:rsid w:val="005928BE"/>
    <w:rsid w:val="005930D8"/>
    <w:rsid w:val="005949DD"/>
    <w:rsid w:val="00594B45"/>
    <w:rsid w:val="005954F5"/>
    <w:rsid w:val="005954F6"/>
    <w:rsid w:val="00595595"/>
    <w:rsid w:val="005957A0"/>
    <w:rsid w:val="005960EA"/>
    <w:rsid w:val="005969E0"/>
    <w:rsid w:val="005A03BF"/>
    <w:rsid w:val="005A08B8"/>
    <w:rsid w:val="005A0AF2"/>
    <w:rsid w:val="005A14D0"/>
    <w:rsid w:val="005A2114"/>
    <w:rsid w:val="005A21AC"/>
    <w:rsid w:val="005A2E9E"/>
    <w:rsid w:val="005A3670"/>
    <w:rsid w:val="005A4B7B"/>
    <w:rsid w:val="005A6159"/>
    <w:rsid w:val="005A69D8"/>
    <w:rsid w:val="005A77E3"/>
    <w:rsid w:val="005A77EB"/>
    <w:rsid w:val="005B062F"/>
    <w:rsid w:val="005B0B9E"/>
    <w:rsid w:val="005B1397"/>
    <w:rsid w:val="005B22CA"/>
    <w:rsid w:val="005B2553"/>
    <w:rsid w:val="005B2884"/>
    <w:rsid w:val="005B3747"/>
    <w:rsid w:val="005B5179"/>
    <w:rsid w:val="005B5737"/>
    <w:rsid w:val="005B7CA9"/>
    <w:rsid w:val="005C1445"/>
    <w:rsid w:val="005C2625"/>
    <w:rsid w:val="005C30F1"/>
    <w:rsid w:val="005C56E6"/>
    <w:rsid w:val="005C6203"/>
    <w:rsid w:val="005C6654"/>
    <w:rsid w:val="005C718C"/>
    <w:rsid w:val="005C768C"/>
    <w:rsid w:val="005D1512"/>
    <w:rsid w:val="005D325D"/>
    <w:rsid w:val="005D39F6"/>
    <w:rsid w:val="005D3AC0"/>
    <w:rsid w:val="005D4DA7"/>
    <w:rsid w:val="005D4F4B"/>
    <w:rsid w:val="005D5C91"/>
    <w:rsid w:val="005D5D9D"/>
    <w:rsid w:val="005D6881"/>
    <w:rsid w:val="005D6E00"/>
    <w:rsid w:val="005D7134"/>
    <w:rsid w:val="005D7583"/>
    <w:rsid w:val="005D7C5D"/>
    <w:rsid w:val="005E0B82"/>
    <w:rsid w:val="005E1302"/>
    <w:rsid w:val="005E204B"/>
    <w:rsid w:val="005E2C8E"/>
    <w:rsid w:val="005E375A"/>
    <w:rsid w:val="005E5C44"/>
    <w:rsid w:val="005E615C"/>
    <w:rsid w:val="005E6160"/>
    <w:rsid w:val="005E630C"/>
    <w:rsid w:val="005F058B"/>
    <w:rsid w:val="005F0991"/>
    <w:rsid w:val="005F1205"/>
    <w:rsid w:val="005F18F1"/>
    <w:rsid w:val="005F1C1A"/>
    <w:rsid w:val="005F2417"/>
    <w:rsid w:val="005F2A22"/>
    <w:rsid w:val="005F4E46"/>
    <w:rsid w:val="005F5E1A"/>
    <w:rsid w:val="005F5E96"/>
    <w:rsid w:val="005F72B1"/>
    <w:rsid w:val="005F7804"/>
    <w:rsid w:val="005F7AAC"/>
    <w:rsid w:val="005F7ABB"/>
    <w:rsid w:val="00600677"/>
    <w:rsid w:val="00600A0A"/>
    <w:rsid w:val="00601F3F"/>
    <w:rsid w:val="00602090"/>
    <w:rsid w:val="0060426E"/>
    <w:rsid w:val="00604A80"/>
    <w:rsid w:val="006052D8"/>
    <w:rsid w:val="006056C8"/>
    <w:rsid w:val="00605F5F"/>
    <w:rsid w:val="00606689"/>
    <w:rsid w:val="00606A89"/>
    <w:rsid w:val="00606E01"/>
    <w:rsid w:val="006076B1"/>
    <w:rsid w:val="006105FD"/>
    <w:rsid w:val="00613372"/>
    <w:rsid w:val="00613E78"/>
    <w:rsid w:val="00613FF5"/>
    <w:rsid w:val="00614150"/>
    <w:rsid w:val="0061426D"/>
    <w:rsid w:val="006151DE"/>
    <w:rsid w:val="00615223"/>
    <w:rsid w:val="00615B99"/>
    <w:rsid w:val="00615BD3"/>
    <w:rsid w:val="00620911"/>
    <w:rsid w:val="00621849"/>
    <w:rsid w:val="00623A5A"/>
    <w:rsid w:val="00624354"/>
    <w:rsid w:val="00624BE6"/>
    <w:rsid w:val="006255F5"/>
    <w:rsid w:val="00625C29"/>
    <w:rsid w:val="00625CA4"/>
    <w:rsid w:val="006262CD"/>
    <w:rsid w:val="0062737D"/>
    <w:rsid w:val="0062781E"/>
    <w:rsid w:val="00627E50"/>
    <w:rsid w:val="00630678"/>
    <w:rsid w:val="006312CD"/>
    <w:rsid w:val="00631B4A"/>
    <w:rsid w:val="00631D9F"/>
    <w:rsid w:val="00631EA5"/>
    <w:rsid w:val="00632D5B"/>
    <w:rsid w:val="00632E6D"/>
    <w:rsid w:val="00633648"/>
    <w:rsid w:val="00633779"/>
    <w:rsid w:val="00634DCD"/>
    <w:rsid w:val="00635082"/>
    <w:rsid w:val="00635224"/>
    <w:rsid w:val="00636109"/>
    <w:rsid w:val="00640256"/>
    <w:rsid w:val="006404C2"/>
    <w:rsid w:val="00640E57"/>
    <w:rsid w:val="00641E47"/>
    <w:rsid w:val="006421F6"/>
    <w:rsid w:val="00642D31"/>
    <w:rsid w:val="006433EE"/>
    <w:rsid w:val="00643638"/>
    <w:rsid w:val="00643CA0"/>
    <w:rsid w:val="0064675C"/>
    <w:rsid w:val="00646775"/>
    <w:rsid w:val="00651367"/>
    <w:rsid w:val="006514AC"/>
    <w:rsid w:val="006518D8"/>
    <w:rsid w:val="00651A8C"/>
    <w:rsid w:val="00653120"/>
    <w:rsid w:val="00653531"/>
    <w:rsid w:val="0065357A"/>
    <w:rsid w:val="006541B2"/>
    <w:rsid w:val="0065470A"/>
    <w:rsid w:val="00655342"/>
    <w:rsid w:val="006553D9"/>
    <w:rsid w:val="006557D4"/>
    <w:rsid w:val="00656FF1"/>
    <w:rsid w:val="00657D84"/>
    <w:rsid w:val="00660155"/>
    <w:rsid w:val="0066025E"/>
    <w:rsid w:val="00660341"/>
    <w:rsid w:val="006607C0"/>
    <w:rsid w:val="00661B9D"/>
    <w:rsid w:val="0066203B"/>
    <w:rsid w:val="00662435"/>
    <w:rsid w:val="00662B65"/>
    <w:rsid w:val="00662D61"/>
    <w:rsid w:val="00663260"/>
    <w:rsid w:val="00663CDF"/>
    <w:rsid w:val="00663F6E"/>
    <w:rsid w:val="0066487B"/>
    <w:rsid w:val="00664EA4"/>
    <w:rsid w:val="0066684B"/>
    <w:rsid w:val="00666893"/>
    <w:rsid w:val="00667533"/>
    <w:rsid w:val="006675C5"/>
    <w:rsid w:val="00667767"/>
    <w:rsid w:val="00670EB0"/>
    <w:rsid w:val="006714A7"/>
    <w:rsid w:val="00671C81"/>
    <w:rsid w:val="00671CC5"/>
    <w:rsid w:val="006724E0"/>
    <w:rsid w:val="00673799"/>
    <w:rsid w:val="006737F6"/>
    <w:rsid w:val="00673B87"/>
    <w:rsid w:val="00675098"/>
    <w:rsid w:val="006752FA"/>
    <w:rsid w:val="00675EE4"/>
    <w:rsid w:val="00675F2E"/>
    <w:rsid w:val="00677924"/>
    <w:rsid w:val="00681229"/>
    <w:rsid w:val="00681516"/>
    <w:rsid w:val="00681812"/>
    <w:rsid w:val="00682711"/>
    <w:rsid w:val="006832EC"/>
    <w:rsid w:val="00683347"/>
    <w:rsid w:val="006834ED"/>
    <w:rsid w:val="006839C4"/>
    <w:rsid w:val="00684EE5"/>
    <w:rsid w:val="00685759"/>
    <w:rsid w:val="00685977"/>
    <w:rsid w:val="00686AA7"/>
    <w:rsid w:val="00686C97"/>
    <w:rsid w:val="006871CA"/>
    <w:rsid w:val="00691B7F"/>
    <w:rsid w:val="0069287B"/>
    <w:rsid w:val="00693521"/>
    <w:rsid w:val="00693BE6"/>
    <w:rsid w:val="00693E75"/>
    <w:rsid w:val="0069409E"/>
    <w:rsid w:val="00694E36"/>
    <w:rsid w:val="00694E7A"/>
    <w:rsid w:val="006958ED"/>
    <w:rsid w:val="006961F2"/>
    <w:rsid w:val="00696E06"/>
    <w:rsid w:val="006970DA"/>
    <w:rsid w:val="00697D06"/>
    <w:rsid w:val="00697D86"/>
    <w:rsid w:val="006A020C"/>
    <w:rsid w:val="006A081E"/>
    <w:rsid w:val="006A12D9"/>
    <w:rsid w:val="006A27C6"/>
    <w:rsid w:val="006A4130"/>
    <w:rsid w:val="006A4671"/>
    <w:rsid w:val="006A4ADE"/>
    <w:rsid w:val="006A4D98"/>
    <w:rsid w:val="006A5452"/>
    <w:rsid w:val="006A5BFA"/>
    <w:rsid w:val="006A6C5C"/>
    <w:rsid w:val="006B25D1"/>
    <w:rsid w:val="006B3691"/>
    <w:rsid w:val="006B4A89"/>
    <w:rsid w:val="006B4D52"/>
    <w:rsid w:val="006B5092"/>
    <w:rsid w:val="006B6E91"/>
    <w:rsid w:val="006C07F5"/>
    <w:rsid w:val="006C0C33"/>
    <w:rsid w:val="006C0DC7"/>
    <w:rsid w:val="006C12DD"/>
    <w:rsid w:val="006C1FF2"/>
    <w:rsid w:val="006C2162"/>
    <w:rsid w:val="006C21B0"/>
    <w:rsid w:val="006C39C4"/>
    <w:rsid w:val="006C3C65"/>
    <w:rsid w:val="006C501A"/>
    <w:rsid w:val="006C505E"/>
    <w:rsid w:val="006C515E"/>
    <w:rsid w:val="006C5CF0"/>
    <w:rsid w:val="006C6042"/>
    <w:rsid w:val="006C6798"/>
    <w:rsid w:val="006C6FD1"/>
    <w:rsid w:val="006C7376"/>
    <w:rsid w:val="006D0DF7"/>
    <w:rsid w:val="006D0E2B"/>
    <w:rsid w:val="006D19EE"/>
    <w:rsid w:val="006D1F18"/>
    <w:rsid w:val="006D21D0"/>
    <w:rsid w:val="006D3B88"/>
    <w:rsid w:val="006D4D3F"/>
    <w:rsid w:val="006D4E3B"/>
    <w:rsid w:val="006D5543"/>
    <w:rsid w:val="006D62CA"/>
    <w:rsid w:val="006D670F"/>
    <w:rsid w:val="006D6A87"/>
    <w:rsid w:val="006D6EE7"/>
    <w:rsid w:val="006D797A"/>
    <w:rsid w:val="006E06C5"/>
    <w:rsid w:val="006E098A"/>
    <w:rsid w:val="006E1863"/>
    <w:rsid w:val="006E1C8F"/>
    <w:rsid w:val="006E25A5"/>
    <w:rsid w:val="006E32C9"/>
    <w:rsid w:val="006E3F3C"/>
    <w:rsid w:val="006E5381"/>
    <w:rsid w:val="006E664B"/>
    <w:rsid w:val="006E68C7"/>
    <w:rsid w:val="006F07A6"/>
    <w:rsid w:val="006F0BD1"/>
    <w:rsid w:val="006F0D34"/>
    <w:rsid w:val="006F25B4"/>
    <w:rsid w:val="006F4010"/>
    <w:rsid w:val="006F44E5"/>
    <w:rsid w:val="006F4738"/>
    <w:rsid w:val="006F4FFD"/>
    <w:rsid w:val="006F5900"/>
    <w:rsid w:val="006F61E3"/>
    <w:rsid w:val="006F66DB"/>
    <w:rsid w:val="006F6A17"/>
    <w:rsid w:val="006F7AED"/>
    <w:rsid w:val="007003CF"/>
    <w:rsid w:val="00700B15"/>
    <w:rsid w:val="00700BE9"/>
    <w:rsid w:val="00701777"/>
    <w:rsid w:val="00701854"/>
    <w:rsid w:val="00701971"/>
    <w:rsid w:val="00702000"/>
    <w:rsid w:val="007034C2"/>
    <w:rsid w:val="00703572"/>
    <w:rsid w:val="00703773"/>
    <w:rsid w:val="00704A94"/>
    <w:rsid w:val="00704DEC"/>
    <w:rsid w:val="00705EEF"/>
    <w:rsid w:val="0070635D"/>
    <w:rsid w:val="00707824"/>
    <w:rsid w:val="00707AE3"/>
    <w:rsid w:val="007104D9"/>
    <w:rsid w:val="0071096E"/>
    <w:rsid w:val="0071220E"/>
    <w:rsid w:val="00712AA1"/>
    <w:rsid w:val="0071314C"/>
    <w:rsid w:val="007135C6"/>
    <w:rsid w:val="00713BB6"/>
    <w:rsid w:val="00714A72"/>
    <w:rsid w:val="00714A95"/>
    <w:rsid w:val="00714B22"/>
    <w:rsid w:val="00714C7D"/>
    <w:rsid w:val="00715808"/>
    <w:rsid w:val="007158FA"/>
    <w:rsid w:val="007166C6"/>
    <w:rsid w:val="00716D31"/>
    <w:rsid w:val="00716E15"/>
    <w:rsid w:val="00717195"/>
    <w:rsid w:val="007172AE"/>
    <w:rsid w:val="007173C8"/>
    <w:rsid w:val="00717530"/>
    <w:rsid w:val="007202BE"/>
    <w:rsid w:val="00720419"/>
    <w:rsid w:val="00722536"/>
    <w:rsid w:val="00722919"/>
    <w:rsid w:val="00722D3D"/>
    <w:rsid w:val="007237D9"/>
    <w:rsid w:val="00725799"/>
    <w:rsid w:val="00726AB2"/>
    <w:rsid w:val="0072719A"/>
    <w:rsid w:val="00730131"/>
    <w:rsid w:val="0073075E"/>
    <w:rsid w:val="0073118F"/>
    <w:rsid w:val="0073263F"/>
    <w:rsid w:val="00732C5A"/>
    <w:rsid w:val="00732D96"/>
    <w:rsid w:val="00732EF0"/>
    <w:rsid w:val="007331EA"/>
    <w:rsid w:val="00733390"/>
    <w:rsid w:val="007334CB"/>
    <w:rsid w:val="0073358D"/>
    <w:rsid w:val="007339DC"/>
    <w:rsid w:val="00734077"/>
    <w:rsid w:val="00734806"/>
    <w:rsid w:val="00734821"/>
    <w:rsid w:val="00734AEF"/>
    <w:rsid w:val="00734E66"/>
    <w:rsid w:val="007356E6"/>
    <w:rsid w:val="007358FA"/>
    <w:rsid w:val="00736075"/>
    <w:rsid w:val="00736527"/>
    <w:rsid w:val="007365C7"/>
    <w:rsid w:val="007366E9"/>
    <w:rsid w:val="00740E6A"/>
    <w:rsid w:val="00741153"/>
    <w:rsid w:val="00741DB5"/>
    <w:rsid w:val="00742EB0"/>
    <w:rsid w:val="0074358D"/>
    <w:rsid w:val="007439FD"/>
    <w:rsid w:val="00744645"/>
    <w:rsid w:val="00744B82"/>
    <w:rsid w:val="0074657D"/>
    <w:rsid w:val="00746D54"/>
    <w:rsid w:val="0074745B"/>
    <w:rsid w:val="00747692"/>
    <w:rsid w:val="00747798"/>
    <w:rsid w:val="00750435"/>
    <w:rsid w:val="007510BD"/>
    <w:rsid w:val="0075139C"/>
    <w:rsid w:val="007517E0"/>
    <w:rsid w:val="0075393D"/>
    <w:rsid w:val="00753ECA"/>
    <w:rsid w:val="00754270"/>
    <w:rsid w:val="00754440"/>
    <w:rsid w:val="00754521"/>
    <w:rsid w:val="007559CA"/>
    <w:rsid w:val="00755B08"/>
    <w:rsid w:val="00755C28"/>
    <w:rsid w:val="0075656C"/>
    <w:rsid w:val="00760283"/>
    <w:rsid w:val="007613E4"/>
    <w:rsid w:val="00761467"/>
    <w:rsid w:val="00761652"/>
    <w:rsid w:val="007617B9"/>
    <w:rsid w:val="007627F4"/>
    <w:rsid w:val="00763126"/>
    <w:rsid w:val="00763EB7"/>
    <w:rsid w:val="00763FED"/>
    <w:rsid w:val="007651C2"/>
    <w:rsid w:val="00766F64"/>
    <w:rsid w:val="00767319"/>
    <w:rsid w:val="00767918"/>
    <w:rsid w:val="00767AA5"/>
    <w:rsid w:val="00770507"/>
    <w:rsid w:val="0077166A"/>
    <w:rsid w:val="00771C42"/>
    <w:rsid w:val="0077200F"/>
    <w:rsid w:val="00772C19"/>
    <w:rsid w:val="00772FCB"/>
    <w:rsid w:val="0077327A"/>
    <w:rsid w:val="007738F8"/>
    <w:rsid w:val="00775984"/>
    <w:rsid w:val="00775FFD"/>
    <w:rsid w:val="00776280"/>
    <w:rsid w:val="00776452"/>
    <w:rsid w:val="00776B1D"/>
    <w:rsid w:val="007773BF"/>
    <w:rsid w:val="007774D2"/>
    <w:rsid w:val="00780EEA"/>
    <w:rsid w:val="00781DF2"/>
    <w:rsid w:val="00781E0B"/>
    <w:rsid w:val="0078239E"/>
    <w:rsid w:val="0078274B"/>
    <w:rsid w:val="00782EC1"/>
    <w:rsid w:val="00782F2E"/>
    <w:rsid w:val="00783731"/>
    <w:rsid w:val="0078506C"/>
    <w:rsid w:val="00785214"/>
    <w:rsid w:val="00785953"/>
    <w:rsid w:val="007859BF"/>
    <w:rsid w:val="00785AAE"/>
    <w:rsid w:val="00786042"/>
    <w:rsid w:val="00786419"/>
    <w:rsid w:val="00787A71"/>
    <w:rsid w:val="00787F15"/>
    <w:rsid w:val="00790CC7"/>
    <w:rsid w:val="00791F1B"/>
    <w:rsid w:val="00792A84"/>
    <w:rsid w:val="00793E5D"/>
    <w:rsid w:val="00794B61"/>
    <w:rsid w:val="007961F0"/>
    <w:rsid w:val="007962AD"/>
    <w:rsid w:val="007966C1"/>
    <w:rsid w:val="007971D1"/>
    <w:rsid w:val="00797944"/>
    <w:rsid w:val="00797E8D"/>
    <w:rsid w:val="007A074B"/>
    <w:rsid w:val="007A0FC6"/>
    <w:rsid w:val="007A1068"/>
    <w:rsid w:val="007A1F2B"/>
    <w:rsid w:val="007A2B94"/>
    <w:rsid w:val="007A31C4"/>
    <w:rsid w:val="007A3274"/>
    <w:rsid w:val="007A381C"/>
    <w:rsid w:val="007A3EAD"/>
    <w:rsid w:val="007A42C3"/>
    <w:rsid w:val="007A52BF"/>
    <w:rsid w:val="007A5D4B"/>
    <w:rsid w:val="007A640F"/>
    <w:rsid w:val="007A6BF2"/>
    <w:rsid w:val="007A6F7E"/>
    <w:rsid w:val="007A71B9"/>
    <w:rsid w:val="007A728B"/>
    <w:rsid w:val="007A769D"/>
    <w:rsid w:val="007B0877"/>
    <w:rsid w:val="007B1CA4"/>
    <w:rsid w:val="007B1D22"/>
    <w:rsid w:val="007B200D"/>
    <w:rsid w:val="007B2047"/>
    <w:rsid w:val="007B2C1F"/>
    <w:rsid w:val="007B2F0C"/>
    <w:rsid w:val="007B5B15"/>
    <w:rsid w:val="007B77C7"/>
    <w:rsid w:val="007C01F2"/>
    <w:rsid w:val="007C09A9"/>
    <w:rsid w:val="007C3FA0"/>
    <w:rsid w:val="007C46A6"/>
    <w:rsid w:val="007C4822"/>
    <w:rsid w:val="007C5609"/>
    <w:rsid w:val="007C5A9A"/>
    <w:rsid w:val="007C68A1"/>
    <w:rsid w:val="007C6D1A"/>
    <w:rsid w:val="007C6D2B"/>
    <w:rsid w:val="007C7459"/>
    <w:rsid w:val="007D030D"/>
    <w:rsid w:val="007D04D7"/>
    <w:rsid w:val="007D0A92"/>
    <w:rsid w:val="007D0D3A"/>
    <w:rsid w:val="007D20D6"/>
    <w:rsid w:val="007D29DA"/>
    <w:rsid w:val="007D2D1F"/>
    <w:rsid w:val="007D37AA"/>
    <w:rsid w:val="007D3C4E"/>
    <w:rsid w:val="007D4054"/>
    <w:rsid w:val="007D47EC"/>
    <w:rsid w:val="007D495F"/>
    <w:rsid w:val="007D4A37"/>
    <w:rsid w:val="007D4AE1"/>
    <w:rsid w:val="007D4D72"/>
    <w:rsid w:val="007D4D9B"/>
    <w:rsid w:val="007D4DA1"/>
    <w:rsid w:val="007D57DD"/>
    <w:rsid w:val="007D5C3A"/>
    <w:rsid w:val="007D7593"/>
    <w:rsid w:val="007D7BD9"/>
    <w:rsid w:val="007E0BCA"/>
    <w:rsid w:val="007E1D8D"/>
    <w:rsid w:val="007E1F1A"/>
    <w:rsid w:val="007E24FA"/>
    <w:rsid w:val="007E2510"/>
    <w:rsid w:val="007E28AE"/>
    <w:rsid w:val="007E2925"/>
    <w:rsid w:val="007E29B5"/>
    <w:rsid w:val="007E3377"/>
    <w:rsid w:val="007E3816"/>
    <w:rsid w:val="007E3998"/>
    <w:rsid w:val="007E5128"/>
    <w:rsid w:val="007E591A"/>
    <w:rsid w:val="007E7B52"/>
    <w:rsid w:val="007E7DA3"/>
    <w:rsid w:val="007F02B5"/>
    <w:rsid w:val="007F244C"/>
    <w:rsid w:val="007F2C38"/>
    <w:rsid w:val="007F32BE"/>
    <w:rsid w:val="007F3718"/>
    <w:rsid w:val="007F3A72"/>
    <w:rsid w:val="007F3F97"/>
    <w:rsid w:val="007F430D"/>
    <w:rsid w:val="007F4779"/>
    <w:rsid w:val="007F4DD7"/>
    <w:rsid w:val="007F5BD1"/>
    <w:rsid w:val="007F5C42"/>
    <w:rsid w:val="007F6079"/>
    <w:rsid w:val="007F6336"/>
    <w:rsid w:val="007F67D5"/>
    <w:rsid w:val="007F7567"/>
    <w:rsid w:val="007F7696"/>
    <w:rsid w:val="007F790D"/>
    <w:rsid w:val="007F7CA9"/>
    <w:rsid w:val="00800DA6"/>
    <w:rsid w:val="00801327"/>
    <w:rsid w:val="0080332B"/>
    <w:rsid w:val="00803BA6"/>
    <w:rsid w:val="00803D0E"/>
    <w:rsid w:val="0080486C"/>
    <w:rsid w:val="00805CC6"/>
    <w:rsid w:val="008068AF"/>
    <w:rsid w:val="0081077C"/>
    <w:rsid w:val="00810C2E"/>
    <w:rsid w:val="00810D65"/>
    <w:rsid w:val="00811513"/>
    <w:rsid w:val="00811941"/>
    <w:rsid w:val="00811B0F"/>
    <w:rsid w:val="008122E1"/>
    <w:rsid w:val="00812399"/>
    <w:rsid w:val="00812C1E"/>
    <w:rsid w:val="00812E5F"/>
    <w:rsid w:val="00812E79"/>
    <w:rsid w:val="00813399"/>
    <w:rsid w:val="00813804"/>
    <w:rsid w:val="00815A74"/>
    <w:rsid w:val="00816968"/>
    <w:rsid w:val="00816B5C"/>
    <w:rsid w:val="00816DF3"/>
    <w:rsid w:val="008200BB"/>
    <w:rsid w:val="008218DD"/>
    <w:rsid w:val="00821E27"/>
    <w:rsid w:val="0082211A"/>
    <w:rsid w:val="0082323D"/>
    <w:rsid w:val="0082403F"/>
    <w:rsid w:val="00824432"/>
    <w:rsid w:val="008251D3"/>
    <w:rsid w:val="00826E11"/>
    <w:rsid w:val="008274CC"/>
    <w:rsid w:val="0083148E"/>
    <w:rsid w:val="00832F97"/>
    <w:rsid w:val="0083391E"/>
    <w:rsid w:val="00833F6D"/>
    <w:rsid w:val="0083646B"/>
    <w:rsid w:val="00840727"/>
    <w:rsid w:val="00840A9F"/>
    <w:rsid w:val="008419BA"/>
    <w:rsid w:val="00841A81"/>
    <w:rsid w:val="008426B1"/>
    <w:rsid w:val="00842F8D"/>
    <w:rsid w:val="00843D91"/>
    <w:rsid w:val="00844909"/>
    <w:rsid w:val="008451B2"/>
    <w:rsid w:val="00845601"/>
    <w:rsid w:val="008458BB"/>
    <w:rsid w:val="008473D1"/>
    <w:rsid w:val="008476A4"/>
    <w:rsid w:val="00847874"/>
    <w:rsid w:val="00850438"/>
    <w:rsid w:val="00851750"/>
    <w:rsid w:val="00851B71"/>
    <w:rsid w:val="00852103"/>
    <w:rsid w:val="00852442"/>
    <w:rsid w:val="00852EB6"/>
    <w:rsid w:val="0085416B"/>
    <w:rsid w:val="008544FF"/>
    <w:rsid w:val="00854DAF"/>
    <w:rsid w:val="00855BE8"/>
    <w:rsid w:val="008569B7"/>
    <w:rsid w:val="00856E31"/>
    <w:rsid w:val="00857481"/>
    <w:rsid w:val="00857EFA"/>
    <w:rsid w:val="00860562"/>
    <w:rsid w:val="00860CC6"/>
    <w:rsid w:val="0086202E"/>
    <w:rsid w:val="00862117"/>
    <w:rsid w:val="00862496"/>
    <w:rsid w:val="00863500"/>
    <w:rsid w:val="00864CEB"/>
    <w:rsid w:val="00864FDB"/>
    <w:rsid w:val="0086626D"/>
    <w:rsid w:val="00866918"/>
    <w:rsid w:val="00866E86"/>
    <w:rsid w:val="008671DE"/>
    <w:rsid w:val="00867927"/>
    <w:rsid w:val="00870608"/>
    <w:rsid w:val="008712DE"/>
    <w:rsid w:val="00871563"/>
    <w:rsid w:val="00871704"/>
    <w:rsid w:val="00872328"/>
    <w:rsid w:val="00872A85"/>
    <w:rsid w:val="008746E5"/>
    <w:rsid w:val="008753F2"/>
    <w:rsid w:val="00875832"/>
    <w:rsid w:val="00875C3D"/>
    <w:rsid w:val="008770B5"/>
    <w:rsid w:val="00877149"/>
    <w:rsid w:val="00882CE7"/>
    <w:rsid w:val="008839CC"/>
    <w:rsid w:val="00884F9D"/>
    <w:rsid w:val="008857CC"/>
    <w:rsid w:val="00885FFE"/>
    <w:rsid w:val="00887114"/>
    <w:rsid w:val="00890A1E"/>
    <w:rsid w:val="00891D49"/>
    <w:rsid w:val="00892151"/>
    <w:rsid w:val="008924BC"/>
    <w:rsid w:val="008927B7"/>
    <w:rsid w:val="008936A6"/>
    <w:rsid w:val="0089390F"/>
    <w:rsid w:val="008945F8"/>
    <w:rsid w:val="00894BCE"/>
    <w:rsid w:val="00894EE5"/>
    <w:rsid w:val="00895975"/>
    <w:rsid w:val="00897943"/>
    <w:rsid w:val="00897B77"/>
    <w:rsid w:val="008A175A"/>
    <w:rsid w:val="008A2236"/>
    <w:rsid w:val="008A24AA"/>
    <w:rsid w:val="008A2738"/>
    <w:rsid w:val="008A27D6"/>
    <w:rsid w:val="008A3537"/>
    <w:rsid w:val="008A389F"/>
    <w:rsid w:val="008A525B"/>
    <w:rsid w:val="008A53A5"/>
    <w:rsid w:val="008A59B0"/>
    <w:rsid w:val="008A6658"/>
    <w:rsid w:val="008A6C58"/>
    <w:rsid w:val="008A6E7D"/>
    <w:rsid w:val="008A7494"/>
    <w:rsid w:val="008B115B"/>
    <w:rsid w:val="008B13C9"/>
    <w:rsid w:val="008B1D0F"/>
    <w:rsid w:val="008B1D49"/>
    <w:rsid w:val="008B1FD6"/>
    <w:rsid w:val="008B317E"/>
    <w:rsid w:val="008B3F59"/>
    <w:rsid w:val="008B40DB"/>
    <w:rsid w:val="008B4F49"/>
    <w:rsid w:val="008B5B13"/>
    <w:rsid w:val="008B6A0E"/>
    <w:rsid w:val="008B6B24"/>
    <w:rsid w:val="008B6B8F"/>
    <w:rsid w:val="008C07F2"/>
    <w:rsid w:val="008C1274"/>
    <w:rsid w:val="008C1FD6"/>
    <w:rsid w:val="008C246C"/>
    <w:rsid w:val="008C2BEC"/>
    <w:rsid w:val="008C2EDD"/>
    <w:rsid w:val="008C3CF4"/>
    <w:rsid w:val="008C4448"/>
    <w:rsid w:val="008C4949"/>
    <w:rsid w:val="008C4BF2"/>
    <w:rsid w:val="008C5082"/>
    <w:rsid w:val="008C574B"/>
    <w:rsid w:val="008C5C59"/>
    <w:rsid w:val="008D0DC8"/>
    <w:rsid w:val="008D1970"/>
    <w:rsid w:val="008D2564"/>
    <w:rsid w:val="008D264F"/>
    <w:rsid w:val="008D285D"/>
    <w:rsid w:val="008D2B9C"/>
    <w:rsid w:val="008D3D80"/>
    <w:rsid w:val="008D43C8"/>
    <w:rsid w:val="008D765B"/>
    <w:rsid w:val="008E02DE"/>
    <w:rsid w:val="008E211E"/>
    <w:rsid w:val="008E25DB"/>
    <w:rsid w:val="008E2ADD"/>
    <w:rsid w:val="008E2BA3"/>
    <w:rsid w:val="008E3E37"/>
    <w:rsid w:val="008E4F2C"/>
    <w:rsid w:val="008E5F51"/>
    <w:rsid w:val="008E6837"/>
    <w:rsid w:val="008E7AB1"/>
    <w:rsid w:val="008F2FF2"/>
    <w:rsid w:val="008F3011"/>
    <w:rsid w:val="008F3496"/>
    <w:rsid w:val="008F45F0"/>
    <w:rsid w:val="008F4736"/>
    <w:rsid w:val="008F6310"/>
    <w:rsid w:val="008F6A0D"/>
    <w:rsid w:val="008F7902"/>
    <w:rsid w:val="0090015F"/>
    <w:rsid w:val="009008C8"/>
    <w:rsid w:val="009010A8"/>
    <w:rsid w:val="009018C2"/>
    <w:rsid w:val="009019F9"/>
    <w:rsid w:val="00901ECD"/>
    <w:rsid w:val="009031FC"/>
    <w:rsid w:val="0090486B"/>
    <w:rsid w:val="00905A55"/>
    <w:rsid w:val="0090625B"/>
    <w:rsid w:val="00906D9A"/>
    <w:rsid w:val="00907967"/>
    <w:rsid w:val="00907E0A"/>
    <w:rsid w:val="00910048"/>
    <w:rsid w:val="0091271F"/>
    <w:rsid w:val="00913EEF"/>
    <w:rsid w:val="0091450C"/>
    <w:rsid w:val="00914A90"/>
    <w:rsid w:val="00915BE0"/>
    <w:rsid w:val="00916450"/>
    <w:rsid w:val="009169BA"/>
    <w:rsid w:val="0091713F"/>
    <w:rsid w:val="009179D6"/>
    <w:rsid w:val="00921BCD"/>
    <w:rsid w:val="00922EAA"/>
    <w:rsid w:val="00923670"/>
    <w:rsid w:val="00925653"/>
    <w:rsid w:val="00925B34"/>
    <w:rsid w:val="00925E5C"/>
    <w:rsid w:val="00930341"/>
    <w:rsid w:val="009312C5"/>
    <w:rsid w:val="00932810"/>
    <w:rsid w:val="0093283F"/>
    <w:rsid w:val="00933D7B"/>
    <w:rsid w:val="0093463C"/>
    <w:rsid w:val="00934B0E"/>
    <w:rsid w:val="00934C8B"/>
    <w:rsid w:val="009351EF"/>
    <w:rsid w:val="00935373"/>
    <w:rsid w:val="00935434"/>
    <w:rsid w:val="009362A9"/>
    <w:rsid w:val="0093709B"/>
    <w:rsid w:val="00937354"/>
    <w:rsid w:val="009408F8"/>
    <w:rsid w:val="0094114A"/>
    <w:rsid w:val="009414C1"/>
    <w:rsid w:val="009418E3"/>
    <w:rsid w:val="00941965"/>
    <w:rsid w:val="00941B02"/>
    <w:rsid w:val="00942CE1"/>
    <w:rsid w:val="00943FFD"/>
    <w:rsid w:val="00944F9E"/>
    <w:rsid w:val="00945634"/>
    <w:rsid w:val="0094580E"/>
    <w:rsid w:val="00946BD7"/>
    <w:rsid w:val="009471E1"/>
    <w:rsid w:val="00950248"/>
    <w:rsid w:val="00950EF3"/>
    <w:rsid w:val="00951AFB"/>
    <w:rsid w:val="00951E43"/>
    <w:rsid w:val="0095209A"/>
    <w:rsid w:val="009523FF"/>
    <w:rsid w:val="00952B12"/>
    <w:rsid w:val="0095307C"/>
    <w:rsid w:val="009537B6"/>
    <w:rsid w:val="009537ED"/>
    <w:rsid w:val="00953CA5"/>
    <w:rsid w:val="00953FD7"/>
    <w:rsid w:val="009545B1"/>
    <w:rsid w:val="00954E73"/>
    <w:rsid w:val="0096019C"/>
    <w:rsid w:val="0096051D"/>
    <w:rsid w:val="009608F3"/>
    <w:rsid w:val="00960B10"/>
    <w:rsid w:val="00960C5B"/>
    <w:rsid w:val="00960CFD"/>
    <w:rsid w:val="00962283"/>
    <w:rsid w:val="0096314C"/>
    <w:rsid w:val="009633E4"/>
    <w:rsid w:val="00963961"/>
    <w:rsid w:val="00964BC6"/>
    <w:rsid w:val="00965896"/>
    <w:rsid w:val="00965932"/>
    <w:rsid w:val="009668F4"/>
    <w:rsid w:val="00966C8C"/>
    <w:rsid w:val="00967467"/>
    <w:rsid w:val="009674D4"/>
    <w:rsid w:val="00967994"/>
    <w:rsid w:val="00970AE0"/>
    <w:rsid w:val="00970FF1"/>
    <w:rsid w:val="0097250C"/>
    <w:rsid w:val="009730D7"/>
    <w:rsid w:val="009741B5"/>
    <w:rsid w:val="009742D8"/>
    <w:rsid w:val="00974E9B"/>
    <w:rsid w:val="00976689"/>
    <w:rsid w:val="00976B57"/>
    <w:rsid w:val="00980001"/>
    <w:rsid w:val="00980AB6"/>
    <w:rsid w:val="0098115F"/>
    <w:rsid w:val="0098152E"/>
    <w:rsid w:val="0098190F"/>
    <w:rsid w:val="0098199F"/>
    <w:rsid w:val="00982906"/>
    <w:rsid w:val="009829A9"/>
    <w:rsid w:val="00983287"/>
    <w:rsid w:val="00983E68"/>
    <w:rsid w:val="009846C0"/>
    <w:rsid w:val="009848B3"/>
    <w:rsid w:val="00984B6A"/>
    <w:rsid w:val="00984FC8"/>
    <w:rsid w:val="009851F0"/>
    <w:rsid w:val="00986189"/>
    <w:rsid w:val="00986BB6"/>
    <w:rsid w:val="009876A5"/>
    <w:rsid w:val="00987DE9"/>
    <w:rsid w:val="00990E8E"/>
    <w:rsid w:val="00991010"/>
    <w:rsid w:val="00991094"/>
    <w:rsid w:val="009925C8"/>
    <w:rsid w:val="009929AB"/>
    <w:rsid w:val="009950CF"/>
    <w:rsid w:val="00996047"/>
    <w:rsid w:val="00996080"/>
    <w:rsid w:val="00996B82"/>
    <w:rsid w:val="00997942"/>
    <w:rsid w:val="009A0907"/>
    <w:rsid w:val="009A0A1C"/>
    <w:rsid w:val="009A1DF5"/>
    <w:rsid w:val="009A1E43"/>
    <w:rsid w:val="009A376B"/>
    <w:rsid w:val="009A3B09"/>
    <w:rsid w:val="009A3C48"/>
    <w:rsid w:val="009A4C55"/>
    <w:rsid w:val="009A4ED0"/>
    <w:rsid w:val="009A641B"/>
    <w:rsid w:val="009A64F2"/>
    <w:rsid w:val="009A7925"/>
    <w:rsid w:val="009B0EF0"/>
    <w:rsid w:val="009B11E3"/>
    <w:rsid w:val="009B1B52"/>
    <w:rsid w:val="009B3BEC"/>
    <w:rsid w:val="009B4DDE"/>
    <w:rsid w:val="009B4FA6"/>
    <w:rsid w:val="009B6172"/>
    <w:rsid w:val="009B7CB9"/>
    <w:rsid w:val="009C02C3"/>
    <w:rsid w:val="009C0FA2"/>
    <w:rsid w:val="009C1C11"/>
    <w:rsid w:val="009C27F4"/>
    <w:rsid w:val="009C3ACD"/>
    <w:rsid w:val="009C547C"/>
    <w:rsid w:val="009C611F"/>
    <w:rsid w:val="009C6131"/>
    <w:rsid w:val="009C6E0C"/>
    <w:rsid w:val="009D083D"/>
    <w:rsid w:val="009D2477"/>
    <w:rsid w:val="009D26AD"/>
    <w:rsid w:val="009D2868"/>
    <w:rsid w:val="009D2957"/>
    <w:rsid w:val="009D2E35"/>
    <w:rsid w:val="009D49AE"/>
    <w:rsid w:val="009D49F6"/>
    <w:rsid w:val="009D553A"/>
    <w:rsid w:val="009D5745"/>
    <w:rsid w:val="009D606E"/>
    <w:rsid w:val="009D6408"/>
    <w:rsid w:val="009E3706"/>
    <w:rsid w:val="009E3966"/>
    <w:rsid w:val="009E3C7D"/>
    <w:rsid w:val="009E40DE"/>
    <w:rsid w:val="009E593C"/>
    <w:rsid w:val="009E5E16"/>
    <w:rsid w:val="009E6160"/>
    <w:rsid w:val="009E63B1"/>
    <w:rsid w:val="009E6435"/>
    <w:rsid w:val="009E7578"/>
    <w:rsid w:val="009F0A8C"/>
    <w:rsid w:val="009F0E59"/>
    <w:rsid w:val="009F2750"/>
    <w:rsid w:val="009F29CC"/>
    <w:rsid w:val="009F2A19"/>
    <w:rsid w:val="009F2C54"/>
    <w:rsid w:val="009F35B4"/>
    <w:rsid w:val="009F5F89"/>
    <w:rsid w:val="009F65A0"/>
    <w:rsid w:val="009F6A65"/>
    <w:rsid w:val="009F7A17"/>
    <w:rsid w:val="009F7B94"/>
    <w:rsid w:val="009F7C60"/>
    <w:rsid w:val="00A0023B"/>
    <w:rsid w:val="00A00930"/>
    <w:rsid w:val="00A0096E"/>
    <w:rsid w:val="00A00B02"/>
    <w:rsid w:val="00A00B43"/>
    <w:rsid w:val="00A00E05"/>
    <w:rsid w:val="00A01289"/>
    <w:rsid w:val="00A015E1"/>
    <w:rsid w:val="00A01DE7"/>
    <w:rsid w:val="00A02383"/>
    <w:rsid w:val="00A028C4"/>
    <w:rsid w:val="00A03085"/>
    <w:rsid w:val="00A03AED"/>
    <w:rsid w:val="00A03F97"/>
    <w:rsid w:val="00A0403B"/>
    <w:rsid w:val="00A04889"/>
    <w:rsid w:val="00A04BD8"/>
    <w:rsid w:val="00A06F20"/>
    <w:rsid w:val="00A07358"/>
    <w:rsid w:val="00A110D0"/>
    <w:rsid w:val="00A1188A"/>
    <w:rsid w:val="00A118A0"/>
    <w:rsid w:val="00A121B1"/>
    <w:rsid w:val="00A126E6"/>
    <w:rsid w:val="00A1297D"/>
    <w:rsid w:val="00A12DB0"/>
    <w:rsid w:val="00A13826"/>
    <w:rsid w:val="00A1394D"/>
    <w:rsid w:val="00A13D43"/>
    <w:rsid w:val="00A14E60"/>
    <w:rsid w:val="00A15371"/>
    <w:rsid w:val="00A1628B"/>
    <w:rsid w:val="00A16CF6"/>
    <w:rsid w:val="00A17E3D"/>
    <w:rsid w:val="00A20E43"/>
    <w:rsid w:val="00A2269B"/>
    <w:rsid w:val="00A22B68"/>
    <w:rsid w:val="00A22E81"/>
    <w:rsid w:val="00A24378"/>
    <w:rsid w:val="00A247AB"/>
    <w:rsid w:val="00A24867"/>
    <w:rsid w:val="00A2660D"/>
    <w:rsid w:val="00A274A3"/>
    <w:rsid w:val="00A27942"/>
    <w:rsid w:val="00A27DBC"/>
    <w:rsid w:val="00A27FB0"/>
    <w:rsid w:val="00A303BC"/>
    <w:rsid w:val="00A323B1"/>
    <w:rsid w:val="00A33404"/>
    <w:rsid w:val="00A33C46"/>
    <w:rsid w:val="00A34B04"/>
    <w:rsid w:val="00A35365"/>
    <w:rsid w:val="00A35FE5"/>
    <w:rsid w:val="00A37749"/>
    <w:rsid w:val="00A37D17"/>
    <w:rsid w:val="00A40254"/>
    <w:rsid w:val="00A40838"/>
    <w:rsid w:val="00A40D02"/>
    <w:rsid w:val="00A4135E"/>
    <w:rsid w:val="00A41628"/>
    <w:rsid w:val="00A41BA3"/>
    <w:rsid w:val="00A4286F"/>
    <w:rsid w:val="00A4358E"/>
    <w:rsid w:val="00A44F13"/>
    <w:rsid w:val="00A4504F"/>
    <w:rsid w:val="00A45D5A"/>
    <w:rsid w:val="00A46F32"/>
    <w:rsid w:val="00A5130A"/>
    <w:rsid w:val="00A5172B"/>
    <w:rsid w:val="00A52229"/>
    <w:rsid w:val="00A523ED"/>
    <w:rsid w:val="00A52873"/>
    <w:rsid w:val="00A53A26"/>
    <w:rsid w:val="00A53DC4"/>
    <w:rsid w:val="00A540E0"/>
    <w:rsid w:val="00A5425A"/>
    <w:rsid w:val="00A5451D"/>
    <w:rsid w:val="00A55DB7"/>
    <w:rsid w:val="00A57165"/>
    <w:rsid w:val="00A57D6A"/>
    <w:rsid w:val="00A57DDD"/>
    <w:rsid w:val="00A60D78"/>
    <w:rsid w:val="00A60E31"/>
    <w:rsid w:val="00A62357"/>
    <w:rsid w:val="00A62AFE"/>
    <w:rsid w:val="00A63EF9"/>
    <w:rsid w:val="00A644AF"/>
    <w:rsid w:val="00A64CCD"/>
    <w:rsid w:val="00A66122"/>
    <w:rsid w:val="00A66AB2"/>
    <w:rsid w:val="00A66EA8"/>
    <w:rsid w:val="00A6791B"/>
    <w:rsid w:val="00A67B73"/>
    <w:rsid w:val="00A67DA8"/>
    <w:rsid w:val="00A70BF7"/>
    <w:rsid w:val="00A70FC2"/>
    <w:rsid w:val="00A72124"/>
    <w:rsid w:val="00A73CCE"/>
    <w:rsid w:val="00A73CE9"/>
    <w:rsid w:val="00A742E3"/>
    <w:rsid w:val="00A74602"/>
    <w:rsid w:val="00A74DC1"/>
    <w:rsid w:val="00A7549B"/>
    <w:rsid w:val="00A757E7"/>
    <w:rsid w:val="00A76BE2"/>
    <w:rsid w:val="00A77A38"/>
    <w:rsid w:val="00A77F32"/>
    <w:rsid w:val="00A808B5"/>
    <w:rsid w:val="00A8141D"/>
    <w:rsid w:val="00A81518"/>
    <w:rsid w:val="00A81FFE"/>
    <w:rsid w:val="00A8230C"/>
    <w:rsid w:val="00A838A2"/>
    <w:rsid w:val="00A8413B"/>
    <w:rsid w:val="00A84343"/>
    <w:rsid w:val="00A84390"/>
    <w:rsid w:val="00A8451A"/>
    <w:rsid w:val="00A84E18"/>
    <w:rsid w:val="00A8501F"/>
    <w:rsid w:val="00A852D0"/>
    <w:rsid w:val="00A85DEE"/>
    <w:rsid w:val="00A85EC2"/>
    <w:rsid w:val="00A8681E"/>
    <w:rsid w:val="00A90A3B"/>
    <w:rsid w:val="00A9251A"/>
    <w:rsid w:val="00A92FFA"/>
    <w:rsid w:val="00A93C2B"/>
    <w:rsid w:val="00A94F02"/>
    <w:rsid w:val="00A95666"/>
    <w:rsid w:val="00A95719"/>
    <w:rsid w:val="00A95E69"/>
    <w:rsid w:val="00A96364"/>
    <w:rsid w:val="00A96C49"/>
    <w:rsid w:val="00A978B8"/>
    <w:rsid w:val="00AA04EA"/>
    <w:rsid w:val="00AA1058"/>
    <w:rsid w:val="00AA1109"/>
    <w:rsid w:val="00AA13C7"/>
    <w:rsid w:val="00AA23DA"/>
    <w:rsid w:val="00AA3AAB"/>
    <w:rsid w:val="00AA3E4E"/>
    <w:rsid w:val="00AA48CF"/>
    <w:rsid w:val="00AA5607"/>
    <w:rsid w:val="00AA5707"/>
    <w:rsid w:val="00AA6195"/>
    <w:rsid w:val="00AA6DC2"/>
    <w:rsid w:val="00AA6FE7"/>
    <w:rsid w:val="00AA7E44"/>
    <w:rsid w:val="00AB093A"/>
    <w:rsid w:val="00AB2D63"/>
    <w:rsid w:val="00AB3D46"/>
    <w:rsid w:val="00AB4CCE"/>
    <w:rsid w:val="00AB5A78"/>
    <w:rsid w:val="00AB6366"/>
    <w:rsid w:val="00AB680F"/>
    <w:rsid w:val="00AB6848"/>
    <w:rsid w:val="00AB6E7B"/>
    <w:rsid w:val="00AB751F"/>
    <w:rsid w:val="00AB7D2A"/>
    <w:rsid w:val="00AC0AFF"/>
    <w:rsid w:val="00AC1291"/>
    <w:rsid w:val="00AC14E2"/>
    <w:rsid w:val="00AC1C17"/>
    <w:rsid w:val="00AC1D1D"/>
    <w:rsid w:val="00AC2B79"/>
    <w:rsid w:val="00AC3E38"/>
    <w:rsid w:val="00AC488F"/>
    <w:rsid w:val="00AC546D"/>
    <w:rsid w:val="00AC59B3"/>
    <w:rsid w:val="00AC5C28"/>
    <w:rsid w:val="00AC5CFC"/>
    <w:rsid w:val="00AC63F4"/>
    <w:rsid w:val="00AC647B"/>
    <w:rsid w:val="00AC72C9"/>
    <w:rsid w:val="00AC7E2D"/>
    <w:rsid w:val="00AD2054"/>
    <w:rsid w:val="00AD2655"/>
    <w:rsid w:val="00AD315E"/>
    <w:rsid w:val="00AD33B5"/>
    <w:rsid w:val="00AD3424"/>
    <w:rsid w:val="00AD3612"/>
    <w:rsid w:val="00AD36FC"/>
    <w:rsid w:val="00AD3FC9"/>
    <w:rsid w:val="00AD42EE"/>
    <w:rsid w:val="00AD4429"/>
    <w:rsid w:val="00AD4D37"/>
    <w:rsid w:val="00AD4FD9"/>
    <w:rsid w:val="00AD5297"/>
    <w:rsid w:val="00AD5593"/>
    <w:rsid w:val="00AD67FB"/>
    <w:rsid w:val="00AD6824"/>
    <w:rsid w:val="00AD6DEB"/>
    <w:rsid w:val="00AD6FBC"/>
    <w:rsid w:val="00AD73D7"/>
    <w:rsid w:val="00AE01C6"/>
    <w:rsid w:val="00AE07C9"/>
    <w:rsid w:val="00AE2BD5"/>
    <w:rsid w:val="00AE2BF7"/>
    <w:rsid w:val="00AE2D1B"/>
    <w:rsid w:val="00AE410F"/>
    <w:rsid w:val="00AE4D5E"/>
    <w:rsid w:val="00AE5A92"/>
    <w:rsid w:val="00AE5E87"/>
    <w:rsid w:val="00AE642E"/>
    <w:rsid w:val="00AE6A44"/>
    <w:rsid w:val="00AE6D9D"/>
    <w:rsid w:val="00AE7AF5"/>
    <w:rsid w:val="00AF0D71"/>
    <w:rsid w:val="00AF1129"/>
    <w:rsid w:val="00AF15B3"/>
    <w:rsid w:val="00AF160E"/>
    <w:rsid w:val="00AF3661"/>
    <w:rsid w:val="00AF3B9E"/>
    <w:rsid w:val="00AF3F30"/>
    <w:rsid w:val="00AF4577"/>
    <w:rsid w:val="00AF505B"/>
    <w:rsid w:val="00AF5686"/>
    <w:rsid w:val="00AF574A"/>
    <w:rsid w:val="00AF6B93"/>
    <w:rsid w:val="00AF6C3E"/>
    <w:rsid w:val="00AF6FEA"/>
    <w:rsid w:val="00B00544"/>
    <w:rsid w:val="00B0084C"/>
    <w:rsid w:val="00B00DFB"/>
    <w:rsid w:val="00B00E30"/>
    <w:rsid w:val="00B0128C"/>
    <w:rsid w:val="00B04FFF"/>
    <w:rsid w:val="00B05B03"/>
    <w:rsid w:val="00B05B0F"/>
    <w:rsid w:val="00B05F35"/>
    <w:rsid w:val="00B07516"/>
    <w:rsid w:val="00B07A0A"/>
    <w:rsid w:val="00B104B7"/>
    <w:rsid w:val="00B105E2"/>
    <w:rsid w:val="00B11EC0"/>
    <w:rsid w:val="00B120E5"/>
    <w:rsid w:val="00B128DE"/>
    <w:rsid w:val="00B14A18"/>
    <w:rsid w:val="00B14CAA"/>
    <w:rsid w:val="00B153F1"/>
    <w:rsid w:val="00B15581"/>
    <w:rsid w:val="00B15CF6"/>
    <w:rsid w:val="00B16336"/>
    <w:rsid w:val="00B16A09"/>
    <w:rsid w:val="00B17A5C"/>
    <w:rsid w:val="00B17FA8"/>
    <w:rsid w:val="00B20448"/>
    <w:rsid w:val="00B207FD"/>
    <w:rsid w:val="00B20BD7"/>
    <w:rsid w:val="00B20C7F"/>
    <w:rsid w:val="00B2112C"/>
    <w:rsid w:val="00B21652"/>
    <w:rsid w:val="00B217CD"/>
    <w:rsid w:val="00B218AF"/>
    <w:rsid w:val="00B21B71"/>
    <w:rsid w:val="00B21BA3"/>
    <w:rsid w:val="00B223A0"/>
    <w:rsid w:val="00B23A68"/>
    <w:rsid w:val="00B242FE"/>
    <w:rsid w:val="00B24640"/>
    <w:rsid w:val="00B2686E"/>
    <w:rsid w:val="00B26CE1"/>
    <w:rsid w:val="00B2714B"/>
    <w:rsid w:val="00B306F5"/>
    <w:rsid w:val="00B30A45"/>
    <w:rsid w:val="00B30E48"/>
    <w:rsid w:val="00B3135F"/>
    <w:rsid w:val="00B3137C"/>
    <w:rsid w:val="00B320DF"/>
    <w:rsid w:val="00B32110"/>
    <w:rsid w:val="00B336EE"/>
    <w:rsid w:val="00B3388A"/>
    <w:rsid w:val="00B34BFB"/>
    <w:rsid w:val="00B34CA1"/>
    <w:rsid w:val="00B35182"/>
    <w:rsid w:val="00B36E97"/>
    <w:rsid w:val="00B41711"/>
    <w:rsid w:val="00B41AA3"/>
    <w:rsid w:val="00B42643"/>
    <w:rsid w:val="00B446FE"/>
    <w:rsid w:val="00B44DC2"/>
    <w:rsid w:val="00B4544B"/>
    <w:rsid w:val="00B45682"/>
    <w:rsid w:val="00B463B4"/>
    <w:rsid w:val="00B47226"/>
    <w:rsid w:val="00B47516"/>
    <w:rsid w:val="00B47539"/>
    <w:rsid w:val="00B47E98"/>
    <w:rsid w:val="00B50221"/>
    <w:rsid w:val="00B504F1"/>
    <w:rsid w:val="00B51AFF"/>
    <w:rsid w:val="00B51EE9"/>
    <w:rsid w:val="00B52494"/>
    <w:rsid w:val="00B52A2E"/>
    <w:rsid w:val="00B52E53"/>
    <w:rsid w:val="00B5353B"/>
    <w:rsid w:val="00B5420C"/>
    <w:rsid w:val="00B56EA1"/>
    <w:rsid w:val="00B57905"/>
    <w:rsid w:val="00B57A98"/>
    <w:rsid w:val="00B609D6"/>
    <w:rsid w:val="00B60A07"/>
    <w:rsid w:val="00B60EF0"/>
    <w:rsid w:val="00B61065"/>
    <w:rsid w:val="00B61A6D"/>
    <w:rsid w:val="00B626F5"/>
    <w:rsid w:val="00B62F87"/>
    <w:rsid w:val="00B64C3F"/>
    <w:rsid w:val="00B6547A"/>
    <w:rsid w:val="00B65F60"/>
    <w:rsid w:val="00B66D5C"/>
    <w:rsid w:val="00B67FFC"/>
    <w:rsid w:val="00B711CC"/>
    <w:rsid w:val="00B7148F"/>
    <w:rsid w:val="00B74F32"/>
    <w:rsid w:val="00B75033"/>
    <w:rsid w:val="00B7568C"/>
    <w:rsid w:val="00B758BB"/>
    <w:rsid w:val="00B76654"/>
    <w:rsid w:val="00B766A4"/>
    <w:rsid w:val="00B76DFD"/>
    <w:rsid w:val="00B77E5D"/>
    <w:rsid w:val="00B80E70"/>
    <w:rsid w:val="00B8164C"/>
    <w:rsid w:val="00B8401C"/>
    <w:rsid w:val="00B840C6"/>
    <w:rsid w:val="00B84CDA"/>
    <w:rsid w:val="00B84DE8"/>
    <w:rsid w:val="00B855CF"/>
    <w:rsid w:val="00B85D65"/>
    <w:rsid w:val="00B86E49"/>
    <w:rsid w:val="00B87194"/>
    <w:rsid w:val="00B876A0"/>
    <w:rsid w:val="00B87A81"/>
    <w:rsid w:val="00B87BDF"/>
    <w:rsid w:val="00B90DA9"/>
    <w:rsid w:val="00B91C9B"/>
    <w:rsid w:val="00B923AC"/>
    <w:rsid w:val="00B928AA"/>
    <w:rsid w:val="00B931E0"/>
    <w:rsid w:val="00B94201"/>
    <w:rsid w:val="00B96836"/>
    <w:rsid w:val="00B968AC"/>
    <w:rsid w:val="00B96D81"/>
    <w:rsid w:val="00B9704C"/>
    <w:rsid w:val="00B972DE"/>
    <w:rsid w:val="00B97ED4"/>
    <w:rsid w:val="00BA06FB"/>
    <w:rsid w:val="00BA0C66"/>
    <w:rsid w:val="00BA0CD0"/>
    <w:rsid w:val="00BA0D99"/>
    <w:rsid w:val="00BA1001"/>
    <w:rsid w:val="00BA3D20"/>
    <w:rsid w:val="00BA3E65"/>
    <w:rsid w:val="00BA4195"/>
    <w:rsid w:val="00BA44C2"/>
    <w:rsid w:val="00BA4509"/>
    <w:rsid w:val="00BA4965"/>
    <w:rsid w:val="00BA5B38"/>
    <w:rsid w:val="00BA6194"/>
    <w:rsid w:val="00BA67B8"/>
    <w:rsid w:val="00BA70D0"/>
    <w:rsid w:val="00BA7631"/>
    <w:rsid w:val="00BB1111"/>
    <w:rsid w:val="00BB12B3"/>
    <w:rsid w:val="00BB1815"/>
    <w:rsid w:val="00BB20F9"/>
    <w:rsid w:val="00BB2306"/>
    <w:rsid w:val="00BB2A70"/>
    <w:rsid w:val="00BB3409"/>
    <w:rsid w:val="00BB435F"/>
    <w:rsid w:val="00BB57FF"/>
    <w:rsid w:val="00BB6857"/>
    <w:rsid w:val="00BB70FB"/>
    <w:rsid w:val="00BB7904"/>
    <w:rsid w:val="00BC111E"/>
    <w:rsid w:val="00BC1634"/>
    <w:rsid w:val="00BC2515"/>
    <w:rsid w:val="00BC27D4"/>
    <w:rsid w:val="00BC29D3"/>
    <w:rsid w:val="00BC2A92"/>
    <w:rsid w:val="00BC3DF0"/>
    <w:rsid w:val="00BC503C"/>
    <w:rsid w:val="00BC7BA5"/>
    <w:rsid w:val="00BD035D"/>
    <w:rsid w:val="00BD0420"/>
    <w:rsid w:val="00BD0618"/>
    <w:rsid w:val="00BD0C3D"/>
    <w:rsid w:val="00BD278A"/>
    <w:rsid w:val="00BD287F"/>
    <w:rsid w:val="00BD32F9"/>
    <w:rsid w:val="00BD3C70"/>
    <w:rsid w:val="00BD3EE3"/>
    <w:rsid w:val="00BD4002"/>
    <w:rsid w:val="00BD414C"/>
    <w:rsid w:val="00BD4D59"/>
    <w:rsid w:val="00BD5A1E"/>
    <w:rsid w:val="00BD5CFB"/>
    <w:rsid w:val="00BD617C"/>
    <w:rsid w:val="00BD717F"/>
    <w:rsid w:val="00BD79EF"/>
    <w:rsid w:val="00BE06C3"/>
    <w:rsid w:val="00BE0947"/>
    <w:rsid w:val="00BE1542"/>
    <w:rsid w:val="00BE18FC"/>
    <w:rsid w:val="00BE1BD5"/>
    <w:rsid w:val="00BE1D26"/>
    <w:rsid w:val="00BE1F12"/>
    <w:rsid w:val="00BE22F1"/>
    <w:rsid w:val="00BE2EA4"/>
    <w:rsid w:val="00BE339F"/>
    <w:rsid w:val="00BE3798"/>
    <w:rsid w:val="00BE4ABF"/>
    <w:rsid w:val="00BE4B42"/>
    <w:rsid w:val="00BE50C4"/>
    <w:rsid w:val="00BE5965"/>
    <w:rsid w:val="00BE5F70"/>
    <w:rsid w:val="00BE6450"/>
    <w:rsid w:val="00BE6E7F"/>
    <w:rsid w:val="00BE7BE5"/>
    <w:rsid w:val="00BF04C5"/>
    <w:rsid w:val="00BF071F"/>
    <w:rsid w:val="00BF0A7C"/>
    <w:rsid w:val="00BF120A"/>
    <w:rsid w:val="00BF1EBF"/>
    <w:rsid w:val="00BF2493"/>
    <w:rsid w:val="00BF3491"/>
    <w:rsid w:val="00BF3A67"/>
    <w:rsid w:val="00BF5357"/>
    <w:rsid w:val="00BF648A"/>
    <w:rsid w:val="00BF6FE8"/>
    <w:rsid w:val="00C00BE3"/>
    <w:rsid w:val="00C0119B"/>
    <w:rsid w:val="00C0371F"/>
    <w:rsid w:val="00C03B6A"/>
    <w:rsid w:val="00C03CD4"/>
    <w:rsid w:val="00C04C4F"/>
    <w:rsid w:val="00C05802"/>
    <w:rsid w:val="00C06169"/>
    <w:rsid w:val="00C061EB"/>
    <w:rsid w:val="00C06B87"/>
    <w:rsid w:val="00C11234"/>
    <w:rsid w:val="00C11D68"/>
    <w:rsid w:val="00C122D0"/>
    <w:rsid w:val="00C1371B"/>
    <w:rsid w:val="00C13E93"/>
    <w:rsid w:val="00C13EC5"/>
    <w:rsid w:val="00C154C9"/>
    <w:rsid w:val="00C16994"/>
    <w:rsid w:val="00C16B59"/>
    <w:rsid w:val="00C171B1"/>
    <w:rsid w:val="00C17A31"/>
    <w:rsid w:val="00C2050A"/>
    <w:rsid w:val="00C20BA3"/>
    <w:rsid w:val="00C2358D"/>
    <w:rsid w:val="00C24475"/>
    <w:rsid w:val="00C244EE"/>
    <w:rsid w:val="00C24B01"/>
    <w:rsid w:val="00C25548"/>
    <w:rsid w:val="00C25AA7"/>
    <w:rsid w:val="00C27481"/>
    <w:rsid w:val="00C275F9"/>
    <w:rsid w:val="00C305D1"/>
    <w:rsid w:val="00C3102D"/>
    <w:rsid w:val="00C31333"/>
    <w:rsid w:val="00C32474"/>
    <w:rsid w:val="00C33239"/>
    <w:rsid w:val="00C3372A"/>
    <w:rsid w:val="00C34460"/>
    <w:rsid w:val="00C349D2"/>
    <w:rsid w:val="00C34C24"/>
    <w:rsid w:val="00C35823"/>
    <w:rsid w:val="00C35A97"/>
    <w:rsid w:val="00C35B4E"/>
    <w:rsid w:val="00C37E4E"/>
    <w:rsid w:val="00C4039F"/>
    <w:rsid w:val="00C407BE"/>
    <w:rsid w:val="00C40FC0"/>
    <w:rsid w:val="00C4199A"/>
    <w:rsid w:val="00C41AEA"/>
    <w:rsid w:val="00C42413"/>
    <w:rsid w:val="00C42EC8"/>
    <w:rsid w:val="00C42F82"/>
    <w:rsid w:val="00C43E7F"/>
    <w:rsid w:val="00C441B5"/>
    <w:rsid w:val="00C45918"/>
    <w:rsid w:val="00C4662E"/>
    <w:rsid w:val="00C47072"/>
    <w:rsid w:val="00C4767D"/>
    <w:rsid w:val="00C50940"/>
    <w:rsid w:val="00C50AE6"/>
    <w:rsid w:val="00C510D4"/>
    <w:rsid w:val="00C52494"/>
    <w:rsid w:val="00C52C39"/>
    <w:rsid w:val="00C531F9"/>
    <w:rsid w:val="00C546E7"/>
    <w:rsid w:val="00C5527D"/>
    <w:rsid w:val="00C56287"/>
    <w:rsid w:val="00C57266"/>
    <w:rsid w:val="00C57513"/>
    <w:rsid w:val="00C57706"/>
    <w:rsid w:val="00C61504"/>
    <w:rsid w:val="00C61698"/>
    <w:rsid w:val="00C61E47"/>
    <w:rsid w:val="00C6245D"/>
    <w:rsid w:val="00C626E5"/>
    <w:rsid w:val="00C62D19"/>
    <w:rsid w:val="00C63565"/>
    <w:rsid w:val="00C63D4A"/>
    <w:rsid w:val="00C6495E"/>
    <w:rsid w:val="00C65217"/>
    <w:rsid w:val="00C656DF"/>
    <w:rsid w:val="00C66289"/>
    <w:rsid w:val="00C66B4B"/>
    <w:rsid w:val="00C66CC6"/>
    <w:rsid w:val="00C705B5"/>
    <w:rsid w:val="00C71668"/>
    <w:rsid w:val="00C7183B"/>
    <w:rsid w:val="00C72A39"/>
    <w:rsid w:val="00C7314F"/>
    <w:rsid w:val="00C7368F"/>
    <w:rsid w:val="00C75C85"/>
    <w:rsid w:val="00C75DB4"/>
    <w:rsid w:val="00C761F1"/>
    <w:rsid w:val="00C765BC"/>
    <w:rsid w:val="00C76DAF"/>
    <w:rsid w:val="00C7710B"/>
    <w:rsid w:val="00C808B3"/>
    <w:rsid w:val="00C80DC6"/>
    <w:rsid w:val="00C8261D"/>
    <w:rsid w:val="00C828C2"/>
    <w:rsid w:val="00C82FB2"/>
    <w:rsid w:val="00C82FE1"/>
    <w:rsid w:val="00C84437"/>
    <w:rsid w:val="00C856B9"/>
    <w:rsid w:val="00C85823"/>
    <w:rsid w:val="00C85F10"/>
    <w:rsid w:val="00C86B88"/>
    <w:rsid w:val="00C86E97"/>
    <w:rsid w:val="00C873EF"/>
    <w:rsid w:val="00C91EF6"/>
    <w:rsid w:val="00C920FC"/>
    <w:rsid w:val="00C925D1"/>
    <w:rsid w:val="00C92D09"/>
    <w:rsid w:val="00C92D22"/>
    <w:rsid w:val="00C93209"/>
    <w:rsid w:val="00C932C1"/>
    <w:rsid w:val="00C932D4"/>
    <w:rsid w:val="00C93974"/>
    <w:rsid w:val="00C93DD6"/>
    <w:rsid w:val="00C94F56"/>
    <w:rsid w:val="00C9547C"/>
    <w:rsid w:val="00C966A5"/>
    <w:rsid w:val="00C96E2C"/>
    <w:rsid w:val="00C96E46"/>
    <w:rsid w:val="00C96FD7"/>
    <w:rsid w:val="00C972AC"/>
    <w:rsid w:val="00C97862"/>
    <w:rsid w:val="00CA0EFD"/>
    <w:rsid w:val="00CA13DA"/>
    <w:rsid w:val="00CA21F9"/>
    <w:rsid w:val="00CA2BD8"/>
    <w:rsid w:val="00CA3556"/>
    <w:rsid w:val="00CA44E6"/>
    <w:rsid w:val="00CA48B5"/>
    <w:rsid w:val="00CA5B46"/>
    <w:rsid w:val="00CA5BA0"/>
    <w:rsid w:val="00CA65B0"/>
    <w:rsid w:val="00CA7268"/>
    <w:rsid w:val="00CB0C81"/>
    <w:rsid w:val="00CB1055"/>
    <w:rsid w:val="00CB2149"/>
    <w:rsid w:val="00CB2ED7"/>
    <w:rsid w:val="00CB3133"/>
    <w:rsid w:val="00CB414F"/>
    <w:rsid w:val="00CB4CEB"/>
    <w:rsid w:val="00CB55EE"/>
    <w:rsid w:val="00CB5685"/>
    <w:rsid w:val="00CB63CF"/>
    <w:rsid w:val="00CC07E9"/>
    <w:rsid w:val="00CC16AF"/>
    <w:rsid w:val="00CC18AB"/>
    <w:rsid w:val="00CC361B"/>
    <w:rsid w:val="00CC3CCD"/>
    <w:rsid w:val="00CC41F0"/>
    <w:rsid w:val="00CC46A1"/>
    <w:rsid w:val="00CC496A"/>
    <w:rsid w:val="00CC4A96"/>
    <w:rsid w:val="00CC5A70"/>
    <w:rsid w:val="00CC6178"/>
    <w:rsid w:val="00CC6658"/>
    <w:rsid w:val="00CC6D7F"/>
    <w:rsid w:val="00CC78CF"/>
    <w:rsid w:val="00CD195F"/>
    <w:rsid w:val="00CD1C1E"/>
    <w:rsid w:val="00CD3880"/>
    <w:rsid w:val="00CD3C5C"/>
    <w:rsid w:val="00CD59A4"/>
    <w:rsid w:val="00CD6002"/>
    <w:rsid w:val="00CD76F3"/>
    <w:rsid w:val="00CD7754"/>
    <w:rsid w:val="00CD7B30"/>
    <w:rsid w:val="00CE025A"/>
    <w:rsid w:val="00CE082F"/>
    <w:rsid w:val="00CE0852"/>
    <w:rsid w:val="00CE14F2"/>
    <w:rsid w:val="00CE1EDE"/>
    <w:rsid w:val="00CE1F64"/>
    <w:rsid w:val="00CE274A"/>
    <w:rsid w:val="00CE2E67"/>
    <w:rsid w:val="00CE3075"/>
    <w:rsid w:val="00CE32E7"/>
    <w:rsid w:val="00CE3900"/>
    <w:rsid w:val="00CE3A33"/>
    <w:rsid w:val="00CE3DF0"/>
    <w:rsid w:val="00CE4034"/>
    <w:rsid w:val="00CE4CC6"/>
    <w:rsid w:val="00CE4CD4"/>
    <w:rsid w:val="00CE4EEA"/>
    <w:rsid w:val="00CE50A1"/>
    <w:rsid w:val="00CE5378"/>
    <w:rsid w:val="00CE53DC"/>
    <w:rsid w:val="00CE5ADC"/>
    <w:rsid w:val="00CE6432"/>
    <w:rsid w:val="00CE6E66"/>
    <w:rsid w:val="00CE74E4"/>
    <w:rsid w:val="00CF038C"/>
    <w:rsid w:val="00CF03B9"/>
    <w:rsid w:val="00CF0F63"/>
    <w:rsid w:val="00CF2018"/>
    <w:rsid w:val="00CF35A8"/>
    <w:rsid w:val="00CF39FC"/>
    <w:rsid w:val="00CF457B"/>
    <w:rsid w:val="00CF74AD"/>
    <w:rsid w:val="00CF7847"/>
    <w:rsid w:val="00D00453"/>
    <w:rsid w:val="00D00FB0"/>
    <w:rsid w:val="00D01C9E"/>
    <w:rsid w:val="00D01F0B"/>
    <w:rsid w:val="00D01F1A"/>
    <w:rsid w:val="00D0370D"/>
    <w:rsid w:val="00D0468F"/>
    <w:rsid w:val="00D049EC"/>
    <w:rsid w:val="00D05139"/>
    <w:rsid w:val="00D06DEB"/>
    <w:rsid w:val="00D07BAC"/>
    <w:rsid w:val="00D10D26"/>
    <w:rsid w:val="00D11BCF"/>
    <w:rsid w:val="00D11F03"/>
    <w:rsid w:val="00D1227A"/>
    <w:rsid w:val="00D122E8"/>
    <w:rsid w:val="00D124FA"/>
    <w:rsid w:val="00D12761"/>
    <w:rsid w:val="00D127AA"/>
    <w:rsid w:val="00D13C6D"/>
    <w:rsid w:val="00D14984"/>
    <w:rsid w:val="00D14C44"/>
    <w:rsid w:val="00D14E77"/>
    <w:rsid w:val="00D15404"/>
    <w:rsid w:val="00D17965"/>
    <w:rsid w:val="00D20C0C"/>
    <w:rsid w:val="00D21208"/>
    <w:rsid w:val="00D21A78"/>
    <w:rsid w:val="00D223E6"/>
    <w:rsid w:val="00D22BF8"/>
    <w:rsid w:val="00D2300D"/>
    <w:rsid w:val="00D23748"/>
    <w:rsid w:val="00D25D5F"/>
    <w:rsid w:val="00D2609A"/>
    <w:rsid w:val="00D3051F"/>
    <w:rsid w:val="00D30C88"/>
    <w:rsid w:val="00D318A0"/>
    <w:rsid w:val="00D326C1"/>
    <w:rsid w:val="00D32D45"/>
    <w:rsid w:val="00D32DBA"/>
    <w:rsid w:val="00D334FC"/>
    <w:rsid w:val="00D3358B"/>
    <w:rsid w:val="00D34D8C"/>
    <w:rsid w:val="00D354A0"/>
    <w:rsid w:val="00D3563B"/>
    <w:rsid w:val="00D3639B"/>
    <w:rsid w:val="00D365C4"/>
    <w:rsid w:val="00D36795"/>
    <w:rsid w:val="00D369FB"/>
    <w:rsid w:val="00D36CDB"/>
    <w:rsid w:val="00D378DA"/>
    <w:rsid w:val="00D403D5"/>
    <w:rsid w:val="00D40434"/>
    <w:rsid w:val="00D42D84"/>
    <w:rsid w:val="00D433A1"/>
    <w:rsid w:val="00D44036"/>
    <w:rsid w:val="00D44B60"/>
    <w:rsid w:val="00D45465"/>
    <w:rsid w:val="00D4565A"/>
    <w:rsid w:val="00D45DD3"/>
    <w:rsid w:val="00D464E5"/>
    <w:rsid w:val="00D46A7D"/>
    <w:rsid w:val="00D470DC"/>
    <w:rsid w:val="00D47D02"/>
    <w:rsid w:val="00D47F65"/>
    <w:rsid w:val="00D5076E"/>
    <w:rsid w:val="00D51A4A"/>
    <w:rsid w:val="00D51CF4"/>
    <w:rsid w:val="00D52213"/>
    <w:rsid w:val="00D52251"/>
    <w:rsid w:val="00D529F5"/>
    <w:rsid w:val="00D52C13"/>
    <w:rsid w:val="00D53FDA"/>
    <w:rsid w:val="00D5462B"/>
    <w:rsid w:val="00D55160"/>
    <w:rsid w:val="00D556B4"/>
    <w:rsid w:val="00D55728"/>
    <w:rsid w:val="00D55AF0"/>
    <w:rsid w:val="00D56335"/>
    <w:rsid w:val="00D567A3"/>
    <w:rsid w:val="00D567AE"/>
    <w:rsid w:val="00D57289"/>
    <w:rsid w:val="00D57EC4"/>
    <w:rsid w:val="00D61191"/>
    <w:rsid w:val="00D621BA"/>
    <w:rsid w:val="00D624F2"/>
    <w:rsid w:val="00D626AB"/>
    <w:rsid w:val="00D62743"/>
    <w:rsid w:val="00D62B36"/>
    <w:rsid w:val="00D6319B"/>
    <w:rsid w:val="00D642D9"/>
    <w:rsid w:val="00D657D1"/>
    <w:rsid w:val="00D658C9"/>
    <w:rsid w:val="00D67415"/>
    <w:rsid w:val="00D67AE3"/>
    <w:rsid w:val="00D67B0E"/>
    <w:rsid w:val="00D7070B"/>
    <w:rsid w:val="00D70734"/>
    <w:rsid w:val="00D70EA9"/>
    <w:rsid w:val="00D71246"/>
    <w:rsid w:val="00D714D4"/>
    <w:rsid w:val="00D727FC"/>
    <w:rsid w:val="00D72822"/>
    <w:rsid w:val="00D73357"/>
    <w:rsid w:val="00D7370B"/>
    <w:rsid w:val="00D7370C"/>
    <w:rsid w:val="00D74278"/>
    <w:rsid w:val="00D74BD5"/>
    <w:rsid w:val="00D750C1"/>
    <w:rsid w:val="00D755A3"/>
    <w:rsid w:val="00D75A0E"/>
    <w:rsid w:val="00D76F95"/>
    <w:rsid w:val="00D774B0"/>
    <w:rsid w:val="00D779A5"/>
    <w:rsid w:val="00D80CA7"/>
    <w:rsid w:val="00D81EA2"/>
    <w:rsid w:val="00D83E22"/>
    <w:rsid w:val="00D8409C"/>
    <w:rsid w:val="00D8545B"/>
    <w:rsid w:val="00D8577F"/>
    <w:rsid w:val="00D85AB7"/>
    <w:rsid w:val="00D9064A"/>
    <w:rsid w:val="00D9106E"/>
    <w:rsid w:val="00D9223D"/>
    <w:rsid w:val="00D937EB"/>
    <w:rsid w:val="00D93D18"/>
    <w:rsid w:val="00D93D3F"/>
    <w:rsid w:val="00D94614"/>
    <w:rsid w:val="00D94CB3"/>
    <w:rsid w:val="00D954FF"/>
    <w:rsid w:val="00D9656A"/>
    <w:rsid w:val="00D97935"/>
    <w:rsid w:val="00D97C67"/>
    <w:rsid w:val="00DA11E1"/>
    <w:rsid w:val="00DA1812"/>
    <w:rsid w:val="00DA2518"/>
    <w:rsid w:val="00DA3049"/>
    <w:rsid w:val="00DA3E66"/>
    <w:rsid w:val="00DA3FE2"/>
    <w:rsid w:val="00DA4D7B"/>
    <w:rsid w:val="00DA57E2"/>
    <w:rsid w:val="00DA62DA"/>
    <w:rsid w:val="00DB0421"/>
    <w:rsid w:val="00DB0456"/>
    <w:rsid w:val="00DB09F3"/>
    <w:rsid w:val="00DB0B9E"/>
    <w:rsid w:val="00DB0F16"/>
    <w:rsid w:val="00DB1A14"/>
    <w:rsid w:val="00DB2DB3"/>
    <w:rsid w:val="00DB41BE"/>
    <w:rsid w:val="00DB4378"/>
    <w:rsid w:val="00DB4A05"/>
    <w:rsid w:val="00DB6F57"/>
    <w:rsid w:val="00DB71D2"/>
    <w:rsid w:val="00DB72D9"/>
    <w:rsid w:val="00DB72E2"/>
    <w:rsid w:val="00DB7739"/>
    <w:rsid w:val="00DC3126"/>
    <w:rsid w:val="00DC3D12"/>
    <w:rsid w:val="00DC43B5"/>
    <w:rsid w:val="00DC6770"/>
    <w:rsid w:val="00DC6E65"/>
    <w:rsid w:val="00DC712E"/>
    <w:rsid w:val="00DC7B42"/>
    <w:rsid w:val="00DC7FF5"/>
    <w:rsid w:val="00DD016A"/>
    <w:rsid w:val="00DD0288"/>
    <w:rsid w:val="00DD08EA"/>
    <w:rsid w:val="00DD0ACB"/>
    <w:rsid w:val="00DD0AE9"/>
    <w:rsid w:val="00DD0FC3"/>
    <w:rsid w:val="00DD1028"/>
    <w:rsid w:val="00DD11C0"/>
    <w:rsid w:val="00DD165C"/>
    <w:rsid w:val="00DD2832"/>
    <w:rsid w:val="00DD33BA"/>
    <w:rsid w:val="00DD4055"/>
    <w:rsid w:val="00DD4FBB"/>
    <w:rsid w:val="00DD53EC"/>
    <w:rsid w:val="00DD67C4"/>
    <w:rsid w:val="00DE0E21"/>
    <w:rsid w:val="00DE10B3"/>
    <w:rsid w:val="00DE277A"/>
    <w:rsid w:val="00DE2BF0"/>
    <w:rsid w:val="00DE3448"/>
    <w:rsid w:val="00DE384C"/>
    <w:rsid w:val="00DE3F66"/>
    <w:rsid w:val="00DE557F"/>
    <w:rsid w:val="00DE69FF"/>
    <w:rsid w:val="00DE764E"/>
    <w:rsid w:val="00DE7C94"/>
    <w:rsid w:val="00DF15F7"/>
    <w:rsid w:val="00DF1BAF"/>
    <w:rsid w:val="00DF1FCA"/>
    <w:rsid w:val="00DF25AD"/>
    <w:rsid w:val="00DF2870"/>
    <w:rsid w:val="00DF2F3C"/>
    <w:rsid w:val="00DF357B"/>
    <w:rsid w:val="00DF378E"/>
    <w:rsid w:val="00DF4413"/>
    <w:rsid w:val="00DF53C5"/>
    <w:rsid w:val="00DF5D8B"/>
    <w:rsid w:val="00DF7A12"/>
    <w:rsid w:val="00DF7C87"/>
    <w:rsid w:val="00E02DE9"/>
    <w:rsid w:val="00E02F78"/>
    <w:rsid w:val="00E05D96"/>
    <w:rsid w:val="00E0607A"/>
    <w:rsid w:val="00E0676B"/>
    <w:rsid w:val="00E06CAC"/>
    <w:rsid w:val="00E07A43"/>
    <w:rsid w:val="00E07C01"/>
    <w:rsid w:val="00E07D11"/>
    <w:rsid w:val="00E1031C"/>
    <w:rsid w:val="00E11B48"/>
    <w:rsid w:val="00E1210C"/>
    <w:rsid w:val="00E1244C"/>
    <w:rsid w:val="00E14F40"/>
    <w:rsid w:val="00E15BFA"/>
    <w:rsid w:val="00E16520"/>
    <w:rsid w:val="00E1674E"/>
    <w:rsid w:val="00E172CB"/>
    <w:rsid w:val="00E17619"/>
    <w:rsid w:val="00E179B5"/>
    <w:rsid w:val="00E17BC5"/>
    <w:rsid w:val="00E205CC"/>
    <w:rsid w:val="00E2176B"/>
    <w:rsid w:val="00E21A39"/>
    <w:rsid w:val="00E22550"/>
    <w:rsid w:val="00E22582"/>
    <w:rsid w:val="00E2312B"/>
    <w:rsid w:val="00E2328B"/>
    <w:rsid w:val="00E2334A"/>
    <w:rsid w:val="00E2384F"/>
    <w:rsid w:val="00E23EA6"/>
    <w:rsid w:val="00E2411B"/>
    <w:rsid w:val="00E24D8A"/>
    <w:rsid w:val="00E26317"/>
    <w:rsid w:val="00E27201"/>
    <w:rsid w:val="00E30B59"/>
    <w:rsid w:val="00E31048"/>
    <w:rsid w:val="00E31638"/>
    <w:rsid w:val="00E31A5B"/>
    <w:rsid w:val="00E32636"/>
    <w:rsid w:val="00E32BEE"/>
    <w:rsid w:val="00E3482F"/>
    <w:rsid w:val="00E35D9D"/>
    <w:rsid w:val="00E361E1"/>
    <w:rsid w:val="00E3674A"/>
    <w:rsid w:val="00E36A3C"/>
    <w:rsid w:val="00E36E47"/>
    <w:rsid w:val="00E37769"/>
    <w:rsid w:val="00E37A3A"/>
    <w:rsid w:val="00E37B9A"/>
    <w:rsid w:val="00E37FD2"/>
    <w:rsid w:val="00E41102"/>
    <w:rsid w:val="00E411F6"/>
    <w:rsid w:val="00E41F9B"/>
    <w:rsid w:val="00E42CAE"/>
    <w:rsid w:val="00E43B02"/>
    <w:rsid w:val="00E44598"/>
    <w:rsid w:val="00E447C6"/>
    <w:rsid w:val="00E448C9"/>
    <w:rsid w:val="00E45AF6"/>
    <w:rsid w:val="00E467FA"/>
    <w:rsid w:val="00E47A62"/>
    <w:rsid w:val="00E47F0F"/>
    <w:rsid w:val="00E500D2"/>
    <w:rsid w:val="00E51BEA"/>
    <w:rsid w:val="00E525DC"/>
    <w:rsid w:val="00E52F07"/>
    <w:rsid w:val="00E54398"/>
    <w:rsid w:val="00E567C4"/>
    <w:rsid w:val="00E5680D"/>
    <w:rsid w:val="00E56B2E"/>
    <w:rsid w:val="00E57053"/>
    <w:rsid w:val="00E57E03"/>
    <w:rsid w:val="00E60C1D"/>
    <w:rsid w:val="00E611EC"/>
    <w:rsid w:val="00E6170F"/>
    <w:rsid w:val="00E620CF"/>
    <w:rsid w:val="00E64049"/>
    <w:rsid w:val="00E641BB"/>
    <w:rsid w:val="00E641CF"/>
    <w:rsid w:val="00E64927"/>
    <w:rsid w:val="00E64FA4"/>
    <w:rsid w:val="00E65530"/>
    <w:rsid w:val="00E658EC"/>
    <w:rsid w:val="00E676DD"/>
    <w:rsid w:val="00E67C3E"/>
    <w:rsid w:val="00E7140D"/>
    <w:rsid w:val="00E715DB"/>
    <w:rsid w:val="00E72BFA"/>
    <w:rsid w:val="00E72DBC"/>
    <w:rsid w:val="00E74597"/>
    <w:rsid w:val="00E74714"/>
    <w:rsid w:val="00E7641C"/>
    <w:rsid w:val="00E76519"/>
    <w:rsid w:val="00E76641"/>
    <w:rsid w:val="00E76AA8"/>
    <w:rsid w:val="00E776A1"/>
    <w:rsid w:val="00E803DF"/>
    <w:rsid w:val="00E80718"/>
    <w:rsid w:val="00E81965"/>
    <w:rsid w:val="00E829E0"/>
    <w:rsid w:val="00E84045"/>
    <w:rsid w:val="00E843E8"/>
    <w:rsid w:val="00E8530C"/>
    <w:rsid w:val="00E862C9"/>
    <w:rsid w:val="00E87BB8"/>
    <w:rsid w:val="00E87CF0"/>
    <w:rsid w:val="00E9014F"/>
    <w:rsid w:val="00E906D6"/>
    <w:rsid w:val="00E90D1E"/>
    <w:rsid w:val="00E90D9C"/>
    <w:rsid w:val="00E91525"/>
    <w:rsid w:val="00E922B7"/>
    <w:rsid w:val="00E9298B"/>
    <w:rsid w:val="00E92CDF"/>
    <w:rsid w:val="00E949D2"/>
    <w:rsid w:val="00E9577E"/>
    <w:rsid w:val="00E96BD7"/>
    <w:rsid w:val="00E96D8B"/>
    <w:rsid w:val="00E975AA"/>
    <w:rsid w:val="00EA1AED"/>
    <w:rsid w:val="00EA2494"/>
    <w:rsid w:val="00EA2ACC"/>
    <w:rsid w:val="00EA2D88"/>
    <w:rsid w:val="00EA37CB"/>
    <w:rsid w:val="00EA44E2"/>
    <w:rsid w:val="00EA4DB2"/>
    <w:rsid w:val="00EA52FD"/>
    <w:rsid w:val="00EA652D"/>
    <w:rsid w:val="00EA7A08"/>
    <w:rsid w:val="00EA7DDC"/>
    <w:rsid w:val="00EA7EAA"/>
    <w:rsid w:val="00EA7EB6"/>
    <w:rsid w:val="00EB0BE1"/>
    <w:rsid w:val="00EB0CF7"/>
    <w:rsid w:val="00EB14FB"/>
    <w:rsid w:val="00EB1507"/>
    <w:rsid w:val="00EB169E"/>
    <w:rsid w:val="00EB2129"/>
    <w:rsid w:val="00EB2AC9"/>
    <w:rsid w:val="00EB2BEF"/>
    <w:rsid w:val="00EB41C5"/>
    <w:rsid w:val="00EB462D"/>
    <w:rsid w:val="00EB4886"/>
    <w:rsid w:val="00EB50A9"/>
    <w:rsid w:val="00EB656E"/>
    <w:rsid w:val="00EB6E48"/>
    <w:rsid w:val="00EB6F9A"/>
    <w:rsid w:val="00EB7EFA"/>
    <w:rsid w:val="00EC035E"/>
    <w:rsid w:val="00EC338D"/>
    <w:rsid w:val="00EC4CEC"/>
    <w:rsid w:val="00EC4F95"/>
    <w:rsid w:val="00EC51B0"/>
    <w:rsid w:val="00EC5260"/>
    <w:rsid w:val="00EC5859"/>
    <w:rsid w:val="00EC69EE"/>
    <w:rsid w:val="00EC7A4B"/>
    <w:rsid w:val="00ED05A3"/>
    <w:rsid w:val="00ED1A4A"/>
    <w:rsid w:val="00ED1ED9"/>
    <w:rsid w:val="00ED2420"/>
    <w:rsid w:val="00ED2A71"/>
    <w:rsid w:val="00ED315E"/>
    <w:rsid w:val="00ED333D"/>
    <w:rsid w:val="00ED3465"/>
    <w:rsid w:val="00ED3A8F"/>
    <w:rsid w:val="00ED52E5"/>
    <w:rsid w:val="00ED575A"/>
    <w:rsid w:val="00ED688C"/>
    <w:rsid w:val="00ED70B9"/>
    <w:rsid w:val="00EE011A"/>
    <w:rsid w:val="00EE0432"/>
    <w:rsid w:val="00EE0E41"/>
    <w:rsid w:val="00EE1DBD"/>
    <w:rsid w:val="00EE27F2"/>
    <w:rsid w:val="00EE3F57"/>
    <w:rsid w:val="00EE6AFF"/>
    <w:rsid w:val="00EE6B1B"/>
    <w:rsid w:val="00EE7452"/>
    <w:rsid w:val="00EF0337"/>
    <w:rsid w:val="00EF0E1F"/>
    <w:rsid w:val="00EF134A"/>
    <w:rsid w:val="00EF3617"/>
    <w:rsid w:val="00EF52E2"/>
    <w:rsid w:val="00EF796F"/>
    <w:rsid w:val="00F00231"/>
    <w:rsid w:val="00F01774"/>
    <w:rsid w:val="00F01853"/>
    <w:rsid w:val="00F01CA9"/>
    <w:rsid w:val="00F0207D"/>
    <w:rsid w:val="00F04133"/>
    <w:rsid w:val="00F05955"/>
    <w:rsid w:val="00F05A9C"/>
    <w:rsid w:val="00F060A9"/>
    <w:rsid w:val="00F06BE1"/>
    <w:rsid w:val="00F1001D"/>
    <w:rsid w:val="00F100DC"/>
    <w:rsid w:val="00F1063F"/>
    <w:rsid w:val="00F1087A"/>
    <w:rsid w:val="00F10E5A"/>
    <w:rsid w:val="00F11F59"/>
    <w:rsid w:val="00F12102"/>
    <w:rsid w:val="00F1277D"/>
    <w:rsid w:val="00F12B93"/>
    <w:rsid w:val="00F136BD"/>
    <w:rsid w:val="00F1426E"/>
    <w:rsid w:val="00F172FD"/>
    <w:rsid w:val="00F17A29"/>
    <w:rsid w:val="00F17C53"/>
    <w:rsid w:val="00F17EDD"/>
    <w:rsid w:val="00F2045D"/>
    <w:rsid w:val="00F20B04"/>
    <w:rsid w:val="00F20C37"/>
    <w:rsid w:val="00F21135"/>
    <w:rsid w:val="00F21452"/>
    <w:rsid w:val="00F2188B"/>
    <w:rsid w:val="00F21E66"/>
    <w:rsid w:val="00F22EC3"/>
    <w:rsid w:val="00F23AEC"/>
    <w:rsid w:val="00F24A6E"/>
    <w:rsid w:val="00F24C25"/>
    <w:rsid w:val="00F30150"/>
    <w:rsid w:val="00F30526"/>
    <w:rsid w:val="00F31042"/>
    <w:rsid w:val="00F33004"/>
    <w:rsid w:val="00F3345C"/>
    <w:rsid w:val="00F3571E"/>
    <w:rsid w:val="00F3670B"/>
    <w:rsid w:val="00F372D3"/>
    <w:rsid w:val="00F40C79"/>
    <w:rsid w:val="00F41AA2"/>
    <w:rsid w:val="00F41C8D"/>
    <w:rsid w:val="00F42B69"/>
    <w:rsid w:val="00F42D8D"/>
    <w:rsid w:val="00F437B3"/>
    <w:rsid w:val="00F44324"/>
    <w:rsid w:val="00F4437E"/>
    <w:rsid w:val="00F449E1"/>
    <w:rsid w:val="00F44D70"/>
    <w:rsid w:val="00F45F81"/>
    <w:rsid w:val="00F45FE5"/>
    <w:rsid w:val="00F468B8"/>
    <w:rsid w:val="00F46B31"/>
    <w:rsid w:val="00F47552"/>
    <w:rsid w:val="00F50DAF"/>
    <w:rsid w:val="00F51993"/>
    <w:rsid w:val="00F53A9C"/>
    <w:rsid w:val="00F53C26"/>
    <w:rsid w:val="00F5461E"/>
    <w:rsid w:val="00F54AAC"/>
    <w:rsid w:val="00F56210"/>
    <w:rsid w:val="00F5740E"/>
    <w:rsid w:val="00F57A27"/>
    <w:rsid w:val="00F57E7D"/>
    <w:rsid w:val="00F602C3"/>
    <w:rsid w:val="00F60904"/>
    <w:rsid w:val="00F60BB0"/>
    <w:rsid w:val="00F61092"/>
    <w:rsid w:val="00F616FC"/>
    <w:rsid w:val="00F6205D"/>
    <w:rsid w:val="00F62415"/>
    <w:rsid w:val="00F6264A"/>
    <w:rsid w:val="00F63297"/>
    <w:rsid w:val="00F64495"/>
    <w:rsid w:val="00F64E3C"/>
    <w:rsid w:val="00F64E4B"/>
    <w:rsid w:val="00F6612D"/>
    <w:rsid w:val="00F67121"/>
    <w:rsid w:val="00F67245"/>
    <w:rsid w:val="00F70603"/>
    <w:rsid w:val="00F70B8F"/>
    <w:rsid w:val="00F70EB1"/>
    <w:rsid w:val="00F70F35"/>
    <w:rsid w:val="00F715EB"/>
    <w:rsid w:val="00F73F0D"/>
    <w:rsid w:val="00F741C1"/>
    <w:rsid w:val="00F74C0F"/>
    <w:rsid w:val="00F74CC7"/>
    <w:rsid w:val="00F74FA8"/>
    <w:rsid w:val="00F760D5"/>
    <w:rsid w:val="00F764D7"/>
    <w:rsid w:val="00F7663C"/>
    <w:rsid w:val="00F7664D"/>
    <w:rsid w:val="00F76DC0"/>
    <w:rsid w:val="00F77457"/>
    <w:rsid w:val="00F80FE6"/>
    <w:rsid w:val="00F8106E"/>
    <w:rsid w:val="00F81713"/>
    <w:rsid w:val="00F81E4A"/>
    <w:rsid w:val="00F821C1"/>
    <w:rsid w:val="00F827A2"/>
    <w:rsid w:val="00F83177"/>
    <w:rsid w:val="00F84714"/>
    <w:rsid w:val="00F8492C"/>
    <w:rsid w:val="00F84F75"/>
    <w:rsid w:val="00F855A3"/>
    <w:rsid w:val="00F863F8"/>
    <w:rsid w:val="00F868BD"/>
    <w:rsid w:val="00F86DE9"/>
    <w:rsid w:val="00F86F03"/>
    <w:rsid w:val="00F872FD"/>
    <w:rsid w:val="00F90004"/>
    <w:rsid w:val="00F90200"/>
    <w:rsid w:val="00F90235"/>
    <w:rsid w:val="00F90365"/>
    <w:rsid w:val="00F929A5"/>
    <w:rsid w:val="00F9316E"/>
    <w:rsid w:val="00F93AF7"/>
    <w:rsid w:val="00F93B89"/>
    <w:rsid w:val="00F973CC"/>
    <w:rsid w:val="00F9768E"/>
    <w:rsid w:val="00F97F33"/>
    <w:rsid w:val="00FA057F"/>
    <w:rsid w:val="00FA09E4"/>
    <w:rsid w:val="00FA1795"/>
    <w:rsid w:val="00FA2142"/>
    <w:rsid w:val="00FA423D"/>
    <w:rsid w:val="00FA582B"/>
    <w:rsid w:val="00FA60B2"/>
    <w:rsid w:val="00FA61AC"/>
    <w:rsid w:val="00FA62E3"/>
    <w:rsid w:val="00FB0143"/>
    <w:rsid w:val="00FB0CEB"/>
    <w:rsid w:val="00FB1658"/>
    <w:rsid w:val="00FB1B84"/>
    <w:rsid w:val="00FB2955"/>
    <w:rsid w:val="00FB3630"/>
    <w:rsid w:val="00FB39EE"/>
    <w:rsid w:val="00FB5F51"/>
    <w:rsid w:val="00FB7035"/>
    <w:rsid w:val="00FB773E"/>
    <w:rsid w:val="00FC0B4D"/>
    <w:rsid w:val="00FC1216"/>
    <w:rsid w:val="00FC1813"/>
    <w:rsid w:val="00FC1CB2"/>
    <w:rsid w:val="00FC3105"/>
    <w:rsid w:val="00FC3C30"/>
    <w:rsid w:val="00FC5DF2"/>
    <w:rsid w:val="00FC6EC1"/>
    <w:rsid w:val="00FC7588"/>
    <w:rsid w:val="00FD09C3"/>
    <w:rsid w:val="00FD1C5C"/>
    <w:rsid w:val="00FD2B19"/>
    <w:rsid w:val="00FD407C"/>
    <w:rsid w:val="00FD4EAD"/>
    <w:rsid w:val="00FD4EE3"/>
    <w:rsid w:val="00FD5BE6"/>
    <w:rsid w:val="00FD6562"/>
    <w:rsid w:val="00FD6A63"/>
    <w:rsid w:val="00FD6C87"/>
    <w:rsid w:val="00FD7C34"/>
    <w:rsid w:val="00FE0D90"/>
    <w:rsid w:val="00FE14ED"/>
    <w:rsid w:val="00FE15A6"/>
    <w:rsid w:val="00FE1696"/>
    <w:rsid w:val="00FE2C7A"/>
    <w:rsid w:val="00FE2D56"/>
    <w:rsid w:val="00FE2D7C"/>
    <w:rsid w:val="00FE39D8"/>
    <w:rsid w:val="00FE4442"/>
    <w:rsid w:val="00FE4481"/>
    <w:rsid w:val="00FE4B42"/>
    <w:rsid w:val="00FE4F46"/>
    <w:rsid w:val="00FE5F73"/>
    <w:rsid w:val="00FE6346"/>
    <w:rsid w:val="00FE69AD"/>
    <w:rsid w:val="00FF0DA5"/>
    <w:rsid w:val="00FF1D22"/>
    <w:rsid w:val="00FF1F17"/>
    <w:rsid w:val="00FF3164"/>
    <w:rsid w:val="00FF34EF"/>
    <w:rsid w:val="00FF4632"/>
    <w:rsid w:val="00FF5A8B"/>
    <w:rsid w:val="00FF5CAC"/>
    <w:rsid w:val="00FF5E22"/>
    <w:rsid w:val="00FF5FA0"/>
    <w:rsid w:val="00FF62FE"/>
    <w:rsid w:val="00FF6452"/>
    <w:rsid w:val="00FF6847"/>
    <w:rsid w:val="00FF71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1B73A317"/>
  <w15:docId w15:val="{41363F7B-1424-4600-9D1D-3F4BA4DB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31B4A"/>
    <w:pPr>
      <w:spacing w:after="0" w:line="240" w:lineRule="auto"/>
    </w:pPr>
    <w:rPr>
      <w:rFonts w:ascii="Segoe UI Semilight" w:eastAsiaTheme="minorHAnsi" w:hAnsi="Segoe UI Semilight"/>
      <w:sz w:val="20"/>
    </w:rPr>
  </w:style>
  <w:style w:type="paragraph" w:styleId="Heading1">
    <w:name w:val="heading 1"/>
    <w:basedOn w:val="Normal"/>
    <w:next w:val="BodyText"/>
    <w:link w:val="Heading1Char"/>
    <w:uiPriority w:val="9"/>
    <w:qFormat/>
    <w:rsid w:val="00631B4A"/>
    <w:pPr>
      <w:keepNext/>
      <w:keepLines/>
      <w:numPr>
        <w:numId w:val="5"/>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631B4A"/>
    <w:pPr>
      <w:keepNext/>
      <w:keepLines/>
      <w:numPr>
        <w:ilvl w:val="1"/>
        <w:numId w:val="5"/>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631B4A"/>
    <w:pPr>
      <w:keepNext/>
      <w:keepLines/>
      <w:numPr>
        <w:ilvl w:val="2"/>
        <w:numId w:val="5"/>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631B4A"/>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631B4A"/>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631B4A"/>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631B4A"/>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631B4A"/>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631B4A"/>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 Char Char Char Char Char Char Char Char,Char Char Char Char Char,Body Text Char1,Char,(ALT+B),Body Text1,(ALT+B) Char Char1,(ALT+B) Cha1 Char Char,Body Text Char Char Char Char,Body Text Char1 Char1 Char Char"/>
    <w:basedOn w:val="Normal"/>
    <w:link w:val="BodyTextChar"/>
    <w:rsid w:val="00631B4A"/>
    <w:pPr>
      <w:spacing w:after="120"/>
    </w:pPr>
  </w:style>
  <w:style w:type="character" w:customStyle="1" w:styleId="BodyTextChar">
    <w:name w:val="Body Text Char"/>
    <w:aliases w:val="Char Char Char Char Char Char Char Char Char Char Char Char Char Char Char Char,Char Char Char Char Char Char,Body Text Char1 Char,Char Char,(ALT+B) Char,Body Text1 Char,(ALT+B) Char Char1 Char,(ALT+B) Cha1 Char Char Char"/>
    <w:basedOn w:val="DefaultParagraphFont"/>
    <w:link w:val="BodyText"/>
    <w:rsid w:val="00631B4A"/>
    <w:rPr>
      <w:rFonts w:ascii="Segoe UI Semilight" w:eastAsiaTheme="minorHAnsi" w:hAnsi="Segoe UI Semilight"/>
      <w:sz w:val="20"/>
    </w:rPr>
  </w:style>
  <w:style w:type="paragraph" w:customStyle="1" w:styleId="Bullet1">
    <w:name w:val="Bullet 1"/>
    <w:basedOn w:val="Normal"/>
    <w:link w:val="Bullet1Char"/>
    <w:qFormat/>
    <w:rsid w:val="00631B4A"/>
    <w:pPr>
      <w:numPr>
        <w:numId w:val="1"/>
      </w:numPr>
      <w:spacing w:after="120"/>
    </w:pPr>
    <w:rPr>
      <w:bCs/>
    </w:rPr>
  </w:style>
  <w:style w:type="paragraph" w:customStyle="1" w:styleId="Bullet2">
    <w:name w:val="Bullet 2"/>
    <w:basedOn w:val="Normal"/>
    <w:qFormat/>
    <w:rsid w:val="00631B4A"/>
    <w:pPr>
      <w:numPr>
        <w:numId w:val="3"/>
      </w:numPr>
      <w:spacing w:after="120"/>
    </w:pPr>
    <w:rPr>
      <w:bCs/>
    </w:rPr>
  </w:style>
  <w:style w:type="paragraph" w:customStyle="1" w:styleId="Bullet3">
    <w:name w:val="Bullet 3"/>
    <w:basedOn w:val="Normal"/>
    <w:qFormat/>
    <w:rsid w:val="00631B4A"/>
    <w:pPr>
      <w:numPr>
        <w:numId w:val="4"/>
      </w:numPr>
      <w:tabs>
        <w:tab w:val="left" w:pos="1080"/>
      </w:tabs>
      <w:spacing w:after="120"/>
    </w:pPr>
    <w:rPr>
      <w:rFonts w:eastAsia="Calibri"/>
      <w:bCs/>
      <w:noProof/>
    </w:rPr>
  </w:style>
  <w:style w:type="paragraph" w:styleId="Footer">
    <w:name w:val="footer"/>
    <w:basedOn w:val="Normal"/>
    <w:link w:val="FooterChar"/>
    <w:uiPriority w:val="99"/>
    <w:rsid w:val="00631B4A"/>
    <w:pPr>
      <w:pBdr>
        <w:top w:val="single" w:sz="4" w:space="1" w:color="auto"/>
      </w:pBdr>
      <w:tabs>
        <w:tab w:val="right" w:pos="10080"/>
      </w:tabs>
    </w:pPr>
    <w:rPr>
      <w:color w:val="404040" w:themeColor="text1" w:themeTint="BF"/>
      <w:w w:val="90"/>
      <w:sz w:val="18"/>
    </w:rPr>
  </w:style>
  <w:style w:type="character" w:customStyle="1" w:styleId="FooterChar">
    <w:name w:val="Footer Char"/>
    <w:basedOn w:val="DefaultParagraphFont"/>
    <w:link w:val="Footer"/>
    <w:uiPriority w:val="99"/>
    <w:rsid w:val="00631B4A"/>
    <w:rPr>
      <w:rFonts w:ascii="Segoe UI Semilight" w:eastAsiaTheme="minorHAnsi" w:hAnsi="Segoe UI Semilight"/>
      <w:color w:val="404040" w:themeColor="text1" w:themeTint="BF"/>
      <w:w w:val="90"/>
      <w:sz w:val="18"/>
    </w:rPr>
  </w:style>
  <w:style w:type="paragraph" w:customStyle="1" w:styleId="footnote">
    <w:name w:val="footnote"/>
    <w:basedOn w:val="Normal"/>
    <w:qFormat/>
    <w:rsid w:val="00631B4A"/>
    <w:pPr>
      <w:ind w:left="180" w:hanging="180"/>
    </w:pPr>
    <w:rPr>
      <w:bCs/>
      <w:sz w:val="16"/>
    </w:rPr>
  </w:style>
  <w:style w:type="paragraph" w:customStyle="1" w:styleId="footnoteref">
    <w:name w:val="footnoteref"/>
    <w:basedOn w:val="Normal"/>
    <w:qFormat/>
    <w:rsid w:val="00631B4A"/>
    <w:pPr>
      <w:ind w:left="180" w:hanging="180"/>
    </w:pPr>
    <w:rPr>
      <w:bCs/>
      <w:sz w:val="16"/>
      <w:vertAlign w:val="superscript"/>
    </w:rPr>
  </w:style>
  <w:style w:type="paragraph" w:styleId="Header">
    <w:name w:val="header"/>
    <w:basedOn w:val="Normal"/>
    <w:link w:val="HeaderChar"/>
    <w:uiPriority w:val="99"/>
    <w:rsid w:val="00631B4A"/>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631B4A"/>
    <w:rPr>
      <w:rFonts w:ascii="Segoe UI Semilight" w:eastAsiaTheme="minorHAnsi" w:hAnsi="Segoe UI Semilight"/>
      <w:color w:val="404040" w:themeColor="text1" w:themeTint="BF"/>
      <w:w w:val="90"/>
      <w:sz w:val="18"/>
    </w:rPr>
  </w:style>
  <w:style w:type="character" w:customStyle="1" w:styleId="Heading1Char">
    <w:name w:val="Heading 1 Char"/>
    <w:basedOn w:val="DefaultParagraphFont"/>
    <w:link w:val="Heading1"/>
    <w:uiPriority w:val="9"/>
    <w:rsid w:val="00631B4A"/>
    <w:rPr>
      <w:rFonts w:ascii="Trebuchet MS" w:eastAsiaTheme="minorHAnsi" w:hAnsi="Trebuchet MS"/>
      <w:bCs/>
      <w:caps/>
      <w:sz w:val="36"/>
      <w:szCs w:val="28"/>
    </w:rPr>
  </w:style>
  <w:style w:type="character" w:customStyle="1" w:styleId="Heading2Char">
    <w:name w:val="Heading 2 Char"/>
    <w:basedOn w:val="DefaultParagraphFont"/>
    <w:link w:val="Heading2"/>
    <w:uiPriority w:val="9"/>
    <w:rsid w:val="00631B4A"/>
    <w:rPr>
      <w:rFonts w:ascii="Trebuchet MS" w:eastAsiaTheme="minorHAnsi" w:hAnsi="Trebuchet MS"/>
      <w:caps/>
      <w:sz w:val="32"/>
      <w:szCs w:val="26"/>
    </w:rPr>
  </w:style>
  <w:style w:type="character" w:customStyle="1" w:styleId="Heading3Char">
    <w:name w:val="Heading 3 Char"/>
    <w:basedOn w:val="DefaultParagraphFont"/>
    <w:link w:val="Heading3"/>
    <w:uiPriority w:val="9"/>
    <w:rsid w:val="00631B4A"/>
    <w:rPr>
      <w:rFonts w:ascii="Trebuchet MS" w:eastAsiaTheme="minorHAnsi" w:hAnsi="Trebuchet MS"/>
      <w:bCs/>
      <w:sz w:val="32"/>
    </w:rPr>
  </w:style>
  <w:style w:type="character" w:customStyle="1" w:styleId="Heading4Char">
    <w:name w:val="Heading 4 Char"/>
    <w:basedOn w:val="DefaultParagraphFont"/>
    <w:link w:val="Heading4"/>
    <w:uiPriority w:val="9"/>
    <w:rsid w:val="00631B4A"/>
    <w:rPr>
      <w:rFonts w:ascii="Trebuchet MS" w:eastAsiaTheme="minorHAnsi" w:hAnsi="Trebuchet MS"/>
      <w:caps/>
      <w:sz w:val="28"/>
    </w:rPr>
  </w:style>
  <w:style w:type="character" w:customStyle="1" w:styleId="Heading5Char">
    <w:name w:val="Heading 5 Char"/>
    <w:basedOn w:val="DefaultParagraphFont"/>
    <w:link w:val="Heading5"/>
    <w:uiPriority w:val="9"/>
    <w:rsid w:val="00631B4A"/>
    <w:rPr>
      <w:rFonts w:ascii="Trebuchet MS" w:eastAsiaTheme="minorHAnsi" w:hAnsi="Trebuchet MS"/>
      <w:sz w:val="24"/>
      <w:szCs w:val="26"/>
    </w:rPr>
  </w:style>
  <w:style w:type="character" w:customStyle="1" w:styleId="Heading6Char">
    <w:name w:val="Heading 6 Char"/>
    <w:basedOn w:val="DefaultParagraphFont"/>
    <w:link w:val="Heading6"/>
    <w:uiPriority w:val="9"/>
    <w:rsid w:val="00631B4A"/>
    <w:rPr>
      <w:rFonts w:ascii="Trebuchet MS" w:eastAsiaTheme="minorHAnsi" w:hAnsi="Trebuchet MS"/>
      <w:iCs/>
      <w:sz w:val="20"/>
      <w:u w:val="single"/>
    </w:rPr>
  </w:style>
  <w:style w:type="character" w:customStyle="1" w:styleId="Heading7Char">
    <w:name w:val="Heading 7 Char"/>
    <w:basedOn w:val="DefaultParagraphFont"/>
    <w:link w:val="Heading7"/>
    <w:uiPriority w:val="9"/>
    <w:rsid w:val="00631B4A"/>
    <w:rPr>
      <w:rFonts w:ascii="Trebuchet MS" w:eastAsiaTheme="minorHAnsi" w:hAnsi="Trebuchet MS"/>
      <w:sz w:val="20"/>
    </w:rPr>
  </w:style>
  <w:style w:type="character" w:customStyle="1" w:styleId="Heading8Char">
    <w:name w:val="Heading 8 Char"/>
    <w:basedOn w:val="DefaultParagraphFont"/>
    <w:link w:val="Heading8"/>
    <w:uiPriority w:val="9"/>
    <w:rsid w:val="00631B4A"/>
    <w:rPr>
      <w:rFonts w:ascii="Trebuchet MS" w:eastAsiaTheme="minorHAnsi" w:hAnsi="Trebuchet MS"/>
      <w:sz w:val="20"/>
      <w:szCs w:val="20"/>
    </w:rPr>
  </w:style>
  <w:style w:type="character" w:customStyle="1" w:styleId="Heading9Char">
    <w:name w:val="Heading 9 Char"/>
    <w:basedOn w:val="DefaultParagraphFont"/>
    <w:link w:val="Heading9"/>
    <w:uiPriority w:val="9"/>
    <w:rsid w:val="00631B4A"/>
    <w:rPr>
      <w:rFonts w:ascii="Trebuchet MS" w:eastAsiaTheme="minorHAnsi" w:hAnsi="Trebuchet MS"/>
      <w:iCs/>
      <w:sz w:val="20"/>
      <w:szCs w:val="20"/>
    </w:rPr>
  </w:style>
  <w:style w:type="paragraph" w:customStyle="1" w:styleId="Impactdescription">
    <w:name w:val="Impact description"/>
    <w:basedOn w:val="BodyText"/>
    <w:link w:val="ImpactdescriptionChar"/>
    <w:rsid w:val="00631B4A"/>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631B4A"/>
  </w:style>
  <w:style w:type="paragraph" w:customStyle="1" w:styleId="Mitigationtext">
    <w:name w:val="Mitigation text"/>
    <w:basedOn w:val="BodyText"/>
    <w:link w:val="MitigationtextChar"/>
    <w:qFormat/>
    <w:rsid w:val="00631B4A"/>
    <w:pPr>
      <w:spacing w:before="60"/>
    </w:pPr>
    <w:rPr>
      <w:spacing w:val="-2"/>
    </w:rPr>
  </w:style>
  <w:style w:type="paragraph" w:customStyle="1" w:styleId="Mitigationtitle">
    <w:name w:val="Mitigation title"/>
    <w:basedOn w:val="Heading5"/>
    <w:link w:val="MitigationtitleChar"/>
    <w:rsid w:val="00631B4A"/>
    <w:rPr>
      <w:rFonts w:ascii="Segoe UI Semilight" w:eastAsia="Calibri" w:hAnsi="Segoe UI Semilight"/>
      <w:b/>
      <w:w w:val="90"/>
      <w:sz w:val="22"/>
    </w:rPr>
  </w:style>
  <w:style w:type="paragraph" w:customStyle="1" w:styleId="TableTextL">
    <w:name w:val="TableTextL"/>
    <w:basedOn w:val="TableText"/>
    <w:qFormat/>
    <w:rsid w:val="00631B4A"/>
    <w:pPr>
      <w:jc w:val="left"/>
    </w:pPr>
  </w:style>
  <w:style w:type="paragraph" w:customStyle="1" w:styleId="TableRow">
    <w:name w:val="TableRow"/>
    <w:basedOn w:val="Normal"/>
    <w:qFormat/>
    <w:rsid w:val="00631B4A"/>
    <w:rPr>
      <w:b/>
      <w:bCs/>
      <w:sz w:val="18"/>
    </w:rPr>
  </w:style>
  <w:style w:type="paragraph" w:customStyle="1" w:styleId="TableSource">
    <w:name w:val="TableSource"/>
    <w:basedOn w:val="Normal"/>
    <w:qFormat/>
    <w:rsid w:val="00631B4A"/>
    <w:pPr>
      <w:spacing w:after="120"/>
    </w:pPr>
    <w:rPr>
      <w:bCs/>
      <w:color w:val="262626" w:themeColor="text1" w:themeTint="D9"/>
      <w:sz w:val="16"/>
    </w:rPr>
  </w:style>
  <w:style w:type="character" w:customStyle="1" w:styleId="ImpactdescriptionChar">
    <w:name w:val="Impact description Char"/>
    <w:basedOn w:val="DefaultParagraphFont"/>
    <w:link w:val="Impactdescription"/>
    <w:rsid w:val="00631B4A"/>
    <w:rPr>
      <w:rFonts w:ascii="Segoe UI Semilight" w:eastAsiaTheme="minorHAnsi" w:hAnsi="Segoe UI Semilight"/>
      <w:sz w:val="20"/>
    </w:rPr>
  </w:style>
  <w:style w:type="character" w:customStyle="1" w:styleId="MitigationtitleChar">
    <w:name w:val="Mitigation title Char"/>
    <w:basedOn w:val="BodyTextChar"/>
    <w:link w:val="Mitigationtitle"/>
    <w:rsid w:val="00DF378E"/>
    <w:rPr>
      <w:rFonts w:ascii="Segoe UI Semilight" w:eastAsia="Calibri" w:hAnsi="Segoe UI Semilight"/>
      <w:b/>
      <w:w w:val="90"/>
      <w:sz w:val="20"/>
      <w:szCs w:val="26"/>
    </w:rPr>
  </w:style>
  <w:style w:type="character" w:customStyle="1" w:styleId="ImpactNoChar">
    <w:name w:val="Impact_No. Char"/>
    <w:basedOn w:val="BodyTextChar"/>
    <w:link w:val="ImpactNo"/>
    <w:rsid w:val="00631B4A"/>
    <w:rPr>
      <w:rFonts w:ascii="Trebuchet MS" w:eastAsiaTheme="minorHAnsi" w:hAnsi="Trebuchet MS"/>
      <w:sz w:val="24"/>
      <w:szCs w:val="26"/>
    </w:rPr>
  </w:style>
  <w:style w:type="character" w:customStyle="1" w:styleId="MitigationtextChar">
    <w:name w:val="Mitigation text Char"/>
    <w:basedOn w:val="BodyTextChar"/>
    <w:link w:val="Mitigationtext"/>
    <w:rsid w:val="00DF378E"/>
    <w:rPr>
      <w:rFonts w:ascii="Segoe UI Semilight" w:eastAsiaTheme="minorHAnsi" w:hAnsi="Segoe UI Semilight"/>
      <w:spacing w:val="-2"/>
      <w:sz w:val="20"/>
    </w:rPr>
  </w:style>
  <w:style w:type="paragraph" w:customStyle="1" w:styleId="Revision1">
    <w:name w:val="Revision1"/>
    <w:next w:val="Revision"/>
    <w:hidden/>
    <w:uiPriority w:val="99"/>
    <w:semiHidden/>
    <w:rsid w:val="00DF378E"/>
    <w:pPr>
      <w:spacing w:after="0" w:line="240" w:lineRule="auto"/>
    </w:pPr>
    <w:rPr>
      <w:rFonts w:cs="Times New Roman"/>
      <w:szCs w:val="24"/>
    </w:rPr>
  </w:style>
  <w:style w:type="paragraph" w:customStyle="1" w:styleId="TableSource0">
    <w:name w:val="Table Source"/>
    <w:basedOn w:val="Normal"/>
    <w:link w:val="TableSourceChar"/>
    <w:rsid w:val="006E1C8F"/>
    <w:pPr>
      <w:spacing w:line="240" w:lineRule="exact"/>
    </w:pPr>
    <w:rPr>
      <w:rFonts w:ascii="Arial" w:hAnsi="Arial" w:cs="Arial"/>
      <w:sz w:val="16"/>
      <w:szCs w:val="18"/>
    </w:rPr>
  </w:style>
  <w:style w:type="character" w:customStyle="1" w:styleId="TableSourceChar">
    <w:name w:val="Table Source Char"/>
    <w:basedOn w:val="DefaultParagraphFont"/>
    <w:link w:val="TableSource0"/>
    <w:rsid w:val="00DF378E"/>
    <w:rPr>
      <w:rFonts w:ascii="Arial" w:hAnsi="Arial" w:cs="Arial"/>
      <w:sz w:val="16"/>
      <w:szCs w:val="18"/>
    </w:rPr>
  </w:style>
  <w:style w:type="paragraph" w:styleId="Revision">
    <w:name w:val="Revision"/>
    <w:hidden/>
    <w:uiPriority w:val="99"/>
    <w:semiHidden/>
    <w:rsid w:val="00DF378E"/>
    <w:pPr>
      <w:spacing w:after="0" w:line="240" w:lineRule="auto"/>
    </w:pPr>
    <w:rPr>
      <w:rFonts w:cs="Times New Roman"/>
      <w:szCs w:val="24"/>
    </w:rPr>
  </w:style>
  <w:style w:type="paragraph" w:customStyle="1" w:styleId="FooterLandscape">
    <w:name w:val="Footer_Landscape"/>
    <w:basedOn w:val="Footer"/>
    <w:qFormat/>
    <w:rsid w:val="00631B4A"/>
    <w:pPr>
      <w:tabs>
        <w:tab w:val="clear" w:pos="10080"/>
        <w:tab w:val="right" w:pos="13680"/>
      </w:tabs>
    </w:pPr>
  </w:style>
  <w:style w:type="paragraph" w:customStyle="1" w:styleId="HeaderLandscape">
    <w:name w:val="Header_Landscape"/>
    <w:basedOn w:val="Header"/>
    <w:qFormat/>
    <w:rsid w:val="00631B4A"/>
    <w:pPr>
      <w:tabs>
        <w:tab w:val="clear" w:pos="5040"/>
        <w:tab w:val="clear" w:pos="10080"/>
        <w:tab w:val="center" w:pos="6840"/>
        <w:tab w:val="right" w:pos="13680"/>
      </w:tabs>
    </w:pPr>
  </w:style>
  <w:style w:type="paragraph" w:styleId="TOC1">
    <w:name w:val="toc 1"/>
    <w:basedOn w:val="Normal"/>
    <w:next w:val="Normal"/>
    <w:autoRedefine/>
    <w:uiPriority w:val="39"/>
    <w:unhideWhenUsed/>
    <w:rsid w:val="00631B4A"/>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631B4A"/>
    <w:pPr>
      <w:tabs>
        <w:tab w:val="right" w:leader="dot" w:pos="10080"/>
      </w:tabs>
      <w:ind w:left="1440" w:right="720" w:hanging="720"/>
    </w:pPr>
  </w:style>
  <w:style w:type="paragraph" w:styleId="TOC3">
    <w:name w:val="toc 3"/>
    <w:basedOn w:val="Normal"/>
    <w:next w:val="Normal"/>
    <w:autoRedefine/>
    <w:uiPriority w:val="39"/>
    <w:unhideWhenUsed/>
    <w:rsid w:val="00631B4A"/>
    <w:pPr>
      <w:tabs>
        <w:tab w:val="right" w:leader="dot" w:pos="10080"/>
      </w:tabs>
      <w:ind w:left="2160" w:right="720" w:hanging="720"/>
    </w:pPr>
  </w:style>
  <w:style w:type="paragraph" w:styleId="TOC4">
    <w:name w:val="toc 4"/>
    <w:basedOn w:val="Normal"/>
    <w:next w:val="Normal"/>
    <w:autoRedefine/>
    <w:uiPriority w:val="39"/>
    <w:rsid w:val="00631B4A"/>
    <w:pPr>
      <w:tabs>
        <w:tab w:val="right" w:leader="dot" w:pos="10080"/>
      </w:tabs>
      <w:spacing w:after="100"/>
      <w:ind w:left="1440" w:right="720" w:hanging="1440"/>
    </w:pPr>
  </w:style>
  <w:style w:type="paragraph" w:customStyle="1" w:styleId="TableColumn">
    <w:name w:val="TableColumn"/>
    <w:basedOn w:val="BodyText"/>
    <w:qFormat/>
    <w:rsid w:val="00631B4A"/>
    <w:pPr>
      <w:spacing w:after="0"/>
      <w:jc w:val="center"/>
    </w:pPr>
    <w:rPr>
      <w:b/>
      <w:spacing w:val="-4"/>
      <w:w w:val="95"/>
      <w:sz w:val="18"/>
    </w:rPr>
  </w:style>
  <w:style w:type="paragraph" w:customStyle="1" w:styleId="TableHeader">
    <w:name w:val="TableHeader"/>
    <w:basedOn w:val="Normal"/>
    <w:qFormat/>
    <w:rsid w:val="00631B4A"/>
    <w:pPr>
      <w:keepNext/>
      <w:spacing w:before="60" w:after="60"/>
      <w:ind w:left="1440" w:hanging="1440"/>
    </w:pPr>
    <w:rPr>
      <w:rFonts w:ascii="Segoe UI Semibold" w:hAnsi="Segoe UI Semibold" w:cs="Segoe UI Semibold"/>
      <w:bCs/>
    </w:rPr>
  </w:style>
  <w:style w:type="paragraph" w:customStyle="1" w:styleId="MMBullet1">
    <w:name w:val="MM Bullet 1"/>
    <w:basedOn w:val="Mitigationtext"/>
    <w:qFormat/>
    <w:rsid w:val="00631B4A"/>
    <w:pPr>
      <w:numPr>
        <w:numId w:val="7"/>
      </w:numPr>
      <w:spacing w:before="0"/>
    </w:pPr>
  </w:style>
  <w:style w:type="paragraph" w:customStyle="1" w:styleId="MMBullet2">
    <w:name w:val="MM Bullet 2"/>
    <w:basedOn w:val="Bullet2"/>
    <w:qFormat/>
    <w:rsid w:val="00631B4A"/>
    <w:pPr>
      <w:numPr>
        <w:numId w:val="10"/>
      </w:numPr>
    </w:pPr>
  </w:style>
  <w:style w:type="paragraph" w:customStyle="1" w:styleId="TableText">
    <w:name w:val="TableText"/>
    <w:basedOn w:val="Normal"/>
    <w:qFormat/>
    <w:rsid w:val="00631B4A"/>
    <w:pPr>
      <w:spacing w:line="240" w:lineRule="exact"/>
      <w:jc w:val="center"/>
    </w:pPr>
    <w:rPr>
      <w:w w:val="90"/>
      <w:sz w:val="18"/>
      <w:szCs w:val="20"/>
    </w:rPr>
  </w:style>
  <w:style w:type="paragraph" w:customStyle="1" w:styleId="MMBullet3">
    <w:name w:val="MM Bullet 3"/>
    <w:basedOn w:val="BodyText"/>
    <w:qFormat/>
    <w:rsid w:val="00631B4A"/>
    <w:pPr>
      <w:numPr>
        <w:numId w:val="9"/>
      </w:numPr>
    </w:pPr>
  </w:style>
  <w:style w:type="paragraph" w:styleId="CommentText">
    <w:name w:val="annotation text"/>
    <w:basedOn w:val="Normal"/>
    <w:link w:val="CommentTextChar"/>
    <w:uiPriority w:val="99"/>
    <w:unhideWhenUsed/>
    <w:rsid w:val="00D97935"/>
    <w:rPr>
      <w:szCs w:val="20"/>
    </w:rPr>
  </w:style>
  <w:style w:type="character" w:customStyle="1" w:styleId="CommentTextChar">
    <w:name w:val="Comment Text Char"/>
    <w:basedOn w:val="DefaultParagraphFont"/>
    <w:link w:val="CommentText"/>
    <w:uiPriority w:val="99"/>
    <w:rsid w:val="00D97935"/>
    <w:rPr>
      <w:rFonts w:ascii="Franklin Gothic Book" w:eastAsiaTheme="minorHAnsi" w:hAnsi="Franklin Gothic Book"/>
      <w:sz w:val="20"/>
      <w:szCs w:val="20"/>
    </w:rPr>
  </w:style>
  <w:style w:type="character" w:styleId="CommentReference">
    <w:name w:val="annotation reference"/>
    <w:basedOn w:val="DefaultParagraphFont"/>
    <w:uiPriority w:val="99"/>
    <w:unhideWhenUsed/>
    <w:rsid w:val="00D97935"/>
    <w:rPr>
      <w:sz w:val="16"/>
      <w:szCs w:val="16"/>
    </w:rPr>
  </w:style>
  <w:style w:type="paragraph" w:styleId="CommentSubject">
    <w:name w:val="annotation subject"/>
    <w:basedOn w:val="CommentText"/>
    <w:next w:val="CommentText"/>
    <w:link w:val="CommentSubjectChar"/>
    <w:uiPriority w:val="99"/>
    <w:semiHidden/>
    <w:unhideWhenUsed/>
    <w:rsid w:val="007F4779"/>
    <w:rPr>
      <w:b/>
      <w:bCs/>
    </w:rPr>
  </w:style>
  <w:style w:type="character" w:customStyle="1" w:styleId="CommentSubjectChar">
    <w:name w:val="Comment Subject Char"/>
    <w:basedOn w:val="CommentTextChar"/>
    <w:link w:val="CommentSubject"/>
    <w:uiPriority w:val="99"/>
    <w:semiHidden/>
    <w:rsid w:val="007F4779"/>
    <w:rPr>
      <w:rFonts w:ascii="Franklin Gothic Book" w:eastAsiaTheme="minorHAnsi" w:hAnsi="Franklin Gothic Book"/>
      <w:b/>
      <w:bCs/>
      <w:sz w:val="20"/>
      <w:szCs w:val="20"/>
    </w:rPr>
  </w:style>
  <w:style w:type="paragraph" w:customStyle="1" w:styleId="TableBullet1">
    <w:name w:val="Table Bullet 1"/>
    <w:basedOn w:val="Normal"/>
    <w:qFormat/>
    <w:rsid w:val="00631B4A"/>
    <w:pPr>
      <w:numPr>
        <w:numId w:val="6"/>
      </w:numPr>
      <w:spacing w:after="60"/>
      <w:ind w:left="216" w:hanging="216"/>
    </w:pPr>
    <w:rPr>
      <w:bCs/>
      <w:w w:val="90"/>
      <w:sz w:val="18"/>
    </w:rPr>
  </w:style>
  <w:style w:type="paragraph" w:styleId="TOC5">
    <w:name w:val="toc 5"/>
    <w:basedOn w:val="Normal"/>
    <w:next w:val="Normal"/>
    <w:autoRedefine/>
    <w:uiPriority w:val="39"/>
    <w:rsid w:val="00631B4A"/>
    <w:pPr>
      <w:tabs>
        <w:tab w:val="right" w:leader="dot" w:pos="10080"/>
      </w:tabs>
      <w:spacing w:after="100"/>
      <w:ind w:left="720" w:hanging="720"/>
    </w:pPr>
  </w:style>
  <w:style w:type="paragraph" w:customStyle="1" w:styleId="TOCHEAD">
    <w:name w:val="TOCHEAD"/>
    <w:basedOn w:val="Heading1"/>
    <w:qFormat/>
    <w:rsid w:val="00631B4A"/>
    <w:pPr>
      <w:numPr>
        <w:numId w:val="0"/>
      </w:numPr>
    </w:pPr>
  </w:style>
  <w:style w:type="paragraph" w:customStyle="1" w:styleId="TableBullet2">
    <w:name w:val="Table Bullet 2"/>
    <w:basedOn w:val="TableBullet1"/>
    <w:qFormat/>
    <w:rsid w:val="00631B4A"/>
    <w:pPr>
      <w:numPr>
        <w:numId w:val="8"/>
      </w:numPr>
      <w:ind w:left="432" w:hanging="216"/>
    </w:pPr>
  </w:style>
  <w:style w:type="paragraph" w:customStyle="1" w:styleId="Header11x17">
    <w:name w:val="Header_11x17"/>
    <w:basedOn w:val="Header"/>
    <w:qFormat/>
    <w:rsid w:val="00631B4A"/>
    <w:pPr>
      <w:tabs>
        <w:tab w:val="clear" w:pos="5040"/>
        <w:tab w:val="clear" w:pos="10080"/>
        <w:tab w:val="center" w:pos="11160"/>
        <w:tab w:val="right" w:pos="22320"/>
      </w:tabs>
    </w:pPr>
  </w:style>
  <w:style w:type="paragraph" w:customStyle="1" w:styleId="Footer11x17">
    <w:name w:val="Footer_11x17"/>
    <w:basedOn w:val="Footer"/>
    <w:qFormat/>
    <w:rsid w:val="00631B4A"/>
    <w:pPr>
      <w:tabs>
        <w:tab w:val="clear" w:pos="10080"/>
        <w:tab w:val="right" w:pos="22320"/>
      </w:tabs>
    </w:pPr>
  </w:style>
  <w:style w:type="paragraph" w:customStyle="1" w:styleId="BodyText12ptbefore">
    <w:name w:val="Body Text_12pt before"/>
    <w:basedOn w:val="BodyText"/>
    <w:qFormat/>
    <w:rsid w:val="00631B4A"/>
    <w:pPr>
      <w:spacing w:before="240"/>
    </w:pPr>
  </w:style>
  <w:style w:type="character" w:customStyle="1" w:styleId="PhotoChartChar">
    <w:name w:val="Photo/Chart Char"/>
    <w:basedOn w:val="DefaultParagraphFont"/>
    <w:link w:val="PhotoChart"/>
    <w:rsid w:val="00631B4A"/>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631B4A"/>
    <w:pPr>
      <w:keepNext/>
      <w:spacing w:after="50"/>
      <w:jc w:val="center"/>
    </w:pPr>
    <w:rPr>
      <w:rFonts w:eastAsia="Times New Roman" w:cs="Segoe UI Semilight"/>
      <w:noProof/>
    </w:rPr>
  </w:style>
  <w:style w:type="paragraph" w:customStyle="1" w:styleId="PhotoChartDescriptionDoubleLine">
    <w:name w:val="Photo/Chart Description Double Line"/>
    <w:basedOn w:val="Normal"/>
    <w:link w:val="PhotoChartDescriptionDoubleLineChar"/>
    <w:rsid w:val="00631B4A"/>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631B4A"/>
    <w:rPr>
      <w:rFonts w:ascii="Segoe UI Semilight" w:hAnsi="Segoe UI Semilight" w:cs="Segoe UI Semilight"/>
      <w:sz w:val="20"/>
      <w:szCs w:val="24"/>
    </w:rPr>
  </w:style>
  <w:style w:type="paragraph" w:customStyle="1" w:styleId="PhotoChartDescriptionSingleLine">
    <w:name w:val="Photo/Chart Description Single Line"/>
    <w:basedOn w:val="PhotoChartDescriptionDoubleLine"/>
    <w:qFormat/>
    <w:rsid w:val="00631B4A"/>
    <w:pPr>
      <w:spacing w:after="600"/>
    </w:pPr>
  </w:style>
  <w:style w:type="paragraph" w:customStyle="1" w:styleId="PhotoChartPortraitDoubleLine">
    <w:name w:val="Photo/Chart Portrait Double Line"/>
    <w:basedOn w:val="Normal"/>
    <w:qFormat/>
    <w:rsid w:val="00631B4A"/>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631B4A"/>
    <w:pPr>
      <w:keepNext/>
      <w:spacing w:after="120" w:line="240" w:lineRule="auto"/>
      <w:ind w:left="720"/>
    </w:pPr>
    <w:rPr>
      <w:rFonts w:ascii="Segoe UI Semilight" w:hAnsi="Segoe UI Semilight" w:cs="Segoe UI Semilight"/>
      <w:sz w:val="16"/>
      <w:szCs w:val="24"/>
    </w:rPr>
  </w:style>
  <w:style w:type="paragraph" w:customStyle="1" w:styleId="PhotoChartSourcePortrait">
    <w:name w:val="Photo/Chart Source Portrait"/>
    <w:basedOn w:val="PhotoChartSource"/>
    <w:qFormat/>
    <w:rsid w:val="00631B4A"/>
    <w:pPr>
      <w:ind w:left="1683"/>
    </w:pPr>
  </w:style>
  <w:style w:type="paragraph" w:customStyle="1" w:styleId="Figure">
    <w:name w:val="Figure"/>
    <w:basedOn w:val="Normal"/>
    <w:qFormat/>
    <w:rsid w:val="00631B4A"/>
    <w:pPr>
      <w:keepNext/>
      <w:jc w:val="center"/>
    </w:pPr>
  </w:style>
  <w:style w:type="paragraph" w:customStyle="1" w:styleId="FigureSource">
    <w:name w:val="FigureSource"/>
    <w:basedOn w:val="Normal"/>
    <w:qFormat/>
    <w:rsid w:val="00631B4A"/>
    <w:pPr>
      <w:keepNext/>
      <w:spacing w:after="120"/>
    </w:pPr>
    <w:rPr>
      <w:sz w:val="16"/>
    </w:rPr>
  </w:style>
  <w:style w:type="paragraph" w:customStyle="1" w:styleId="FigureTitle">
    <w:name w:val="FigureTitle"/>
    <w:basedOn w:val="Normal"/>
    <w:qFormat/>
    <w:rsid w:val="00631B4A"/>
    <w:pPr>
      <w:spacing w:before="360"/>
    </w:pPr>
    <w:rPr>
      <w:b/>
    </w:rPr>
  </w:style>
  <w:style w:type="paragraph" w:styleId="BalloonText">
    <w:name w:val="Balloon Text"/>
    <w:basedOn w:val="Normal"/>
    <w:link w:val="BalloonTextChar"/>
    <w:uiPriority w:val="99"/>
    <w:semiHidden/>
    <w:unhideWhenUsed/>
    <w:rsid w:val="00631B4A"/>
    <w:rPr>
      <w:rFonts w:ascii="Tahoma" w:hAnsi="Tahoma" w:cs="Tahoma"/>
      <w:sz w:val="16"/>
      <w:szCs w:val="16"/>
    </w:rPr>
  </w:style>
  <w:style w:type="character" w:customStyle="1" w:styleId="BalloonTextChar">
    <w:name w:val="Balloon Text Char"/>
    <w:basedOn w:val="DefaultParagraphFont"/>
    <w:link w:val="BalloonText"/>
    <w:uiPriority w:val="99"/>
    <w:semiHidden/>
    <w:rsid w:val="00631B4A"/>
    <w:rPr>
      <w:rFonts w:ascii="Tahoma" w:eastAsiaTheme="minorHAnsi" w:hAnsi="Tahoma" w:cs="Tahoma"/>
      <w:sz w:val="16"/>
      <w:szCs w:val="16"/>
    </w:rPr>
  </w:style>
  <w:style w:type="paragraph" w:styleId="ListParagraph">
    <w:name w:val="List Paragraph"/>
    <w:basedOn w:val="Normal"/>
    <w:uiPriority w:val="34"/>
    <w:qFormat/>
    <w:rsid w:val="001764B7"/>
    <w:pPr>
      <w:ind w:left="720"/>
      <w:contextualSpacing/>
    </w:pPr>
  </w:style>
  <w:style w:type="character" w:styleId="Hyperlink">
    <w:name w:val="Hyperlink"/>
    <w:basedOn w:val="DefaultParagraphFont"/>
    <w:uiPriority w:val="99"/>
    <w:unhideWhenUsed/>
    <w:rsid w:val="00631B4A"/>
    <w:rPr>
      <w:color w:val="auto"/>
      <w:u w:val="none"/>
    </w:rPr>
  </w:style>
  <w:style w:type="character" w:customStyle="1" w:styleId="UnresolvedMention1">
    <w:name w:val="Unresolved Mention1"/>
    <w:basedOn w:val="DefaultParagraphFont"/>
    <w:uiPriority w:val="99"/>
    <w:semiHidden/>
    <w:unhideWhenUsed/>
    <w:rsid w:val="004107EF"/>
    <w:rPr>
      <w:color w:val="605E5C"/>
      <w:shd w:val="clear" w:color="auto" w:fill="E1DFDD"/>
    </w:rPr>
  </w:style>
  <w:style w:type="paragraph" w:styleId="Title">
    <w:name w:val="Title"/>
    <w:basedOn w:val="Normal"/>
    <w:next w:val="Normal"/>
    <w:link w:val="TitleChar"/>
    <w:autoRedefine/>
    <w:uiPriority w:val="10"/>
    <w:qFormat/>
    <w:rsid w:val="00697D06"/>
    <w:pPr>
      <w:pBdr>
        <w:bottom w:val="single" w:sz="8" w:space="4" w:color="4F81BD" w:themeColor="accent1"/>
      </w:pBdr>
      <w:spacing w:before="240" w:after="360"/>
      <w:contextualSpacing/>
      <w:jc w:val="both"/>
    </w:pPr>
    <w:rPr>
      <w:rFonts w:ascii="Arial" w:eastAsiaTheme="majorEastAsia" w:hAnsi="Arial" w:cstheme="majorBidi"/>
      <w:caps/>
      <w:color w:val="17365D" w:themeColor="text2" w:themeShade="BF"/>
      <w:spacing w:val="5"/>
      <w:kern w:val="28"/>
      <w:sz w:val="28"/>
      <w:szCs w:val="52"/>
    </w:rPr>
  </w:style>
  <w:style w:type="character" w:customStyle="1" w:styleId="TitleChar">
    <w:name w:val="Title Char"/>
    <w:basedOn w:val="DefaultParagraphFont"/>
    <w:link w:val="Title"/>
    <w:uiPriority w:val="10"/>
    <w:rsid w:val="00697D06"/>
    <w:rPr>
      <w:rFonts w:ascii="Arial" w:eastAsiaTheme="majorEastAsia" w:hAnsi="Arial" w:cstheme="majorBidi"/>
      <w:caps/>
      <w:color w:val="17365D" w:themeColor="text2" w:themeShade="BF"/>
      <w:spacing w:val="5"/>
      <w:kern w:val="28"/>
      <w:sz w:val="28"/>
      <w:szCs w:val="52"/>
    </w:rPr>
  </w:style>
  <w:style w:type="character" w:styleId="FollowedHyperlink">
    <w:name w:val="FollowedHyperlink"/>
    <w:basedOn w:val="DefaultParagraphFont"/>
    <w:uiPriority w:val="99"/>
    <w:semiHidden/>
    <w:unhideWhenUsed/>
    <w:rsid w:val="00A2660D"/>
    <w:rPr>
      <w:color w:val="800080" w:themeColor="followedHyperlink"/>
      <w:u w:val="single"/>
    </w:rPr>
  </w:style>
  <w:style w:type="table" w:customStyle="1" w:styleId="Default">
    <w:name w:val="_Default"/>
    <w:basedOn w:val="TableGrid"/>
    <w:uiPriority w:val="99"/>
    <w:rsid w:val="00003830"/>
    <w:rPr>
      <w:rFonts w:ascii="Franklin Gothic Book" w:eastAsia="Calibri" w:hAnsi="Franklin Gothic Book" w:cs="Times New Roman"/>
      <w:sz w:val="20"/>
      <w:szCs w:val="20"/>
    </w:rPr>
    <w:tblPr>
      <w:tblCellMar>
        <w:top w:w="43" w:type="dxa"/>
        <w:left w:w="43" w:type="dxa"/>
        <w:bottom w:w="43" w:type="dxa"/>
        <w:right w:w="43" w:type="dxa"/>
      </w:tblCellMar>
    </w:tblPr>
    <w:tcPr>
      <w:vAlign w:val="center"/>
    </w:tcPr>
    <w:tblStylePr w:type="firstRow">
      <w:pPr>
        <w:wordWrap/>
        <w:spacing w:beforeLines="0" w:before="100" w:beforeAutospacing="1" w:afterLines="0" w:after="100" w:afterAutospacing="1" w:line="240" w:lineRule="auto"/>
        <w:jc w:val="left"/>
      </w:pPr>
      <w:rPr>
        <w:rFonts w:ascii="Franklin Gothic Medium Cond" w:hAnsi="Franklin Gothic Medium Cond" w:hint="default"/>
        <w:b/>
        <w:i w:val="0"/>
        <w:sz w:val="22"/>
        <w:szCs w:val="22"/>
      </w:rPr>
      <w:tblPr/>
      <w:tcPr>
        <w:shd w:val="clear" w:color="auto" w:fill="6C9DD5"/>
      </w:tcPr>
    </w:tblStylePr>
  </w:style>
  <w:style w:type="table" w:styleId="TableGrid">
    <w:name w:val="Table Grid"/>
    <w:basedOn w:val="TableNormal"/>
    <w:uiPriority w:val="59"/>
    <w:rsid w:val="00631B4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F02B5"/>
    <w:rPr>
      <w:color w:val="605E5C"/>
      <w:shd w:val="clear" w:color="auto" w:fill="E1DFDD"/>
    </w:rPr>
  </w:style>
  <w:style w:type="character" w:customStyle="1" w:styleId="Bullet1Char">
    <w:name w:val="Bullet 1 Char"/>
    <w:basedOn w:val="DefaultParagraphFont"/>
    <w:link w:val="Bullet1"/>
    <w:locked/>
    <w:rsid w:val="00023A57"/>
    <w:rPr>
      <w:rFonts w:ascii="Segoe UI Semilight" w:eastAsiaTheme="minorHAnsi" w:hAnsi="Segoe UI Semilight"/>
      <w:bCs/>
      <w:sz w:val="20"/>
    </w:rPr>
  </w:style>
  <w:style w:type="table" w:styleId="LightShading">
    <w:name w:val="Light Shading"/>
    <w:basedOn w:val="TableNormal"/>
    <w:uiPriority w:val="60"/>
    <w:rsid w:val="00631B4A"/>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1">
    <w:name w:val="Table Grid 1"/>
    <w:basedOn w:val="TableNormal"/>
    <w:uiPriority w:val="99"/>
    <w:semiHidden/>
    <w:unhideWhenUsed/>
    <w:rsid w:val="00631B4A"/>
    <w:pPr>
      <w:spacing w:after="0" w:line="240" w:lineRule="auto"/>
    </w:pPr>
    <w:rPr>
      <w:rFonts w:eastAsia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ppendixLetter">
    <w:name w:val="AppendixLetter"/>
    <w:basedOn w:val="Normal"/>
    <w:qFormat/>
    <w:rsid w:val="00631B4A"/>
    <w:pPr>
      <w:pBdr>
        <w:bottom w:val="single" w:sz="24" w:space="1" w:color="auto"/>
      </w:pBdr>
      <w:spacing w:before="5040" w:after="200" w:line="276" w:lineRule="auto"/>
      <w:jc w:val="center"/>
    </w:pPr>
    <w:rPr>
      <w:rFonts w:ascii="Franklin Gothic Medium" w:hAnsi="Franklin Gothic Medium"/>
      <w:b/>
      <w:sz w:val="96"/>
      <w:szCs w:val="72"/>
    </w:rPr>
  </w:style>
  <w:style w:type="paragraph" w:customStyle="1" w:styleId="AppendixTitle">
    <w:name w:val="AppendixTitle"/>
    <w:basedOn w:val="Normal"/>
    <w:qFormat/>
    <w:rsid w:val="00631B4A"/>
    <w:pPr>
      <w:spacing w:after="200" w:line="276" w:lineRule="auto"/>
      <w:jc w:val="center"/>
    </w:pPr>
    <w:rPr>
      <w:rFonts w:ascii="Franklin Gothic Medium" w:hAnsi="Franklin Gothic Medium"/>
      <w:sz w:val="56"/>
      <w:szCs w:val="72"/>
    </w:rPr>
  </w:style>
  <w:style w:type="paragraph" w:customStyle="1" w:styleId="TitleAddress">
    <w:name w:val="Title_Address"/>
    <w:basedOn w:val="Normal"/>
    <w:qFormat/>
    <w:rsid w:val="00631B4A"/>
    <w:pPr>
      <w:spacing w:after="200" w:line="276" w:lineRule="auto"/>
      <w:jc w:val="center"/>
    </w:pPr>
    <w:rPr>
      <w:sz w:val="24"/>
      <w:szCs w:val="28"/>
    </w:rPr>
  </w:style>
  <w:style w:type="paragraph" w:customStyle="1" w:styleId="TitleDate">
    <w:name w:val="Title_Date"/>
    <w:basedOn w:val="Normal"/>
    <w:qFormat/>
    <w:rsid w:val="00631B4A"/>
    <w:pPr>
      <w:spacing w:before="2640" w:after="200" w:line="276" w:lineRule="auto"/>
      <w:jc w:val="center"/>
    </w:pPr>
    <w:rPr>
      <w:rFonts w:ascii="Trebuchet MS" w:hAnsi="Trebuchet MS"/>
      <w:sz w:val="32"/>
      <w:szCs w:val="28"/>
    </w:rPr>
  </w:style>
  <w:style w:type="paragraph" w:customStyle="1" w:styleId="TitlePN">
    <w:name w:val="Title_PN"/>
    <w:basedOn w:val="Normal"/>
    <w:qFormat/>
    <w:rsid w:val="00631B4A"/>
    <w:rPr>
      <w:rFonts w:ascii="Trebuchet MS" w:hAnsi="Trebuchet MS"/>
      <w:sz w:val="16"/>
      <w:szCs w:val="16"/>
    </w:rPr>
  </w:style>
  <w:style w:type="paragraph" w:customStyle="1" w:styleId="TitlePreparedFor">
    <w:name w:val="Title_PreparedFor"/>
    <w:basedOn w:val="Normal"/>
    <w:qFormat/>
    <w:rsid w:val="00631B4A"/>
    <w:pPr>
      <w:spacing w:before="1440" w:after="200" w:line="276" w:lineRule="auto"/>
      <w:jc w:val="center"/>
    </w:pPr>
    <w:rPr>
      <w:rFonts w:ascii="Trebuchet MS" w:hAnsi="Trebuchet MS"/>
      <w:sz w:val="24"/>
      <w:szCs w:val="32"/>
    </w:rPr>
  </w:style>
  <w:style w:type="paragraph" w:customStyle="1" w:styleId="TitleReportClientName">
    <w:name w:val="Title_ReportClientName"/>
    <w:basedOn w:val="Normal"/>
    <w:qFormat/>
    <w:rsid w:val="00631B4A"/>
    <w:pPr>
      <w:spacing w:after="200" w:line="276" w:lineRule="auto"/>
      <w:jc w:val="center"/>
    </w:pPr>
    <w:rPr>
      <w:rFonts w:ascii="Trebuchet MS" w:hAnsi="Trebuchet MS"/>
      <w:sz w:val="28"/>
      <w:szCs w:val="24"/>
    </w:rPr>
  </w:style>
  <w:style w:type="paragraph" w:customStyle="1" w:styleId="TitleReportTitle">
    <w:name w:val="Title_ReportTitle"/>
    <w:basedOn w:val="Normal"/>
    <w:qFormat/>
    <w:rsid w:val="00631B4A"/>
    <w:pPr>
      <w:spacing w:before="1440" w:after="120" w:line="560" w:lineRule="exact"/>
      <w:jc w:val="center"/>
    </w:pPr>
    <w:rPr>
      <w:rFonts w:ascii="Trebuchet MS" w:hAnsi="Trebuchet MS"/>
      <w:sz w:val="40"/>
      <w:szCs w:val="36"/>
    </w:rPr>
  </w:style>
  <w:style w:type="paragraph" w:customStyle="1" w:styleId="Exhibit">
    <w:name w:val="Exhibit"/>
    <w:basedOn w:val="Normal"/>
    <w:qFormat/>
    <w:rsid w:val="00631B4A"/>
    <w:pPr>
      <w:keepNext/>
      <w:jc w:val="center"/>
    </w:pPr>
  </w:style>
  <w:style w:type="paragraph" w:customStyle="1" w:styleId="ExhibitSource">
    <w:name w:val="ExhibitSource"/>
    <w:basedOn w:val="Normal"/>
    <w:qFormat/>
    <w:rsid w:val="00631B4A"/>
    <w:pPr>
      <w:keepNext/>
      <w:spacing w:after="120"/>
    </w:pPr>
    <w:rPr>
      <w:sz w:val="16"/>
    </w:rPr>
  </w:style>
  <w:style w:type="paragraph" w:customStyle="1" w:styleId="ExhibitTitle">
    <w:name w:val="ExhibitTitle"/>
    <w:basedOn w:val="Normal"/>
    <w:qFormat/>
    <w:rsid w:val="00631B4A"/>
    <w:pPr>
      <w:spacing w:before="360"/>
    </w:pPr>
    <w:rPr>
      <w:b/>
    </w:rPr>
  </w:style>
  <w:style w:type="paragraph" w:styleId="Caption">
    <w:name w:val="caption"/>
    <w:basedOn w:val="Normal"/>
    <w:next w:val="Normal"/>
    <w:uiPriority w:val="35"/>
    <w:unhideWhenUsed/>
    <w:qFormat/>
    <w:rsid w:val="00631B4A"/>
    <w:pPr>
      <w:keepNext/>
      <w:spacing w:before="240" w:after="120"/>
      <w:ind w:left="1440" w:hanging="1440"/>
    </w:pPr>
    <w:rPr>
      <w:rFonts w:ascii="Franklin Gothic Demi Cond" w:hAnsi="Franklin Gothic Demi Cond"/>
      <w:iCs/>
      <w:szCs w:val="18"/>
    </w:rPr>
  </w:style>
  <w:style w:type="table" w:styleId="TableGridLight">
    <w:name w:val="Grid Table Light"/>
    <w:basedOn w:val="TableNormal"/>
    <w:uiPriority w:val="40"/>
    <w:rsid w:val="00631B4A"/>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ReportType">
    <w:name w:val="Cover_Report Type"/>
    <w:basedOn w:val="Normal"/>
    <w:qFormat/>
    <w:rsid w:val="00631B4A"/>
    <w:pPr>
      <w:spacing w:before="3360"/>
      <w:ind w:left="-360"/>
    </w:pPr>
    <w:rPr>
      <w:rFonts w:ascii="Trebuchet MS" w:hAnsi="Trebuchet MS"/>
      <w:color w:val="FFFFFF" w:themeColor="background1"/>
      <w:sz w:val="48"/>
    </w:rPr>
  </w:style>
  <w:style w:type="paragraph" w:customStyle="1" w:styleId="CoverProjectName">
    <w:name w:val="Cover_Project Name"/>
    <w:basedOn w:val="BodyText"/>
    <w:qFormat/>
    <w:rsid w:val="00631B4A"/>
    <w:pPr>
      <w:spacing w:before="120"/>
      <w:ind w:left="-360"/>
    </w:pPr>
    <w:rPr>
      <w:rFonts w:ascii="Trebuchet MS" w:hAnsi="Trebuchet MS"/>
      <w:color w:val="FFFFFF" w:themeColor="background1"/>
      <w:sz w:val="40"/>
    </w:rPr>
  </w:style>
  <w:style w:type="paragraph" w:customStyle="1" w:styleId="CoverClientAddr">
    <w:name w:val="Cover_Client Addr"/>
    <w:basedOn w:val="Normal"/>
    <w:qFormat/>
    <w:rsid w:val="00631B4A"/>
    <w:pPr>
      <w:spacing w:before="5520"/>
      <w:jc w:val="right"/>
    </w:pPr>
    <w:rPr>
      <w:rFonts w:ascii="Trebuchet MS" w:hAnsi="Trebuchet MS"/>
      <w:color w:val="FFFFFF" w:themeColor="background1"/>
      <w:sz w:val="22"/>
    </w:rPr>
  </w:style>
  <w:style w:type="paragraph" w:customStyle="1" w:styleId="CoverDate">
    <w:name w:val="Cover_Date"/>
    <w:basedOn w:val="Normal"/>
    <w:qFormat/>
    <w:rsid w:val="00631B4A"/>
    <w:pPr>
      <w:spacing w:before="1320"/>
      <w:jc w:val="right"/>
    </w:pPr>
    <w:rPr>
      <w:rFonts w:ascii="Trebuchet MS" w:hAnsi="Trebuchet MS"/>
      <w:color w:val="FFFFFF" w:themeColor="background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4933">
      <w:bodyDiv w:val="1"/>
      <w:marLeft w:val="0"/>
      <w:marRight w:val="0"/>
      <w:marTop w:val="0"/>
      <w:marBottom w:val="0"/>
      <w:divBdr>
        <w:top w:val="none" w:sz="0" w:space="0" w:color="auto"/>
        <w:left w:val="none" w:sz="0" w:space="0" w:color="auto"/>
        <w:bottom w:val="none" w:sz="0" w:space="0" w:color="auto"/>
        <w:right w:val="none" w:sz="0" w:space="0" w:color="auto"/>
      </w:divBdr>
    </w:div>
    <w:div w:id="26377888">
      <w:bodyDiv w:val="1"/>
      <w:marLeft w:val="0"/>
      <w:marRight w:val="0"/>
      <w:marTop w:val="0"/>
      <w:marBottom w:val="0"/>
      <w:divBdr>
        <w:top w:val="none" w:sz="0" w:space="0" w:color="auto"/>
        <w:left w:val="none" w:sz="0" w:space="0" w:color="auto"/>
        <w:bottom w:val="none" w:sz="0" w:space="0" w:color="auto"/>
        <w:right w:val="none" w:sz="0" w:space="0" w:color="auto"/>
      </w:divBdr>
    </w:div>
    <w:div w:id="67575633">
      <w:bodyDiv w:val="1"/>
      <w:marLeft w:val="0"/>
      <w:marRight w:val="0"/>
      <w:marTop w:val="0"/>
      <w:marBottom w:val="0"/>
      <w:divBdr>
        <w:top w:val="none" w:sz="0" w:space="0" w:color="auto"/>
        <w:left w:val="none" w:sz="0" w:space="0" w:color="auto"/>
        <w:bottom w:val="none" w:sz="0" w:space="0" w:color="auto"/>
        <w:right w:val="none" w:sz="0" w:space="0" w:color="auto"/>
      </w:divBdr>
    </w:div>
    <w:div w:id="95370602">
      <w:bodyDiv w:val="1"/>
      <w:marLeft w:val="0"/>
      <w:marRight w:val="0"/>
      <w:marTop w:val="0"/>
      <w:marBottom w:val="0"/>
      <w:divBdr>
        <w:top w:val="none" w:sz="0" w:space="0" w:color="auto"/>
        <w:left w:val="none" w:sz="0" w:space="0" w:color="auto"/>
        <w:bottom w:val="none" w:sz="0" w:space="0" w:color="auto"/>
        <w:right w:val="none" w:sz="0" w:space="0" w:color="auto"/>
      </w:divBdr>
    </w:div>
    <w:div w:id="141897039">
      <w:bodyDiv w:val="1"/>
      <w:marLeft w:val="0"/>
      <w:marRight w:val="0"/>
      <w:marTop w:val="0"/>
      <w:marBottom w:val="0"/>
      <w:divBdr>
        <w:top w:val="none" w:sz="0" w:space="0" w:color="auto"/>
        <w:left w:val="none" w:sz="0" w:space="0" w:color="auto"/>
        <w:bottom w:val="none" w:sz="0" w:space="0" w:color="auto"/>
        <w:right w:val="none" w:sz="0" w:space="0" w:color="auto"/>
      </w:divBdr>
    </w:div>
    <w:div w:id="285888810">
      <w:bodyDiv w:val="1"/>
      <w:marLeft w:val="0"/>
      <w:marRight w:val="0"/>
      <w:marTop w:val="0"/>
      <w:marBottom w:val="0"/>
      <w:divBdr>
        <w:top w:val="none" w:sz="0" w:space="0" w:color="auto"/>
        <w:left w:val="none" w:sz="0" w:space="0" w:color="auto"/>
        <w:bottom w:val="none" w:sz="0" w:space="0" w:color="auto"/>
        <w:right w:val="none" w:sz="0" w:space="0" w:color="auto"/>
      </w:divBdr>
    </w:div>
    <w:div w:id="363674733">
      <w:bodyDiv w:val="1"/>
      <w:marLeft w:val="0"/>
      <w:marRight w:val="0"/>
      <w:marTop w:val="0"/>
      <w:marBottom w:val="0"/>
      <w:divBdr>
        <w:top w:val="none" w:sz="0" w:space="0" w:color="auto"/>
        <w:left w:val="none" w:sz="0" w:space="0" w:color="auto"/>
        <w:bottom w:val="none" w:sz="0" w:space="0" w:color="auto"/>
        <w:right w:val="none" w:sz="0" w:space="0" w:color="auto"/>
      </w:divBdr>
    </w:div>
    <w:div w:id="417675493">
      <w:bodyDiv w:val="1"/>
      <w:marLeft w:val="0"/>
      <w:marRight w:val="0"/>
      <w:marTop w:val="0"/>
      <w:marBottom w:val="0"/>
      <w:divBdr>
        <w:top w:val="none" w:sz="0" w:space="0" w:color="auto"/>
        <w:left w:val="none" w:sz="0" w:space="0" w:color="auto"/>
        <w:bottom w:val="none" w:sz="0" w:space="0" w:color="auto"/>
        <w:right w:val="none" w:sz="0" w:space="0" w:color="auto"/>
      </w:divBdr>
    </w:div>
    <w:div w:id="435760319">
      <w:bodyDiv w:val="1"/>
      <w:marLeft w:val="0"/>
      <w:marRight w:val="0"/>
      <w:marTop w:val="0"/>
      <w:marBottom w:val="0"/>
      <w:divBdr>
        <w:top w:val="none" w:sz="0" w:space="0" w:color="auto"/>
        <w:left w:val="none" w:sz="0" w:space="0" w:color="auto"/>
        <w:bottom w:val="none" w:sz="0" w:space="0" w:color="auto"/>
        <w:right w:val="none" w:sz="0" w:space="0" w:color="auto"/>
      </w:divBdr>
    </w:div>
    <w:div w:id="469901424">
      <w:bodyDiv w:val="1"/>
      <w:marLeft w:val="0"/>
      <w:marRight w:val="0"/>
      <w:marTop w:val="0"/>
      <w:marBottom w:val="0"/>
      <w:divBdr>
        <w:top w:val="none" w:sz="0" w:space="0" w:color="auto"/>
        <w:left w:val="none" w:sz="0" w:space="0" w:color="auto"/>
        <w:bottom w:val="none" w:sz="0" w:space="0" w:color="auto"/>
        <w:right w:val="none" w:sz="0" w:space="0" w:color="auto"/>
      </w:divBdr>
    </w:div>
    <w:div w:id="498236035">
      <w:bodyDiv w:val="1"/>
      <w:marLeft w:val="0"/>
      <w:marRight w:val="0"/>
      <w:marTop w:val="0"/>
      <w:marBottom w:val="0"/>
      <w:divBdr>
        <w:top w:val="none" w:sz="0" w:space="0" w:color="auto"/>
        <w:left w:val="none" w:sz="0" w:space="0" w:color="auto"/>
        <w:bottom w:val="none" w:sz="0" w:space="0" w:color="auto"/>
        <w:right w:val="none" w:sz="0" w:space="0" w:color="auto"/>
      </w:divBdr>
    </w:div>
    <w:div w:id="506361755">
      <w:bodyDiv w:val="1"/>
      <w:marLeft w:val="0"/>
      <w:marRight w:val="0"/>
      <w:marTop w:val="0"/>
      <w:marBottom w:val="0"/>
      <w:divBdr>
        <w:top w:val="none" w:sz="0" w:space="0" w:color="auto"/>
        <w:left w:val="none" w:sz="0" w:space="0" w:color="auto"/>
        <w:bottom w:val="none" w:sz="0" w:space="0" w:color="auto"/>
        <w:right w:val="none" w:sz="0" w:space="0" w:color="auto"/>
      </w:divBdr>
      <w:divsChild>
        <w:div w:id="138887192">
          <w:marLeft w:val="0"/>
          <w:marRight w:val="0"/>
          <w:marTop w:val="0"/>
          <w:marBottom w:val="0"/>
          <w:divBdr>
            <w:top w:val="none" w:sz="0" w:space="0" w:color="auto"/>
            <w:left w:val="none" w:sz="0" w:space="0" w:color="auto"/>
            <w:bottom w:val="none" w:sz="0" w:space="0" w:color="auto"/>
            <w:right w:val="none" w:sz="0" w:space="0" w:color="auto"/>
          </w:divBdr>
        </w:div>
        <w:div w:id="1804151071">
          <w:marLeft w:val="0"/>
          <w:marRight w:val="0"/>
          <w:marTop w:val="0"/>
          <w:marBottom w:val="0"/>
          <w:divBdr>
            <w:top w:val="none" w:sz="0" w:space="0" w:color="auto"/>
            <w:left w:val="none" w:sz="0" w:space="0" w:color="auto"/>
            <w:bottom w:val="none" w:sz="0" w:space="0" w:color="auto"/>
            <w:right w:val="none" w:sz="0" w:space="0" w:color="auto"/>
          </w:divBdr>
        </w:div>
        <w:div w:id="782262642">
          <w:marLeft w:val="0"/>
          <w:marRight w:val="0"/>
          <w:marTop w:val="0"/>
          <w:marBottom w:val="0"/>
          <w:divBdr>
            <w:top w:val="none" w:sz="0" w:space="0" w:color="auto"/>
            <w:left w:val="none" w:sz="0" w:space="0" w:color="auto"/>
            <w:bottom w:val="none" w:sz="0" w:space="0" w:color="auto"/>
            <w:right w:val="none" w:sz="0" w:space="0" w:color="auto"/>
          </w:divBdr>
        </w:div>
        <w:div w:id="2054035753">
          <w:marLeft w:val="0"/>
          <w:marRight w:val="0"/>
          <w:marTop w:val="0"/>
          <w:marBottom w:val="0"/>
          <w:divBdr>
            <w:top w:val="none" w:sz="0" w:space="0" w:color="auto"/>
            <w:left w:val="none" w:sz="0" w:space="0" w:color="auto"/>
            <w:bottom w:val="none" w:sz="0" w:space="0" w:color="auto"/>
            <w:right w:val="none" w:sz="0" w:space="0" w:color="auto"/>
          </w:divBdr>
        </w:div>
        <w:div w:id="1501123048">
          <w:marLeft w:val="0"/>
          <w:marRight w:val="0"/>
          <w:marTop w:val="0"/>
          <w:marBottom w:val="0"/>
          <w:divBdr>
            <w:top w:val="none" w:sz="0" w:space="0" w:color="auto"/>
            <w:left w:val="none" w:sz="0" w:space="0" w:color="auto"/>
            <w:bottom w:val="none" w:sz="0" w:space="0" w:color="auto"/>
            <w:right w:val="none" w:sz="0" w:space="0" w:color="auto"/>
          </w:divBdr>
        </w:div>
        <w:div w:id="1479760140">
          <w:marLeft w:val="0"/>
          <w:marRight w:val="0"/>
          <w:marTop w:val="0"/>
          <w:marBottom w:val="0"/>
          <w:divBdr>
            <w:top w:val="none" w:sz="0" w:space="0" w:color="auto"/>
            <w:left w:val="none" w:sz="0" w:space="0" w:color="auto"/>
            <w:bottom w:val="none" w:sz="0" w:space="0" w:color="auto"/>
            <w:right w:val="none" w:sz="0" w:space="0" w:color="auto"/>
          </w:divBdr>
        </w:div>
        <w:div w:id="1195774056">
          <w:marLeft w:val="0"/>
          <w:marRight w:val="0"/>
          <w:marTop w:val="0"/>
          <w:marBottom w:val="0"/>
          <w:divBdr>
            <w:top w:val="none" w:sz="0" w:space="0" w:color="auto"/>
            <w:left w:val="none" w:sz="0" w:space="0" w:color="auto"/>
            <w:bottom w:val="none" w:sz="0" w:space="0" w:color="auto"/>
            <w:right w:val="none" w:sz="0" w:space="0" w:color="auto"/>
          </w:divBdr>
        </w:div>
        <w:div w:id="77412465">
          <w:marLeft w:val="0"/>
          <w:marRight w:val="0"/>
          <w:marTop w:val="0"/>
          <w:marBottom w:val="0"/>
          <w:divBdr>
            <w:top w:val="none" w:sz="0" w:space="0" w:color="auto"/>
            <w:left w:val="none" w:sz="0" w:space="0" w:color="auto"/>
            <w:bottom w:val="none" w:sz="0" w:space="0" w:color="auto"/>
            <w:right w:val="none" w:sz="0" w:space="0" w:color="auto"/>
          </w:divBdr>
        </w:div>
        <w:div w:id="1358656397">
          <w:marLeft w:val="0"/>
          <w:marRight w:val="0"/>
          <w:marTop w:val="0"/>
          <w:marBottom w:val="0"/>
          <w:divBdr>
            <w:top w:val="none" w:sz="0" w:space="0" w:color="auto"/>
            <w:left w:val="none" w:sz="0" w:space="0" w:color="auto"/>
            <w:bottom w:val="none" w:sz="0" w:space="0" w:color="auto"/>
            <w:right w:val="none" w:sz="0" w:space="0" w:color="auto"/>
          </w:divBdr>
        </w:div>
      </w:divsChild>
    </w:div>
    <w:div w:id="655498635">
      <w:bodyDiv w:val="1"/>
      <w:marLeft w:val="0"/>
      <w:marRight w:val="0"/>
      <w:marTop w:val="0"/>
      <w:marBottom w:val="0"/>
      <w:divBdr>
        <w:top w:val="none" w:sz="0" w:space="0" w:color="auto"/>
        <w:left w:val="none" w:sz="0" w:space="0" w:color="auto"/>
        <w:bottom w:val="none" w:sz="0" w:space="0" w:color="auto"/>
        <w:right w:val="none" w:sz="0" w:space="0" w:color="auto"/>
      </w:divBdr>
      <w:divsChild>
        <w:div w:id="1067922459">
          <w:marLeft w:val="0"/>
          <w:marRight w:val="0"/>
          <w:marTop w:val="0"/>
          <w:marBottom w:val="0"/>
          <w:divBdr>
            <w:top w:val="none" w:sz="0" w:space="0" w:color="auto"/>
            <w:left w:val="none" w:sz="0" w:space="0" w:color="auto"/>
            <w:bottom w:val="none" w:sz="0" w:space="0" w:color="auto"/>
            <w:right w:val="none" w:sz="0" w:space="0" w:color="auto"/>
          </w:divBdr>
        </w:div>
        <w:div w:id="373576894">
          <w:marLeft w:val="45"/>
          <w:marRight w:val="45"/>
          <w:marTop w:val="15"/>
          <w:marBottom w:val="0"/>
          <w:divBdr>
            <w:top w:val="none" w:sz="0" w:space="0" w:color="auto"/>
            <w:left w:val="none" w:sz="0" w:space="0" w:color="auto"/>
            <w:bottom w:val="none" w:sz="0" w:space="0" w:color="auto"/>
            <w:right w:val="none" w:sz="0" w:space="0" w:color="auto"/>
          </w:divBdr>
          <w:divsChild>
            <w:div w:id="14991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8147">
      <w:bodyDiv w:val="1"/>
      <w:marLeft w:val="0"/>
      <w:marRight w:val="0"/>
      <w:marTop w:val="0"/>
      <w:marBottom w:val="0"/>
      <w:divBdr>
        <w:top w:val="none" w:sz="0" w:space="0" w:color="auto"/>
        <w:left w:val="none" w:sz="0" w:space="0" w:color="auto"/>
        <w:bottom w:val="none" w:sz="0" w:space="0" w:color="auto"/>
        <w:right w:val="none" w:sz="0" w:space="0" w:color="auto"/>
      </w:divBdr>
    </w:div>
    <w:div w:id="772549947">
      <w:bodyDiv w:val="1"/>
      <w:marLeft w:val="0"/>
      <w:marRight w:val="0"/>
      <w:marTop w:val="0"/>
      <w:marBottom w:val="0"/>
      <w:divBdr>
        <w:top w:val="none" w:sz="0" w:space="0" w:color="auto"/>
        <w:left w:val="none" w:sz="0" w:space="0" w:color="auto"/>
        <w:bottom w:val="none" w:sz="0" w:space="0" w:color="auto"/>
        <w:right w:val="none" w:sz="0" w:space="0" w:color="auto"/>
      </w:divBdr>
    </w:div>
    <w:div w:id="825560304">
      <w:bodyDiv w:val="1"/>
      <w:marLeft w:val="0"/>
      <w:marRight w:val="0"/>
      <w:marTop w:val="0"/>
      <w:marBottom w:val="0"/>
      <w:divBdr>
        <w:top w:val="none" w:sz="0" w:space="0" w:color="auto"/>
        <w:left w:val="none" w:sz="0" w:space="0" w:color="auto"/>
        <w:bottom w:val="none" w:sz="0" w:space="0" w:color="auto"/>
        <w:right w:val="none" w:sz="0" w:space="0" w:color="auto"/>
      </w:divBdr>
    </w:div>
    <w:div w:id="894856062">
      <w:bodyDiv w:val="1"/>
      <w:marLeft w:val="0"/>
      <w:marRight w:val="0"/>
      <w:marTop w:val="0"/>
      <w:marBottom w:val="0"/>
      <w:divBdr>
        <w:top w:val="none" w:sz="0" w:space="0" w:color="auto"/>
        <w:left w:val="none" w:sz="0" w:space="0" w:color="auto"/>
        <w:bottom w:val="none" w:sz="0" w:space="0" w:color="auto"/>
        <w:right w:val="none" w:sz="0" w:space="0" w:color="auto"/>
      </w:divBdr>
    </w:div>
    <w:div w:id="1012488287">
      <w:bodyDiv w:val="1"/>
      <w:marLeft w:val="0"/>
      <w:marRight w:val="0"/>
      <w:marTop w:val="0"/>
      <w:marBottom w:val="0"/>
      <w:divBdr>
        <w:top w:val="none" w:sz="0" w:space="0" w:color="auto"/>
        <w:left w:val="none" w:sz="0" w:space="0" w:color="auto"/>
        <w:bottom w:val="none" w:sz="0" w:space="0" w:color="auto"/>
        <w:right w:val="none" w:sz="0" w:space="0" w:color="auto"/>
      </w:divBdr>
    </w:div>
    <w:div w:id="1071465141">
      <w:bodyDiv w:val="1"/>
      <w:marLeft w:val="0"/>
      <w:marRight w:val="0"/>
      <w:marTop w:val="0"/>
      <w:marBottom w:val="0"/>
      <w:divBdr>
        <w:top w:val="none" w:sz="0" w:space="0" w:color="auto"/>
        <w:left w:val="none" w:sz="0" w:space="0" w:color="auto"/>
        <w:bottom w:val="none" w:sz="0" w:space="0" w:color="auto"/>
        <w:right w:val="none" w:sz="0" w:space="0" w:color="auto"/>
      </w:divBdr>
      <w:divsChild>
        <w:div w:id="1631394289">
          <w:marLeft w:val="0"/>
          <w:marRight w:val="0"/>
          <w:marTop w:val="0"/>
          <w:marBottom w:val="0"/>
          <w:divBdr>
            <w:top w:val="none" w:sz="0" w:space="0" w:color="auto"/>
            <w:left w:val="none" w:sz="0" w:space="0" w:color="auto"/>
            <w:bottom w:val="none" w:sz="0" w:space="0" w:color="auto"/>
            <w:right w:val="none" w:sz="0" w:space="0" w:color="auto"/>
          </w:divBdr>
        </w:div>
        <w:div w:id="795636276">
          <w:marLeft w:val="0"/>
          <w:marRight w:val="0"/>
          <w:marTop w:val="0"/>
          <w:marBottom w:val="0"/>
          <w:divBdr>
            <w:top w:val="none" w:sz="0" w:space="0" w:color="auto"/>
            <w:left w:val="none" w:sz="0" w:space="0" w:color="auto"/>
            <w:bottom w:val="none" w:sz="0" w:space="0" w:color="auto"/>
            <w:right w:val="none" w:sz="0" w:space="0" w:color="auto"/>
          </w:divBdr>
        </w:div>
        <w:div w:id="1316447964">
          <w:marLeft w:val="0"/>
          <w:marRight w:val="0"/>
          <w:marTop w:val="0"/>
          <w:marBottom w:val="0"/>
          <w:divBdr>
            <w:top w:val="none" w:sz="0" w:space="0" w:color="auto"/>
            <w:left w:val="none" w:sz="0" w:space="0" w:color="auto"/>
            <w:bottom w:val="none" w:sz="0" w:space="0" w:color="auto"/>
            <w:right w:val="none" w:sz="0" w:space="0" w:color="auto"/>
          </w:divBdr>
        </w:div>
        <w:div w:id="922303545">
          <w:marLeft w:val="0"/>
          <w:marRight w:val="0"/>
          <w:marTop w:val="0"/>
          <w:marBottom w:val="0"/>
          <w:divBdr>
            <w:top w:val="none" w:sz="0" w:space="0" w:color="auto"/>
            <w:left w:val="none" w:sz="0" w:space="0" w:color="auto"/>
            <w:bottom w:val="none" w:sz="0" w:space="0" w:color="auto"/>
            <w:right w:val="none" w:sz="0" w:space="0" w:color="auto"/>
          </w:divBdr>
        </w:div>
        <w:div w:id="1683623187">
          <w:marLeft w:val="0"/>
          <w:marRight w:val="0"/>
          <w:marTop w:val="0"/>
          <w:marBottom w:val="0"/>
          <w:divBdr>
            <w:top w:val="none" w:sz="0" w:space="0" w:color="auto"/>
            <w:left w:val="none" w:sz="0" w:space="0" w:color="auto"/>
            <w:bottom w:val="none" w:sz="0" w:space="0" w:color="auto"/>
            <w:right w:val="none" w:sz="0" w:space="0" w:color="auto"/>
          </w:divBdr>
        </w:div>
        <w:div w:id="499546705">
          <w:marLeft w:val="0"/>
          <w:marRight w:val="0"/>
          <w:marTop w:val="0"/>
          <w:marBottom w:val="0"/>
          <w:divBdr>
            <w:top w:val="none" w:sz="0" w:space="0" w:color="auto"/>
            <w:left w:val="none" w:sz="0" w:space="0" w:color="auto"/>
            <w:bottom w:val="none" w:sz="0" w:space="0" w:color="auto"/>
            <w:right w:val="none" w:sz="0" w:space="0" w:color="auto"/>
          </w:divBdr>
        </w:div>
        <w:div w:id="630943640">
          <w:marLeft w:val="0"/>
          <w:marRight w:val="0"/>
          <w:marTop w:val="0"/>
          <w:marBottom w:val="0"/>
          <w:divBdr>
            <w:top w:val="none" w:sz="0" w:space="0" w:color="auto"/>
            <w:left w:val="none" w:sz="0" w:space="0" w:color="auto"/>
            <w:bottom w:val="none" w:sz="0" w:space="0" w:color="auto"/>
            <w:right w:val="none" w:sz="0" w:space="0" w:color="auto"/>
          </w:divBdr>
        </w:div>
        <w:div w:id="1037854445">
          <w:marLeft w:val="0"/>
          <w:marRight w:val="0"/>
          <w:marTop w:val="0"/>
          <w:marBottom w:val="0"/>
          <w:divBdr>
            <w:top w:val="none" w:sz="0" w:space="0" w:color="auto"/>
            <w:left w:val="none" w:sz="0" w:space="0" w:color="auto"/>
            <w:bottom w:val="none" w:sz="0" w:space="0" w:color="auto"/>
            <w:right w:val="none" w:sz="0" w:space="0" w:color="auto"/>
          </w:divBdr>
        </w:div>
        <w:div w:id="977686525">
          <w:marLeft w:val="0"/>
          <w:marRight w:val="0"/>
          <w:marTop w:val="0"/>
          <w:marBottom w:val="0"/>
          <w:divBdr>
            <w:top w:val="none" w:sz="0" w:space="0" w:color="auto"/>
            <w:left w:val="none" w:sz="0" w:space="0" w:color="auto"/>
            <w:bottom w:val="none" w:sz="0" w:space="0" w:color="auto"/>
            <w:right w:val="none" w:sz="0" w:space="0" w:color="auto"/>
          </w:divBdr>
        </w:div>
      </w:divsChild>
    </w:div>
    <w:div w:id="1106660505">
      <w:bodyDiv w:val="1"/>
      <w:marLeft w:val="0"/>
      <w:marRight w:val="0"/>
      <w:marTop w:val="0"/>
      <w:marBottom w:val="0"/>
      <w:divBdr>
        <w:top w:val="none" w:sz="0" w:space="0" w:color="auto"/>
        <w:left w:val="none" w:sz="0" w:space="0" w:color="auto"/>
        <w:bottom w:val="none" w:sz="0" w:space="0" w:color="auto"/>
        <w:right w:val="none" w:sz="0" w:space="0" w:color="auto"/>
      </w:divBdr>
    </w:div>
    <w:div w:id="1163819066">
      <w:bodyDiv w:val="1"/>
      <w:marLeft w:val="0"/>
      <w:marRight w:val="0"/>
      <w:marTop w:val="0"/>
      <w:marBottom w:val="0"/>
      <w:divBdr>
        <w:top w:val="none" w:sz="0" w:space="0" w:color="auto"/>
        <w:left w:val="none" w:sz="0" w:space="0" w:color="auto"/>
        <w:bottom w:val="none" w:sz="0" w:space="0" w:color="auto"/>
        <w:right w:val="none" w:sz="0" w:space="0" w:color="auto"/>
      </w:divBdr>
    </w:div>
    <w:div w:id="1228111190">
      <w:bodyDiv w:val="1"/>
      <w:marLeft w:val="0"/>
      <w:marRight w:val="0"/>
      <w:marTop w:val="0"/>
      <w:marBottom w:val="0"/>
      <w:divBdr>
        <w:top w:val="none" w:sz="0" w:space="0" w:color="auto"/>
        <w:left w:val="none" w:sz="0" w:space="0" w:color="auto"/>
        <w:bottom w:val="none" w:sz="0" w:space="0" w:color="auto"/>
        <w:right w:val="none" w:sz="0" w:space="0" w:color="auto"/>
      </w:divBdr>
    </w:div>
    <w:div w:id="1228345692">
      <w:bodyDiv w:val="1"/>
      <w:marLeft w:val="0"/>
      <w:marRight w:val="0"/>
      <w:marTop w:val="0"/>
      <w:marBottom w:val="0"/>
      <w:divBdr>
        <w:top w:val="none" w:sz="0" w:space="0" w:color="auto"/>
        <w:left w:val="none" w:sz="0" w:space="0" w:color="auto"/>
        <w:bottom w:val="none" w:sz="0" w:space="0" w:color="auto"/>
        <w:right w:val="none" w:sz="0" w:space="0" w:color="auto"/>
      </w:divBdr>
    </w:div>
    <w:div w:id="1284846347">
      <w:bodyDiv w:val="1"/>
      <w:marLeft w:val="0"/>
      <w:marRight w:val="0"/>
      <w:marTop w:val="0"/>
      <w:marBottom w:val="0"/>
      <w:divBdr>
        <w:top w:val="none" w:sz="0" w:space="0" w:color="auto"/>
        <w:left w:val="none" w:sz="0" w:space="0" w:color="auto"/>
        <w:bottom w:val="none" w:sz="0" w:space="0" w:color="auto"/>
        <w:right w:val="none" w:sz="0" w:space="0" w:color="auto"/>
      </w:divBdr>
    </w:div>
    <w:div w:id="1335106250">
      <w:bodyDiv w:val="1"/>
      <w:marLeft w:val="0"/>
      <w:marRight w:val="0"/>
      <w:marTop w:val="0"/>
      <w:marBottom w:val="0"/>
      <w:divBdr>
        <w:top w:val="none" w:sz="0" w:space="0" w:color="auto"/>
        <w:left w:val="none" w:sz="0" w:space="0" w:color="auto"/>
        <w:bottom w:val="none" w:sz="0" w:space="0" w:color="auto"/>
        <w:right w:val="none" w:sz="0" w:space="0" w:color="auto"/>
      </w:divBdr>
      <w:divsChild>
        <w:div w:id="1853954048">
          <w:marLeft w:val="0"/>
          <w:marRight w:val="0"/>
          <w:marTop w:val="0"/>
          <w:marBottom w:val="0"/>
          <w:divBdr>
            <w:top w:val="none" w:sz="0" w:space="0" w:color="auto"/>
            <w:left w:val="none" w:sz="0" w:space="0" w:color="auto"/>
            <w:bottom w:val="none" w:sz="0" w:space="0" w:color="auto"/>
            <w:right w:val="none" w:sz="0" w:space="0" w:color="auto"/>
          </w:divBdr>
          <w:divsChild>
            <w:div w:id="10305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0506">
      <w:bodyDiv w:val="1"/>
      <w:marLeft w:val="0"/>
      <w:marRight w:val="0"/>
      <w:marTop w:val="0"/>
      <w:marBottom w:val="0"/>
      <w:divBdr>
        <w:top w:val="none" w:sz="0" w:space="0" w:color="auto"/>
        <w:left w:val="none" w:sz="0" w:space="0" w:color="auto"/>
        <w:bottom w:val="none" w:sz="0" w:space="0" w:color="auto"/>
        <w:right w:val="none" w:sz="0" w:space="0" w:color="auto"/>
      </w:divBdr>
    </w:div>
    <w:div w:id="1421023292">
      <w:bodyDiv w:val="1"/>
      <w:marLeft w:val="0"/>
      <w:marRight w:val="0"/>
      <w:marTop w:val="0"/>
      <w:marBottom w:val="0"/>
      <w:divBdr>
        <w:top w:val="none" w:sz="0" w:space="0" w:color="auto"/>
        <w:left w:val="none" w:sz="0" w:space="0" w:color="auto"/>
        <w:bottom w:val="none" w:sz="0" w:space="0" w:color="auto"/>
        <w:right w:val="none" w:sz="0" w:space="0" w:color="auto"/>
      </w:divBdr>
    </w:div>
    <w:div w:id="1467627980">
      <w:bodyDiv w:val="1"/>
      <w:marLeft w:val="0"/>
      <w:marRight w:val="0"/>
      <w:marTop w:val="0"/>
      <w:marBottom w:val="0"/>
      <w:divBdr>
        <w:top w:val="none" w:sz="0" w:space="0" w:color="auto"/>
        <w:left w:val="none" w:sz="0" w:space="0" w:color="auto"/>
        <w:bottom w:val="none" w:sz="0" w:space="0" w:color="auto"/>
        <w:right w:val="none" w:sz="0" w:space="0" w:color="auto"/>
      </w:divBdr>
    </w:div>
    <w:div w:id="1535847614">
      <w:bodyDiv w:val="1"/>
      <w:marLeft w:val="0"/>
      <w:marRight w:val="0"/>
      <w:marTop w:val="0"/>
      <w:marBottom w:val="0"/>
      <w:divBdr>
        <w:top w:val="none" w:sz="0" w:space="0" w:color="auto"/>
        <w:left w:val="none" w:sz="0" w:space="0" w:color="auto"/>
        <w:bottom w:val="none" w:sz="0" w:space="0" w:color="auto"/>
        <w:right w:val="none" w:sz="0" w:space="0" w:color="auto"/>
      </w:divBdr>
    </w:div>
    <w:div w:id="1660428663">
      <w:bodyDiv w:val="1"/>
      <w:marLeft w:val="0"/>
      <w:marRight w:val="0"/>
      <w:marTop w:val="0"/>
      <w:marBottom w:val="0"/>
      <w:divBdr>
        <w:top w:val="none" w:sz="0" w:space="0" w:color="auto"/>
        <w:left w:val="none" w:sz="0" w:space="0" w:color="auto"/>
        <w:bottom w:val="none" w:sz="0" w:space="0" w:color="auto"/>
        <w:right w:val="none" w:sz="0" w:space="0" w:color="auto"/>
      </w:divBdr>
    </w:div>
    <w:div w:id="1711950814">
      <w:bodyDiv w:val="1"/>
      <w:marLeft w:val="0"/>
      <w:marRight w:val="0"/>
      <w:marTop w:val="0"/>
      <w:marBottom w:val="0"/>
      <w:divBdr>
        <w:top w:val="none" w:sz="0" w:space="0" w:color="auto"/>
        <w:left w:val="none" w:sz="0" w:space="0" w:color="auto"/>
        <w:bottom w:val="none" w:sz="0" w:space="0" w:color="auto"/>
        <w:right w:val="none" w:sz="0" w:space="0" w:color="auto"/>
      </w:divBdr>
    </w:div>
    <w:div w:id="1758557694">
      <w:bodyDiv w:val="1"/>
      <w:marLeft w:val="0"/>
      <w:marRight w:val="0"/>
      <w:marTop w:val="0"/>
      <w:marBottom w:val="0"/>
      <w:divBdr>
        <w:top w:val="none" w:sz="0" w:space="0" w:color="auto"/>
        <w:left w:val="none" w:sz="0" w:space="0" w:color="auto"/>
        <w:bottom w:val="none" w:sz="0" w:space="0" w:color="auto"/>
        <w:right w:val="none" w:sz="0" w:space="0" w:color="auto"/>
      </w:divBdr>
    </w:div>
    <w:div w:id="1760910280">
      <w:bodyDiv w:val="1"/>
      <w:marLeft w:val="0"/>
      <w:marRight w:val="0"/>
      <w:marTop w:val="0"/>
      <w:marBottom w:val="0"/>
      <w:divBdr>
        <w:top w:val="none" w:sz="0" w:space="0" w:color="auto"/>
        <w:left w:val="none" w:sz="0" w:space="0" w:color="auto"/>
        <w:bottom w:val="none" w:sz="0" w:space="0" w:color="auto"/>
        <w:right w:val="none" w:sz="0" w:space="0" w:color="auto"/>
      </w:divBdr>
    </w:div>
    <w:div w:id="1850942885">
      <w:bodyDiv w:val="1"/>
      <w:marLeft w:val="0"/>
      <w:marRight w:val="0"/>
      <w:marTop w:val="0"/>
      <w:marBottom w:val="0"/>
      <w:divBdr>
        <w:top w:val="none" w:sz="0" w:space="0" w:color="auto"/>
        <w:left w:val="none" w:sz="0" w:space="0" w:color="auto"/>
        <w:bottom w:val="none" w:sz="0" w:space="0" w:color="auto"/>
        <w:right w:val="none" w:sz="0" w:space="0" w:color="auto"/>
      </w:divBdr>
    </w:div>
    <w:div w:id="1873297082">
      <w:bodyDiv w:val="1"/>
      <w:marLeft w:val="0"/>
      <w:marRight w:val="0"/>
      <w:marTop w:val="0"/>
      <w:marBottom w:val="0"/>
      <w:divBdr>
        <w:top w:val="none" w:sz="0" w:space="0" w:color="auto"/>
        <w:left w:val="none" w:sz="0" w:space="0" w:color="auto"/>
        <w:bottom w:val="none" w:sz="0" w:space="0" w:color="auto"/>
        <w:right w:val="none" w:sz="0" w:space="0" w:color="auto"/>
      </w:divBdr>
    </w:div>
    <w:div w:id="1878617592">
      <w:bodyDiv w:val="1"/>
      <w:marLeft w:val="0"/>
      <w:marRight w:val="0"/>
      <w:marTop w:val="0"/>
      <w:marBottom w:val="0"/>
      <w:divBdr>
        <w:top w:val="none" w:sz="0" w:space="0" w:color="auto"/>
        <w:left w:val="none" w:sz="0" w:space="0" w:color="auto"/>
        <w:bottom w:val="none" w:sz="0" w:space="0" w:color="auto"/>
        <w:right w:val="none" w:sz="0" w:space="0" w:color="auto"/>
      </w:divBdr>
    </w:div>
    <w:div w:id="1943605727">
      <w:bodyDiv w:val="1"/>
      <w:marLeft w:val="0"/>
      <w:marRight w:val="0"/>
      <w:marTop w:val="0"/>
      <w:marBottom w:val="0"/>
      <w:divBdr>
        <w:top w:val="none" w:sz="0" w:space="0" w:color="auto"/>
        <w:left w:val="none" w:sz="0" w:space="0" w:color="auto"/>
        <w:bottom w:val="none" w:sz="0" w:space="0" w:color="auto"/>
        <w:right w:val="none" w:sz="0" w:space="0" w:color="auto"/>
      </w:divBdr>
    </w:div>
    <w:div w:id="1963656557">
      <w:bodyDiv w:val="1"/>
      <w:marLeft w:val="0"/>
      <w:marRight w:val="0"/>
      <w:marTop w:val="0"/>
      <w:marBottom w:val="0"/>
      <w:divBdr>
        <w:top w:val="none" w:sz="0" w:space="0" w:color="auto"/>
        <w:left w:val="none" w:sz="0" w:space="0" w:color="auto"/>
        <w:bottom w:val="none" w:sz="0" w:space="0" w:color="auto"/>
        <w:right w:val="none" w:sz="0" w:space="0" w:color="auto"/>
      </w:divBdr>
    </w:div>
    <w:div w:id="2043555212">
      <w:bodyDiv w:val="1"/>
      <w:marLeft w:val="0"/>
      <w:marRight w:val="0"/>
      <w:marTop w:val="0"/>
      <w:marBottom w:val="0"/>
      <w:divBdr>
        <w:top w:val="none" w:sz="0" w:space="0" w:color="auto"/>
        <w:left w:val="none" w:sz="0" w:space="0" w:color="auto"/>
        <w:bottom w:val="none" w:sz="0" w:space="0" w:color="auto"/>
        <w:right w:val="none" w:sz="0" w:space="0" w:color="auto"/>
      </w:divBdr>
    </w:div>
    <w:div w:id="2044553393">
      <w:bodyDiv w:val="1"/>
      <w:marLeft w:val="0"/>
      <w:marRight w:val="0"/>
      <w:marTop w:val="0"/>
      <w:marBottom w:val="0"/>
      <w:divBdr>
        <w:top w:val="none" w:sz="0" w:space="0" w:color="auto"/>
        <w:left w:val="none" w:sz="0" w:space="0" w:color="auto"/>
        <w:bottom w:val="none" w:sz="0" w:space="0" w:color="auto"/>
        <w:right w:val="none" w:sz="0" w:space="0" w:color="auto"/>
      </w:divBdr>
    </w:div>
    <w:div w:id="2085494455">
      <w:bodyDiv w:val="1"/>
      <w:marLeft w:val="0"/>
      <w:marRight w:val="0"/>
      <w:marTop w:val="0"/>
      <w:marBottom w:val="0"/>
      <w:divBdr>
        <w:top w:val="none" w:sz="0" w:space="0" w:color="auto"/>
        <w:left w:val="none" w:sz="0" w:space="0" w:color="auto"/>
        <w:bottom w:val="none" w:sz="0" w:space="0" w:color="auto"/>
        <w:right w:val="none" w:sz="0" w:space="0" w:color="auto"/>
      </w:divBdr>
    </w:div>
    <w:div w:id="2087528240">
      <w:bodyDiv w:val="1"/>
      <w:marLeft w:val="0"/>
      <w:marRight w:val="0"/>
      <w:marTop w:val="0"/>
      <w:marBottom w:val="0"/>
      <w:divBdr>
        <w:top w:val="none" w:sz="0" w:space="0" w:color="auto"/>
        <w:left w:val="none" w:sz="0" w:space="0" w:color="auto"/>
        <w:bottom w:val="none" w:sz="0" w:space="0" w:color="auto"/>
        <w:right w:val="none" w:sz="0" w:space="0" w:color="auto"/>
      </w:divBdr>
    </w:div>
    <w:div w:id="2102213422">
      <w:bodyDiv w:val="1"/>
      <w:marLeft w:val="0"/>
      <w:marRight w:val="0"/>
      <w:marTop w:val="0"/>
      <w:marBottom w:val="0"/>
      <w:divBdr>
        <w:top w:val="none" w:sz="0" w:space="0" w:color="auto"/>
        <w:left w:val="none" w:sz="0" w:space="0" w:color="auto"/>
        <w:bottom w:val="none" w:sz="0" w:space="0" w:color="auto"/>
        <w:right w:val="none" w:sz="0" w:space="0" w:color="auto"/>
      </w:divBdr>
    </w:div>
    <w:div w:id="212619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Clean_Air_Act_(1970)"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F0CDFDD-3ED5-4659-99E8-72C6FE22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22885</Words>
  <Characters>130450</Characters>
  <Application>Microsoft Office Word</Application>
  <DocSecurity>8</DocSecurity>
  <PresentationFormat/>
  <Lines>1087</Lines>
  <Paragraphs>306</Paragraphs>
  <ScaleCrop>false</ScaleCrop>
  <HeadingPairs>
    <vt:vector size="2" baseType="variant">
      <vt:variant>
        <vt:lpstr>Title</vt:lpstr>
      </vt:variant>
      <vt:variant>
        <vt:i4>1</vt:i4>
      </vt:variant>
    </vt:vector>
  </HeadingPairs>
  <TitlesOfParts>
    <vt:vector size="1" baseType="lpstr">
      <vt:lpstr>Final Program Environmental Impact Report for the California Vegetation Treatment Program</vt:lpstr>
    </vt:vector>
  </TitlesOfParts>
  <Company>California Board of Forestry and Fire Protection</Company>
  <LinksUpToDate>false</LinksUpToDate>
  <CharactersWithSpaces>153029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Program Environmental Impact Report for the California Vegetation Treatment Program</dc:title>
  <dc:subject>Final Program Environmental Impact Report for the California Vegetation Treatment Program</dc:subject>
  <dc:creator>California Board of Forestry and Fire Protection</dc:creator>
  <cp:keywords>California Vegetation Treatment Program, CAL FIRE, Board of Forestry, VTP</cp:keywords>
  <cp:lastModifiedBy>Kemp, Mazonika@BOF</cp:lastModifiedBy>
  <cp:revision>3</cp:revision>
  <dcterms:created xsi:type="dcterms:W3CDTF">2019-11-25T21:20:00Z</dcterms:created>
  <dcterms:modified xsi:type="dcterms:W3CDTF">2019-11-27T16:56:00Z</dcterms:modified>
</cp:coreProperties>
</file>