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720EF" w14:textId="77777777" w:rsidR="00775463" w:rsidRDefault="00775463">
      <w:pPr>
        <w:rPr>
          <w:b/>
        </w:rPr>
      </w:pPr>
      <w:r>
        <w:rPr>
          <w:b/>
          <w:sz w:val="18"/>
        </w:rPr>
        <w:t xml:space="preserve">State of </w:t>
      </w:r>
      <w:smartTag w:uri="urn:schemas-microsoft-com:office:smarttags" w:element="place">
        <w:smartTag w:uri="urn:schemas-microsoft-com:office:smarttags" w:element="State">
          <w:r>
            <w:rPr>
              <w:b/>
              <w:sz w:val="18"/>
            </w:rPr>
            <w:t>California</w:t>
          </w:r>
        </w:smartTag>
      </w:smartTag>
      <w:r>
        <w:rPr>
          <w:b/>
          <w:sz w:val="18"/>
        </w:rPr>
        <w:t xml:space="preserve">                                                                                                                              </w:t>
      </w:r>
      <w:r>
        <w:rPr>
          <w:b/>
          <w:sz w:val="22"/>
        </w:rPr>
        <w:t>The Resources Agency</w:t>
      </w:r>
    </w:p>
    <w:p w14:paraId="1F57541B" w14:textId="77777777" w:rsidR="00775463" w:rsidRDefault="00775463"/>
    <w:p w14:paraId="74425D35" w14:textId="77777777" w:rsidR="00775463" w:rsidRDefault="00775463">
      <w:pPr>
        <w:rPr>
          <w:spacing w:val="100"/>
          <w:sz w:val="36"/>
        </w:rPr>
      </w:pPr>
      <w:r>
        <w:rPr>
          <w:b/>
          <w:spacing w:val="100"/>
          <w:sz w:val="36"/>
        </w:rPr>
        <w:t>Memorandum</w:t>
      </w:r>
    </w:p>
    <w:p w14:paraId="30FEAC72" w14:textId="77777777" w:rsidR="00775463" w:rsidRDefault="00775463">
      <w:pPr>
        <w:rPr>
          <w:spacing w:val="120"/>
        </w:rPr>
      </w:pPr>
    </w:p>
    <w:p w14:paraId="352A645C" w14:textId="77777777" w:rsidR="00775463" w:rsidRDefault="00775463">
      <w:pPr>
        <w:rPr>
          <w:spacing w:val="120"/>
        </w:rPr>
      </w:pPr>
    </w:p>
    <w:tbl>
      <w:tblPr>
        <w:tblW w:w="0" w:type="auto"/>
        <w:tblLayout w:type="fixed"/>
        <w:tblCellMar>
          <w:left w:w="0" w:type="dxa"/>
          <w:right w:w="0" w:type="dxa"/>
        </w:tblCellMar>
        <w:tblLook w:val="0000" w:firstRow="0" w:lastRow="0" w:firstColumn="0" w:lastColumn="0" w:noHBand="0" w:noVBand="0"/>
      </w:tblPr>
      <w:tblGrid>
        <w:gridCol w:w="1260"/>
        <w:gridCol w:w="5689"/>
        <w:gridCol w:w="3851"/>
      </w:tblGrid>
      <w:tr w:rsidR="00775463" w14:paraId="43BE4915" w14:textId="77777777">
        <w:trPr>
          <w:cantSplit/>
          <w:trHeight w:hRule="exact" w:val="2000"/>
        </w:trPr>
        <w:tc>
          <w:tcPr>
            <w:tcW w:w="1260" w:type="dxa"/>
          </w:tcPr>
          <w:p w14:paraId="3658FA2F" w14:textId="77777777" w:rsidR="00775463" w:rsidRDefault="00775463">
            <w:r>
              <w:rPr>
                <w:b/>
              </w:rPr>
              <w:t>To:</w:t>
            </w:r>
          </w:p>
          <w:p w14:paraId="0E82B1F9" w14:textId="77777777" w:rsidR="00775463" w:rsidRDefault="00775463">
            <w:r>
              <w:t xml:space="preserve">                                                                                                                            </w:t>
            </w:r>
          </w:p>
          <w:p w14:paraId="46F24937" w14:textId="77777777" w:rsidR="00775463" w:rsidRDefault="00775463">
            <w:r>
              <w:t xml:space="preserve">                                                                                                                            </w:t>
            </w:r>
          </w:p>
          <w:p w14:paraId="57EF9FD1" w14:textId="77777777" w:rsidR="00775463" w:rsidRDefault="00775463">
            <w:r>
              <w:t xml:space="preserve">                                                                                                                             </w:t>
            </w:r>
          </w:p>
          <w:p w14:paraId="1ED2F0CA" w14:textId="77777777" w:rsidR="00775463" w:rsidRDefault="00775463">
            <w:r>
              <w:t xml:space="preserve">                                                                                                                            </w:t>
            </w:r>
          </w:p>
          <w:p w14:paraId="1D6C4363" w14:textId="77777777" w:rsidR="00775463" w:rsidRDefault="00775463">
            <w:r>
              <w:t xml:space="preserve">                                                                                                                            </w:t>
            </w:r>
          </w:p>
          <w:p w14:paraId="5D61E3D0" w14:textId="77777777" w:rsidR="00775463" w:rsidRDefault="00775463">
            <w:r>
              <w:t xml:space="preserve">                                                                                                                            </w:t>
            </w:r>
          </w:p>
          <w:p w14:paraId="0F6D7AE8" w14:textId="77777777" w:rsidR="00775463" w:rsidRDefault="00775463">
            <w:r>
              <w:t xml:space="preserve">                                                                                                                                                                                                                                                     </w:t>
            </w:r>
          </w:p>
          <w:p w14:paraId="7610CFAC" w14:textId="77777777" w:rsidR="00775463" w:rsidRDefault="00775463"/>
          <w:p w14:paraId="7DFBFEEE" w14:textId="77777777" w:rsidR="00775463" w:rsidRDefault="00775463"/>
          <w:p w14:paraId="476FDDA2" w14:textId="77777777" w:rsidR="00775463" w:rsidRDefault="00775463"/>
          <w:p w14:paraId="29965C5B" w14:textId="77777777" w:rsidR="00775463" w:rsidRDefault="00775463"/>
          <w:p w14:paraId="0861D3FF" w14:textId="77777777" w:rsidR="00775463" w:rsidRDefault="00775463">
            <w:r>
              <w:t xml:space="preserve">                                                                                 </w:t>
            </w:r>
          </w:p>
        </w:tc>
        <w:tc>
          <w:tcPr>
            <w:tcW w:w="5689" w:type="dxa"/>
          </w:tcPr>
          <w:p w14:paraId="4682CFF7" w14:textId="30CD0F92" w:rsidR="00775463" w:rsidRPr="00AB761E" w:rsidRDefault="001F24FA">
            <w:bookmarkStart w:id="0" w:name="Recipient"/>
            <w:bookmarkEnd w:id="0"/>
            <w:r w:rsidRPr="00AB761E">
              <w:t>Edith Hannigan</w:t>
            </w:r>
          </w:p>
          <w:p w14:paraId="23710F86" w14:textId="77777777" w:rsidR="006E6378" w:rsidRDefault="006E6378">
            <w:r w:rsidRPr="00AB761E">
              <w:t>Executive Officer</w:t>
            </w:r>
          </w:p>
          <w:p w14:paraId="436D4486" w14:textId="77777777" w:rsidR="00775463" w:rsidRDefault="000C24CA">
            <w:r>
              <w:t>Board of Forestry and Fire Protection</w:t>
            </w:r>
          </w:p>
          <w:p w14:paraId="51EA8F09" w14:textId="77777777" w:rsidR="00775463" w:rsidRDefault="00775463"/>
          <w:p w14:paraId="2E7E3B9D" w14:textId="77777777" w:rsidR="00775463" w:rsidRDefault="00775463"/>
          <w:p w14:paraId="3BC1CCBA" w14:textId="77777777" w:rsidR="00775463" w:rsidRDefault="00775463"/>
          <w:p w14:paraId="14D7DB7B" w14:textId="77777777" w:rsidR="00775463" w:rsidRDefault="00775463">
            <w:r>
              <w:t xml:space="preserve"> </w:t>
            </w:r>
          </w:p>
        </w:tc>
        <w:tc>
          <w:tcPr>
            <w:tcW w:w="3851" w:type="dxa"/>
          </w:tcPr>
          <w:p w14:paraId="380BC457" w14:textId="08110349" w:rsidR="008463AD" w:rsidRPr="00F16AFC" w:rsidRDefault="008463AD" w:rsidP="008463AD">
            <w:pPr>
              <w:jc w:val="right"/>
            </w:pPr>
            <w:r w:rsidRPr="00F16AFC">
              <w:rPr>
                <w:b/>
              </w:rPr>
              <w:t xml:space="preserve">Date:  </w:t>
            </w:r>
            <w:r w:rsidR="00C86C0F">
              <w:t>March 28, 2022</w:t>
            </w:r>
          </w:p>
          <w:p w14:paraId="36782276" w14:textId="77777777" w:rsidR="008463AD" w:rsidRPr="00F16AFC" w:rsidRDefault="008463AD" w:rsidP="008463AD">
            <w:pPr>
              <w:jc w:val="right"/>
            </w:pPr>
            <w:r w:rsidRPr="00F16AFC">
              <w:t xml:space="preserve">           </w:t>
            </w:r>
          </w:p>
          <w:p w14:paraId="39CECF13" w14:textId="5524B963" w:rsidR="008463AD" w:rsidRPr="00F16AFC" w:rsidRDefault="008463AD" w:rsidP="008463AD">
            <w:pPr>
              <w:jc w:val="right"/>
            </w:pPr>
          </w:p>
          <w:p w14:paraId="4DEAED4F" w14:textId="77777777" w:rsidR="008463AD" w:rsidRPr="00F16AFC" w:rsidRDefault="008463AD" w:rsidP="008463AD">
            <w:pPr>
              <w:jc w:val="right"/>
            </w:pPr>
          </w:p>
          <w:p w14:paraId="489ECEA2" w14:textId="209979BE" w:rsidR="008463AD" w:rsidRPr="00F16AFC" w:rsidRDefault="008463AD" w:rsidP="008463AD">
            <w:pPr>
              <w:jc w:val="right"/>
            </w:pPr>
            <w:r w:rsidRPr="00F16AFC">
              <w:rPr>
                <w:b/>
              </w:rPr>
              <w:t>Telephone:</w:t>
            </w:r>
            <w:r w:rsidRPr="00F16AFC">
              <w:t xml:space="preserve"> </w:t>
            </w:r>
            <w:bookmarkStart w:id="1" w:name="Phone"/>
            <w:bookmarkEnd w:id="1"/>
            <w:r w:rsidRPr="00F16AFC">
              <w:t>(</w:t>
            </w:r>
            <w:r w:rsidR="00AB761E">
              <w:t>916</w:t>
            </w:r>
            <w:r w:rsidRPr="00F16AFC">
              <w:t>)</w:t>
            </w:r>
            <w:r w:rsidR="00AB761E">
              <w:t xml:space="preserve"> 203-7455</w:t>
            </w:r>
            <w:r w:rsidRPr="00F16AFC">
              <w:t xml:space="preserve"> </w:t>
            </w:r>
          </w:p>
          <w:p w14:paraId="0F69FC04" w14:textId="77777777" w:rsidR="008463AD" w:rsidRPr="00F16AFC" w:rsidRDefault="008463AD" w:rsidP="008463AD">
            <w:pPr>
              <w:jc w:val="right"/>
            </w:pPr>
            <w:r w:rsidRPr="00F16AFC">
              <w:t xml:space="preserve">                      </w:t>
            </w:r>
          </w:p>
          <w:p w14:paraId="6FF5CCCA" w14:textId="77777777" w:rsidR="00775463" w:rsidRDefault="008463AD" w:rsidP="008463AD">
            <w:pPr>
              <w:jc w:val="right"/>
            </w:pPr>
            <w:r w:rsidRPr="00F16AFC">
              <w:rPr>
                <w:b/>
              </w:rPr>
              <w:t xml:space="preserve">Website: </w:t>
            </w:r>
            <w:r w:rsidRPr="00F16AFC">
              <w:t>www.fire.ca.gov</w:t>
            </w:r>
          </w:p>
        </w:tc>
      </w:tr>
    </w:tbl>
    <w:p w14:paraId="76069373" w14:textId="77777777" w:rsidR="00775463" w:rsidRDefault="00775463">
      <w:pPr>
        <w:rPr>
          <w:b/>
        </w:rPr>
      </w:pPr>
    </w:p>
    <w:p w14:paraId="3B61BAE2" w14:textId="638CC5FA" w:rsidR="00AB761E" w:rsidRDefault="00AB761E" w:rsidP="00AB761E">
      <w:pPr>
        <w:rPr>
          <w:b/>
        </w:rPr>
      </w:pPr>
      <w:r>
        <w:rPr>
          <w:b/>
        </w:rPr>
        <w:t xml:space="preserve">From:           Stewart McMorrow </w:t>
      </w:r>
    </w:p>
    <w:p w14:paraId="2F4B3257" w14:textId="32899FC4" w:rsidR="00AB761E" w:rsidRDefault="00AB761E" w:rsidP="00AB761E">
      <w:pPr>
        <w:ind w:left="720" w:firstLine="720"/>
        <w:rPr>
          <w:b/>
        </w:rPr>
      </w:pPr>
      <w:r>
        <w:rPr>
          <w:b/>
        </w:rPr>
        <w:t>Forest and Fire Protection Administrator</w:t>
      </w:r>
    </w:p>
    <w:p w14:paraId="72D6FCF5" w14:textId="727BFC0B" w:rsidR="00AB761E" w:rsidRDefault="00AB761E" w:rsidP="00AB761E">
      <w:pPr>
        <w:ind w:left="720" w:firstLine="720"/>
        <w:rPr>
          <w:b/>
        </w:rPr>
      </w:pPr>
      <w:r>
        <w:rPr>
          <w:b/>
        </w:rPr>
        <w:t>Wildfire Resilience</w:t>
      </w:r>
    </w:p>
    <w:p w14:paraId="2F3F5F83" w14:textId="77777777" w:rsidR="00AB761E" w:rsidRDefault="00AB761E" w:rsidP="00AB761E">
      <w:pPr>
        <w:ind w:left="720" w:firstLine="720"/>
        <w:rPr>
          <w:b/>
        </w:rPr>
      </w:pPr>
      <w:r>
        <w:rPr>
          <w:b/>
        </w:rPr>
        <w:t>Department of Forestry and Fire Protection</w:t>
      </w:r>
    </w:p>
    <w:p w14:paraId="1981393F" w14:textId="77777777" w:rsidR="00AB761E" w:rsidRDefault="00AB761E" w:rsidP="00AB761E">
      <w:pPr>
        <w:ind w:left="720" w:firstLine="720"/>
        <w:rPr>
          <w:b/>
        </w:rPr>
      </w:pPr>
    </w:p>
    <w:p w14:paraId="7553A766" w14:textId="588D6C6B" w:rsidR="002D2F86" w:rsidRDefault="00775463" w:rsidP="00AB761E">
      <w:pPr>
        <w:ind w:firstLine="720"/>
        <w:rPr>
          <w:b/>
        </w:rPr>
      </w:pPr>
      <w:r>
        <w:rPr>
          <w:b/>
        </w:rPr>
        <w:t xml:space="preserve">        </w:t>
      </w:r>
      <w:r w:rsidR="003A3431">
        <w:rPr>
          <w:b/>
        </w:rPr>
        <w:t xml:space="preserve">  </w:t>
      </w:r>
      <w:r w:rsidR="00AB761E">
        <w:rPr>
          <w:b/>
        </w:rPr>
        <w:t>John Ramaley</w:t>
      </w:r>
      <w:r w:rsidR="002D2F86">
        <w:rPr>
          <w:b/>
        </w:rPr>
        <w:t xml:space="preserve"> </w:t>
      </w:r>
    </w:p>
    <w:p w14:paraId="2549E161" w14:textId="3FBA8B3A" w:rsidR="002D2F86" w:rsidRDefault="002D2F86" w:rsidP="002D2F86">
      <w:pPr>
        <w:ind w:left="720" w:firstLine="720"/>
        <w:rPr>
          <w:b/>
        </w:rPr>
      </w:pPr>
      <w:r>
        <w:rPr>
          <w:b/>
        </w:rPr>
        <w:t>Forest</w:t>
      </w:r>
      <w:r w:rsidR="00AB761E">
        <w:rPr>
          <w:b/>
        </w:rPr>
        <w:t>ry Assistance Program Manager</w:t>
      </w:r>
    </w:p>
    <w:p w14:paraId="1E57FA51" w14:textId="77777777" w:rsidR="002D2F86" w:rsidRDefault="002D2F86" w:rsidP="002D2F86">
      <w:pPr>
        <w:ind w:left="720" w:firstLine="720"/>
        <w:rPr>
          <w:b/>
        </w:rPr>
      </w:pPr>
      <w:r>
        <w:rPr>
          <w:b/>
        </w:rPr>
        <w:t>Department of Forestry and Fire Protection</w:t>
      </w:r>
    </w:p>
    <w:p w14:paraId="293395CC" w14:textId="77777777" w:rsidR="00775463" w:rsidRDefault="00775463">
      <w:pPr>
        <w:rPr>
          <w:b/>
        </w:rPr>
      </w:pPr>
    </w:p>
    <w:tbl>
      <w:tblPr>
        <w:tblW w:w="0" w:type="auto"/>
        <w:tblLayout w:type="fixed"/>
        <w:tblCellMar>
          <w:left w:w="0" w:type="dxa"/>
          <w:right w:w="0" w:type="dxa"/>
        </w:tblCellMar>
        <w:tblLook w:val="0000" w:firstRow="0" w:lastRow="0" w:firstColumn="0" w:lastColumn="0" w:noHBand="0" w:noVBand="0"/>
      </w:tblPr>
      <w:tblGrid>
        <w:gridCol w:w="1260"/>
        <w:gridCol w:w="8820"/>
      </w:tblGrid>
      <w:tr w:rsidR="00775463" w14:paraId="003489CE" w14:textId="77777777">
        <w:tc>
          <w:tcPr>
            <w:tcW w:w="1260" w:type="dxa"/>
          </w:tcPr>
          <w:p w14:paraId="3B06890E" w14:textId="77777777" w:rsidR="00775463" w:rsidRDefault="00775463">
            <w:pPr>
              <w:rPr>
                <w:b/>
              </w:rPr>
            </w:pPr>
            <w:r>
              <w:rPr>
                <w:b/>
              </w:rPr>
              <w:t xml:space="preserve">Subject:    </w:t>
            </w:r>
          </w:p>
        </w:tc>
        <w:tc>
          <w:tcPr>
            <w:tcW w:w="8820" w:type="dxa"/>
          </w:tcPr>
          <w:p w14:paraId="4AD083D8" w14:textId="2D317B90" w:rsidR="006E6378" w:rsidRDefault="00AB761E" w:rsidP="00D92F34">
            <w:pPr>
              <w:pStyle w:val="ListParagraph"/>
              <w:numPr>
                <w:ilvl w:val="0"/>
                <w:numId w:val="2"/>
              </w:numPr>
            </w:pPr>
            <w:bookmarkStart w:id="2" w:name="Subject"/>
            <w:bookmarkEnd w:id="2"/>
            <w:r>
              <w:t xml:space="preserve">Proposed Additions to Management Plan Requirements for CFIP Projects that have been substantially damaged by wildfire, where post-harvest salvage through the use of Emergency Notices (14 CCR </w:t>
            </w:r>
            <w:r w:rsidRPr="00D92F34">
              <w:rPr>
                <w:rFonts w:cs="Arial"/>
              </w:rPr>
              <w:t>§</w:t>
            </w:r>
            <w:r>
              <w:t>1052) have been utilized</w:t>
            </w:r>
          </w:p>
          <w:p w14:paraId="5E5E191B" w14:textId="63606065" w:rsidR="00D92F34" w:rsidRDefault="00D92F34" w:rsidP="00D92F34">
            <w:pPr>
              <w:pStyle w:val="ListParagraph"/>
              <w:numPr>
                <w:ilvl w:val="0"/>
                <w:numId w:val="2"/>
              </w:numPr>
            </w:pPr>
            <w:r>
              <w:t>Proposed changes to CFIP Cap Rates to account for inflationary increases that have occurred since the last cap rate adjustment in 201</w:t>
            </w:r>
            <w:r w:rsidR="00431F15">
              <w:t>9</w:t>
            </w:r>
          </w:p>
          <w:p w14:paraId="06081C5B" w14:textId="3C5ED753" w:rsidR="00D92F34" w:rsidRDefault="00D92F34" w:rsidP="00AB761E"/>
        </w:tc>
      </w:tr>
      <w:tr w:rsidR="00D92F34" w14:paraId="65D72239" w14:textId="77777777">
        <w:tc>
          <w:tcPr>
            <w:tcW w:w="1260" w:type="dxa"/>
          </w:tcPr>
          <w:p w14:paraId="2C2594D3" w14:textId="77777777" w:rsidR="00D92F34" w:rsidRDefault="00D92F34">
            <w:pPr>
              <w:rPr>
                <w:b/>
              </w:rPr>
            </w:pPr>
          </w:p>
        </w:tc>
        <w:tc>
          <w:tcPr>
            <w:tcW w:w="8820" w:type="dxa"/>
          </w:tcPr>
          <w:p w14:paraId="38CB2F02" w14:textId="5DD65A69" w:rsidR="00D92F34" w:rsidRDefault="00D92F34" w:rsidP="00AB761E"/>
        </w:tc>
      </w:tr>
    </w:tbl>
    <w:p w14:paraId="7A9766E5" w14:textId="58C08276" w:rsidR="00D92F34" w:rsidRPr="00D92F34" w:rsidRDefault="00D92F34" w:rsidP="00D92F34">
      <w:pPr>
        <w:tabs>
          <w:tab w:val="left" w:pos="1578"/>
        </w:tabs>
        <w:sectPr w:rsidR="00D92F34" w:rsidRPr="00D92F34">
          <w:headerReference w:type="default" r:id="rId8"/>
          <w:footerReference w:type="default" r:id="rId9"/>
          <w:type w:val="continuous"/>
          <w:pgSz w:w="12240" w:h="15840" w:code="1"/>
          <w:pgMar w:top="720" w:right="720" w:bottom="720" w:left="720" w:header="720" w:footer="720" w:gutter="0"/>
          <w:cols w:space="720"/>
        </w:sectPr>
      </w:pPr>
    </w:p>
    <w:p w14:paraId="1D534ED7" w14:textId="77777777" w:rsidR="00775463" w:rsidRDefault="00775463">
      <w:pPr>
        <w:sectPr w:rsidR="00775463">
          <w:type w:val="continuous"/>
          <w:pgSz w:w="12240" w:h="15840" w:code="1"/>
          <w:pgMar w:top="720" w:right="1440" w:bottom="720" w:left="1440" w:header="720" w:footer="720" w:gutter="0"/>
          <w:cols w:space="720"/>
        </w:sectPr>
      </w:pPr>
    </w:p>
    <w:p w14:paraId="5E718182" w14:textId="4B8D6087" w:rsidR="00C03174" w:rsidRDefault="00F90C83">
      <w:r>
        <w:t xml:space="preserve">The California Forest Improvement Act of 1978 (PRC </w:t>
      </w:r>
      <w:r>
        <w:rPr>
          <w:rFonts w:cs="Arial"/>
          <w:color w:val="212121"/>
          <w:shd w:val="clear" w:color="auto" w:fill="FFFFFF"/>
        </w:rPr>
        <w:t xml:space="preserve">4790-4799.05) was created to provide cost-share incentives for California small non-industrial </w:t>
      </w:r>
      <w:r w:rsidR="00B210DC">
        <w:rPr>
          <w:rFonts w:cs="Arial"/>
          <w:color w:val="212121"/>
          <w:shd w:val="clear" w:color="auto" w:fill="FFFFFF"/>
        </w:rPr>
        <w:t xml:space="preserve">forest </w:t>
      </w:r>
      <w:r>
        <w:rPr>
          <w:rFonts w:cs="Arial"/>
          <w:color w:val="212121"/>
          <w:shd w:val="clear" w:color="auto" w:fill="FFFFFF"/>
        </w:rPr>
        <w:t xml:space="preserve">landowners </w:t>
      </w:r>
      <w:r>
        <w:t xml:space="preserve">to invest in their property for the </w:t>
      </w:r>
      <w:r w:rsidR="00B210DC">
        <w:t xml:space="preserve">restoration, improvement and </w:t>
      </w:r>
      <w:r>
        <w:t>maintenance</w:t>
      </w:r>
      <w:r w:rsidR="00B210DC">
        <w:t xml:space="preserve"> </w:t>
      </w:r>
      <w:r>
        <w:t xml:space="preserve">of </w:t>
      </w:r>
      <w:r w:rsidR="00B210DC">
        <w:t xml:space="preserve">forestland. The Act also had further </w:t>
      </w:r>
      <w:r w:rsidR="00B210DC" w:rsidRPr="00B210DC">
        <w:t xml:space="preserve">objectives, to promote a healthy forest products industry, and to provide additional benefits </w:t>
      </w:r>
      <w:r w:rsidR="00B210DC" w:rsidRPr="00B210DC">
        <w:rPr>
          <w:rStyle w:val="added-material"/>
          <w:rFonts w:ascii="Roboto" w:hAnsi="Roboto"/>
          <w:shd w:val="clear" w:color="auto" w:fill="FFFFFF"/>
        </w:rPr>
        <w:t>including</w:t>
      </w:r>
      <w:r w:rsidR="00B210DC" w:rsidRPr="00B210DC">
        <w:rPr>
          <w:rFonts w:ascii="Roboto" w:hAnsi="Roboto"/>
          <w:shd w:val="clear" w:color="auto" w:fill="FFFFFF"/>
        </w:rPr>
        <w:t> employment opportunities in both rural and urban areas, renewable energy, protection and enhancement of air, water</w:t>
      </w:r>
      <w:r w:rsidR="00B210DC" w:rsidRPr="00B210DC">
        <w:rPr>
          <w:rStyle w:val="added-material"/>
          <w:rFonts w:ascii="Roboto" w:hAnsi="Roboto"/>
          <w:shd w:val="clear" w:color="auto" w:fill="FFFFFF"/>
        </w:rPr>
        <w:t>,</w:t>
      </w:r>
      <w:r w:rsidR="00B210DC" w:rsidRPr="00B210DC">
        <w:rPr>
          <w:rFonts w:ascii="Roboto" w:hAnsi="Roboto"/>
          <w:shd w:val="clear" w:color="auto" w:fill="FFFFFF"/>
        </w:rPr>
        <w:t> and soil resources, fish and wildlife habitat, and opportunities for aesthetic and recreational enjoyment.</w:t>
      </w:r>
    </w:p>
    <w:p w14:paraId="43822EC5" w14:textId="77777777" w:rsidR="00775463" w:rsidRDefault="006E6378">
      <w:r>
        <w:t xml:space="preserve"> </w:t>
      </w:r>
    </w:p>
    <w:p w14:paraId="74490D89" w14:textId="2B41EE02" w:rsidR="006E6378" w:rsidRDefault="00CC4507">
      <w:r>
        <w:t>CAL FIRE’s California Forest Improvement Program (CFIP) has been in operation for over 40 years, providing forest landowner technical assistance, landowner education, and cost-share opportunities for forest health improvement on non-industrial forestland</w:t>
      </w:r>
      <w:r w:rsidR="00D92F34">
        <w:t xml:space="preserve"> </w:t>
      </w:r>
      <w:r>
        <w:t>owners</w:t>
      </w:r>
      <w:r w:rsidR="00D92F34">
        <w:t>hips</w:t>
      </w:r>
      <w:r>
        <w:t>. In the past 4 decades, funding has been sporadic, and for decades was tied to the Forest Resource Improve Fund (FRIF)</w:t>
      </w:r>
      <w:r w:rsidR="007E542A">
        <w:t xml:space="preserve">, which was tied to state forest timber sales. The 2021 Early Action funding, and </w:t>
      </w:r>
      <w:r w:rsidR="00D92F34">
        <w:t xml:space="preserve">additional </w:t>
      </w:r>
      <w:r w:rsidR="007E542A">
        <w:t xml:space="preserve">funding </w:t>
      </w:r>
      <w:r w:rsidR="00D92F34">
        <w:t>f</w:t>
      </w:r>
      <w:r w:rsidR="00782DF8">
        <w:t>or</w:t>
      </w:r>
      <w:r w:rsidR="007E542A">
        <w:t xml:space="preserve"> the Wildfire Resilience program in the 2021-2022 budget</w:t>
      </w:r>
      <w:r w:rsidR="00CE244A">
        <w:t xml:space="preserve"> provided the largest pulse of funding for CFIP in the </w:t>
      </w:r>
      <w:r w:rsidR="00CE244A">
        <w:lastRenderedPageBreak/>
        <w:t>program</w:t>
      </w:r>
      <w:r w:rsidR="00187F78">
        <w:t>’</w:t>
      </w:r>
      <w:r w:rsidR="00CE244A">
        <w:t>s history. With the release of Governor Newsom’s California Blueprint</w:t>
      </w:r>
      <w:r w:rsidR="00916FD2">
        <w:t xml:space="preserve"> for 2022-2023</w:t>
      </w:r>
      <w:r w:rsidR="00CE244A">
        <w:t xml:space="preserve">, additional </w:t>
      </w:r>
      <w:r w:rsidR="00916FD2">
        <w:t xml:space="preserve">increased </w:t>
      </w:r>
      <w:r w:rsidR="00CE244A">
        <w:t>funding to CFIP is expected to continue for forest health improvement projects</w:t>
      </w:r>
      <w:r w:rsidR="00916FD2">
        <w:t>.</w:t>
      </w:r>
    </w:p>
    <w:p w14:paraId="138C4BF4" w14:textId="77777777" w:rsidR="00782DF8" w:rsidRDefault="00782DF8">
      <w:pPr>
        <w:rPr>
          <w:b/>
          <w:bCs/>
          <w:u w:val="single"/>
        </w:rPr>
      </w:pPr>
    </w:p>
    <w:p w14:paraId="44EC2491" w14:textId="1B547EAC" w:rsidR="00916FD2" w:rsidRPr="00916FD2" w:rsidRDefault="009C73D2">
      <w:pPr>
        <w:rPr>
          <w:b/>
          <w:bCs/>
          <w:u w:val="single"/>
        </w:rPr>
      </w:pPr>
      <w:r>
        <w:rPr>
          <w:b/>
          <w:bCs/>
          <w:u w:val="single"/>
        </w:rPr>
        <w:t>Wildf</w:t>
      </w:r>
      <w:r w:rsidR="00916FD2" w:rsidRPr="00916FD2">
        <w:rPr>
          <w:b/>
          <w:bCs/>
          <w:u w:val="single"/>
        </w:rPr>
        <w:t>ires:</w:t>
      </w:r>
    </w:p>
    <w:p w14:paraId="6676495C" w14:textId="77777777" w:rsidR="00916FD2" w:rsidRDefault="00916FD2"/>
    <w:p w14:paraId="66165949" w14:textId="288DA638" w:rsidR="009C73D2" w:rsidRDefault="00916FD2">
      <w:r>
        <w:t xml:space="preserve">Governor Newsom’s new 2022-2023 California Blueprint ties in with actions the Governor has taken </w:t>
      </w:r>
      <w:r w:rsidR="009C73D2">
        <w:t xml:space="preserve">to prevent and combat wildfires since </w:t>
      </w:r>
      <w:r>
        <w:t xml:space="preserve">upon assuming office, which was only a few months after California’s most </w:t>
      </w:r>
      <w:r w:rsidR="00611688">
        <w:t>destructive</w:t>
      </w:r>
      <w:r>
        <w:t xml:space="preserve"> fire in recorded history, the 2018 Camp Fire. </w:t>
      </w:r>
      <w:r w:rsidR="0067071F">
        <w:t xml:space="preserve">According to data from </w:t>
      </w:r>
      <w:r w:rsidR="00611688">
        <w:t>CAL FIRE</w:t>
      </w:r>
      <w:r w:rsidR="00782DF8">
        <w:t>’</w:t>
      </w:r>
      <w:r w:rsidR="00611688">
        <w:t>s Fire and Resource Assessment Program</w:t>
      </w:r>
      <w:r w:rsidR="009C73D2">
        <w:t xml:space="preserve"> (FRAP</w:t>
      </w:r>
      <w:r w:rsidR="0067071F">
        <w:t>), 12 of the largest 20 fires in California from 1932 to present have occurred since 2017.</w:t>
      </w:r>
      <w:r w:rsidR="009C73D2">
        <w:t xml:space="preserve"> The graphic below from FRAP </w:t>
      </w:r>
      <w:r w:rsidR="00782DF8">
        <w:t xml:space="preserve">represents </w:t>
      </w:r>
      <w:r w:rsidR="009C73D2">
        <w:t>the 5-year average of acres burned on a steeply increasing curve:</w:t>
      </w:r>
    </w:p>
    <w:p w14:paraId="0A3AEFBE" w14:textId="77777777" w:rsidR="009C73D2" w:rsidRDefault="009C73D2"/>
    <w:p w14:paraId="31993609" w14:textId="76C2018F" w:rsidR="006E6378" w:rsidRDefault="00E67D86">
      <w:r>
        <w:rPr>
          <w:noProof/>
        </w:rPr>
        <w:drawing>
          <wp:inline distT="0" distB="0" distL="0" distR="0" wp14:anchorId="42799876" wp14:editId="027560FB">
            <wp:extent cx="5934075" cy="3781425"/>
            <wp:effectExtent l="0" t="0" r="0" b="0"/>
            <wp:docPr id="1"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a:extLst>
                        <a:ext uri="{C183D7F6-B498-43B3-948B-1728B52AA6E4}">
                          <adec:decorative xmlns:adec="http://schemas.microsoft.com/office/drawing/2017/decorative" val="1"/>
                        </a:ext>
                      </a:extLs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34075" cy="3781425"/>
                    </a:xfrm>
                    <a:prstGeom prst="rect">
                      <a:avLst/>
                    </a:prstGeom>
                    <a:noFill/>
                    <a:ln>
                      <a:noFill/>
                    </a:ln>
                  </pic:spPr>
                </pic:pic>
              </a:graphicData>
            </a:graphic>
          </wp:inline>
        </w:drawing>
      </w:r>
      <w:r w:rsidR="0067071F">
        <w:t xml:space="preserve"> </w:t>
      </w:r>
    </w:p>
    <w:p w14:paraId="5DBAB515" w14:textId="77777777" w:rsidR="006E6378" w:rsidRDefault="006E6378"/>
    <w:p w14:paraId="5EC1E136" w14:textId="77777777" w:rsidR="00775463" w:rsidRDefault="00775463">
      <w:pPr>
        <w:sectPr w:rsidR="00775463">
          <w:type w:val="continuous"/>
          <w:pgSz w:w="12240" w:h="15840" w:code="1"/>
          <w:pgMar w:top="720" w:right="1440" w:bottom="720" w:left="1440" w:header="720" w:footer="720" w:gutter="0"/>
          <w:cols w:space="720"/>
        </w:sectPr>
      </w:pPr>
    </w:p>
    <w:p w14:paraId="139FC120" w14:textId="047A0EB3" w:rsidR="00895032" w:rsidRPr="00507D0D" w:rsidRDefault="00895032" w:rsidP="009C73D2">
      <w:pPr>
        <w:rPr>
          <w:rFonts w:cs="Arial"/>
          <w:szCs w:val="24"/>
        </w:rPr>
      </w:pPr>
      <w:r w:rsidRPr="00507D0D">
        <w:rPr>
          <w:rFonts w:cs="Arial"/>
          <w:szCs w:val="24"/>
        </w:rPr>
        <w:t>The trend does not appear to heading in a positive direction - t</w:t>
      </w:r>
      <w:r w:rsidR="009C73D2" w:rsidRPr="00507D0D">
        <w:rPr>
          <w:rFonts w:cs="Arial"/>
          <w:szCs w:val="24"/>
        </w:rPr>
        <w:t>he 2021 wildfire season in California experienced an unusually early start amid an ongoing drought and historically low rainfall and reservoir levels. In January 2021 alone, 297 fires burned 1,171 acres on nonfederal land, which is almost triple the number of fires and more than 20 times the acreage of the five-year average for January. In July, more than three times as many acres had burned compared to the previous year through that date, with drought, extreme heat, and reduced snowpack contributing to the severity of the fires.</w:t>
      </w:r>
      <w:r w:rsidRPr="00507D0D">
        <w:rPr>
          <w:rFonts w:cs="Arial"/>
          <w:szCs w:val="24"/>
        </w:rPr>
        <w:t xml:space="preserve"> </w:t>
      </w:r>
    </w:p>
    <w:p w14:paraId="609EF539" w14:textId="77777777" w:rsidR="00895032" w:rsidRPr="00507D0D" w:rsidRDefault="00895032" w:rsidP="009C73D2">
      <w:pPr>
        <w:rPr>
          <w:rFonts w:cs="Arial"/>
          <w:szCs w:val="24"/>
        </w:rPr>
      </w:pPr>
    </w:p>
    <w:p w14:paraId="73AD5BBB" w14:textId="53FA9DE7" w:rsidR="00C12B20" w:rsidRPr="00507D0D" w:rsidRDefault="00895032" w:rsidP="009C73D2">
      <w:pPr>
        <w:rPr>
          <w:rFonts w:cs="Arial"/>
          <w:szCs w:val="24"/>
        </w:rPr>
      </w:pPr>
      <w:r w:rsidRPr="00507D0D">
        <w:rPr>
          <w:rFonts w:cs="Arial"/>
          <w:szCs w:val="24"/>
        </w:rPr>
        <w:t xml:space="preserve">The 2021 Dixie Fire, the second largest wildfire for California’s recorded history, </w:t>
      </w:r>
      <w:r w:rsidR="00187F78">
        <w:rPr>
          <w:rFonts w:cs="Arial"/>
          <w:szCs w:val="24"/>
        </w:rPr>
        <w:t>defied</w:t>
      </w:r>
      <w:r w:rsidR="009C1D72" w:rsidRPr="00507D0D">
        <w:rPr>
          <w:rFonts w:cs="Arial"/>
          <w:szCs w:val="24"/>
        </w:rPr>
        <w:t xml:space="preserve"> all fire suppression activities from multiple fire protection agencies, severely damaged</w:t>
      </w:r>
      <w:r w:rsidR="00187F78">
        <w:rPr>
          <w:rFonts w:cs="Arial"/>
          <w:szCs w:val="24"/>
        </w:rPr>
        <w:t xml:space="preserve"> private nonindustrial and</w:t>
      </w:r>
      <w:r w:rsidR="009C1D72" w:rsidRPr="00507D0D">
        <w:rPr>
          <w:rFonts w:cs="Arial"/>
          <w:szCs w:val="24"/>
        </w:rPr>
        <w:t xml:space="preserve"> </w:t>
      </w:r>
      <w:r w:rsidR="00C12B20" w:rsidRPr="00507D0D">
        <w:rPr>
          <w:rFonts w:cs="Arial"/>
          <w:szCs w:val="24"/>
        </w:rPr>
        <w:t>industrial</w:t>
      </w:r>
      <w:r w:rsidR="00187F78">
        <w:rPr>
          <w:rFonts w:cs="Arial"/>
          <w:szCs w:val="24"/>
        </w:rPr>
        <w:t xml:space="preserve"> </w:t>
      </w:r>
      <w:r w:rsidR="00C12B20" w:rsidRPr="00507D0D">
        <w:rPr>
          <w:rFonts w:cs="Arial"/>
          <w:szCs w:val="24"/>
        </w:rPr>
        <w:t>timberlands</w:t>
      </w:r>
      <w:r w:rsidR="00187F78">
        <w:rPr>
          <w:rFonts w:cs="Arial"/>
          <w:szCs w:val="24"/>
        </w:rPr>
        <w:t>,</w:t>
      </w:r>
      <w:r w:rsidR="00465D8C">
        <w:rPr>
          <w:rFonts w:cs="Arial"/>
          <w:szCs w:val="24"/>
        </w:rPr>
        <w:t xml:space="preserve"> whose companies </w:t>
      </w:r>
      <w:r w:rsidR="00C12B20" w:rsidRPr="00507D0D">
        <w:rPr>
          <w:rFonts w:cs="Arial"/>
          <w:szCs w:val="24"/>
        </w:rPr>
        <w:t>have been in existence for over 100 years</w:t>
      </w:r>
      <w:r w:rsidR="00782DF8">
        <w:rPr>
          <w:rFonts w:cs="Arial"/>
          <w:szCs w:val="24"/>
        </w:rPr>
        <w:t xml:space="preserve">. The effects and subsequent impacts of the fire on the </w:t>
      </w:r>
      <w:r w:rsidR="00782DF8">
        <w:rPr>
          <w:rFonts w:cs="Arial"/>
          <w:szCs w:val="24"/>
        </w:rPr>
        <w:lastRenderedPageBreak/>
        <w:t xml:space="preserve">Dixie Fire </w:t>
      </w:r>
      <w:r w:rsidR="00C12B20" w:rsidRPr="00507D0D">
        <w:rPr>
          <w:rFonts w:cs="Arial"/>
          <w:szCs w:val="24"/>
        </w:rPr>
        <w:t>shock</w:t>
      </w:r>
      <w:r w:rsidR="00782DF8">
        <w:rPr>
          <w:rFonts w:cs="Arial"/>
          <w:szCs w:val="24"/>
        </w:rPr>
        <w:t>ed</w:t>
      </w:r>
      <w:r w:rsidR="00C12B20" w:rsidRPr="00507D0D">
        <w:rPr>
          <w:rFonts w:cs="Arial"/>
          <w:szCs w:val="24"/>
        </w:rPr>
        <w:t xml:space="preserve"> the forestry staff of these </w:t>
      </w:r>
      <w:r w:rsidR="00782DF8">
        <w:rPr>
          <w:rFonts w:cs="Arial"/>
          <w:szCs w:val="24"/>
        </w:rPr>
        <w:t xml:space="preserve">private timberland </w:t>
      </w:r>
      <w:r w:rsidR="00C12B20" w:rsidRPr="00507D0D">
        <w:rPr>
          <w:rFonts w:cs="Arial"/>
          <w:szCs w:val="24"/>
        </w:rPr>
        <w:t>companies</w:t>
      </w:r>
      <w:r w:rsidR="00782DF8">
        <w:rPr>
          <w:rFonts w:cs="Arial"/>
          <w:szCs w:val="24"/>
        </w:rPr>
        <w:t>,</w:t>
      </w:r>
      <w:r w:rsidR="00C12B20" w:rsidRPr="00507D0D">
        <w:rPr>
          <w:rFonts w:cs="Arial"/>
          <w:szCs w:val="24"/>
        </w:rPr>
        <w:t xml:space="preserve"> </w:t>
      </w:r>
      <w:r w:rsidR="00782DF8">
        <w:rPr>
          <w:rFonts w:cs="Arial"/>
          <w:szCs w:val="24"/>
        </w:rPr>
        <w:t>who stated they, or their predecessors, had not previously witnessed or recorded that type of fire behavior and fire impact on their forestlands.</w:t>
      </w:r>
      <w:r w:rsidR="00C12B20" w:rsidRPr="00507D0D">
        <w:rPr>
          <w:rFonts w:cs="Arial"/>
          <w:szCs w:val="24"/>
        </w:rPr>
        <w:t xml:space="preserve"> </w:t>
      </w:r>
    </w:p>
    <w:p w14:paraId="414032E2" w14:textId="77777777" w:rsidR="00C12B20" w:rsidRPr="00507D0D" w:rsidRDefault="00C12B20" w:rsidP="009C73D2">
      <w:pPr>
        <w:rPr>
          <w:rFonts w:cs="Arial"/>
          <w:szCs w:val="24"/>
        </w:rPr>
      </w:pPr>
    </w:p>
    <w:p w14:paraId="46D905F1" w14:textId="63949396" w:rsidR="009C73D2" w:rsidRPr="00507D0D" w:rsidRDefault="00C12B20" w:rsidP="009C73D2">
      <w:pPr>
        <w:rPr>
          <w:rFonts w:cs="Arial"/>
          <w:szCs w:val="24"/>
        </w:rPr>
      </w:pPr>
      <w:r w:rsidRPr="00507D0D">
        <w:rPr>
          <w:rFonts w:cs="Arial"/>
          <w:szCs w:val="24"/>
        </w:rPr>
        <w:t>CAL FIRE’s Wildfire Resilience program has quickly responded to this devastating fire by engaging with partners in the Dixie Fire, and the Caldor Fire, in the development of an Emergency Forest Restoration Team</w:t>
      </w:r>
      <w:r w:rsidR="009C1D72" w:rsidRPr="00507D0D">
        <w:rPr>
          <w:rFonts w:cs="Arial"/>
          <w:szCs w:val="24"/>
        </w:rPr>
        <w:t xml:space="preserve"> </w:t>
      </w:r>
      <w:r w:rsidR="002E0A3F" w:rsidRPr="00507D0D">
        <w:rPr>
          <w:rFonts w:cs="Arial"/>
          <w:szCs w:val="24"/>
        </w:rPr>
        <w:t xml:space="preserve">(EFRT) for each fire. This is also a key action of California’s Wildfire and Forest Resilience Plan (Action 1.14). As described in the action, the EFRT’s are designed to </w:t>
      </w:r>
      <w:r w:rsidR="002E0A3F" w:rsidRPr="00507D0D">
        <w:rPr>
          <w:rFonts w:cs="Arial"/>
          <w:i/>
          <w:iCs/>
          <w:szCs w:val="24"/>
        </w:rPr>
        <w:t>“…</w:t>
      </w:r>
      <w:r w:rsidR="002E0A3F" w:rsidRPr="00507D0D">
        <w:rPr>
          <w:rFonts w:cs="Arial"/>
          <w:i/>
          <w:iCs/>
          <w:color w:val="211D1E"/>
          <w:szCs w:val="24"/>
        </w:rPr>
        <w:t>assist small landowners impacted by wildfires with funding and expertise to restore their properties and help prevent further damage to life, property and natural resources. This program would complement the NRCS Environmental Quality Incentives Program (EQIP) and the Emergency Forest Restoration Program (EFRP).</w:t>
      </w:r>
      <w:r w:rsidR="004425E1" w:rsidRPr="00507D0D">
        <w:rPr>
          <w:rFonts w:cs="Arial"/>
          <w:i/>
          <w:iCs/>
          <w:color w:val="211D1E"/>
          <w:szCs w:val="24"/>
        </w:rPr>
        <w:t>”</w:t>
      </w:r>
    </w:p>
    <w:p w14:paraId="47DED93D" w14:textId="7A297387" w:rsidR="004425E1" w:rsidRDefault="004425E1">
      <w:pPr>
        <w:rPr>
          <w:rFonts w:cs="Arial"/>
        </w:rPr>
      </w:pPr>
    </w:p>
    <w:p w14:paraId="2341F403" w14:textId="3101511D" w:rsidR="00465D8C" w:rsidRDefault="00465D8C">
      <w:pPr>
        <w:rPr>
          <w:rFonts w:cs="Arial"/>
        </w:rPr>
      </w:pPr>
      <w:r>
        <w:rPr>
          <w:rFonts w:cs="Arial"/>
        </w:rPr>
        <w:t>CFIP Forestry Assistance Specialists (FAS) have been working with landowners whose properties have been damaged in recent years, to provide cost-share funding for site preparation, reforestation, and follow up treatments to ensure seedling survivability.</w:t>
      </w:r>
    </w:p>
    <w:p w14:paraId="50121BFC" w14:textId="77777777" w:rsidR="00465D8C" w:rsidRPr="00507D0D" w:rsidRDefault="00465D8C">
      <w:pPr>
        <w:rPr>
          <w:rFonts w:cs="Arial"/>
        </w:rPr>
      </w:pPr>
    </w:p>
    <w:p w14:paraId="51E4C717" w14:textId="1B2888BD" w:rsidR="004425E1" w:rsidRPr="00507D0D" w:rsidRDefault="00465D8C">
      <w:pPr>
        <w:rPr>
          <w:rFonts w:cs="Arial"/>
          <w:b/>
          <w:bCs/>
          <w:u w:val="single"/>
        </w:rPr>
      </w:pPr>
      <w:r>
        <w:rPr>
          <w:rFonts w:cs="Arial"/>
          <w:b/>
          <w:bCs/>
          <w:u w:val="single"/>
        </w:rPr>
        <w:t xml:space="preserve">CFIP </w:t>
      </w:r>
      <w:r w:rsidR="00D419AF">
        <w:rPr>
          <w:rFonts w:cs="Arial"/>
          <w:b/>
          <w:bCs/>
          <w:u w:val="single"/>
        </w:rPr>
        <w:t xml:space="preserve">Management Plan </w:t>
      </w:r>
      <w:r w:rsidR="004425E1" w:rsidRPr="00507D0D">
        <w:rPr>
          <w:rFonts w:cs="Arial"/>
          <w:b/>
          <w:bCs/>
          <w:u w:val="single"/>
        </w:rPr>
        <w:t>Problem Statement:</w:t>
      </w:r>
    </w:p>
    <w:p w14:paraId="0BB2DE39" w14:textId="77777777" w:rsidR="004425E1" w:rsidRPr="00507D0D" w:rsidRDefault="004425E1">
      <w:pPr>
        <w:rPr>
          <w:rFonts w:cs="Arial"/>
        </w:rPr>
      </w:pPr>
    </w:p>
    <w:p w14:paraId="5DDE6B97" w14:textId="499882B5" w:rsidR="00465D8C" w:rsidRPr="00871660" w:rsidRDefault="004425E1">
      <w:pPr>
        <w:rPr>
          <w:rFonts w:cs="Arial"/>
          <w:u w:val="double"/>
        </w:rPr>
      </w:pPr>
      <w:r w:rsidRPr="00507D0D">
        <w:rPr>
          <w:rFonts w:cs="Arial"/>
        </w:rPr>
        <w:t xml:space="preserve">For any CFIP project to take place, as per </w:t>
      </w:r>
      <w:r w:rsidR="00465D8C">
        <w:rPr>
          <w:rFonts w:cs="Arial"/>
        </w:rPr>
        <w:t>the Public Resources Code 4799(a) (</w:t>
      </w:r>
      <w:r w:rsidR="00465D8C" w:rsidRPr="00507D0D">
        <w:rPr>
          <w:rFonts w:cs="Arial"/>
        </w:rPr>
        <w:t xml:space="preserve">PRC </w:t>
      </w:r>
      <w:r w:rsidR="00465D8C" w:rsidRPr="00507D0D">
        <w:rPr>
          <w:rFonts w:cs="Arial"/>
          <w:szCs w:val="24"/>
        </w:rPr>
        <w:t>§</w:t>
      </w:r>
      <w:r w:rsidR="00465D8C" w:rsidRPr="00507D0D">
        <w:rPr>
          <w:rFonts w:cs="Arial"/>
        </w:rPr>
        <w:t>4799(a)</w:t>
      </w:r>
      <w:r w:rsidR="00465D8C">
        <w:rPr>
          <w:rFonts w:cs="Arial"/>
        </w:rPr>
        <w:t>)</w:t>
      </w:r>
      <w:r w:rsidR="00465D8C" w:rsidRPr="00507D0D">
        <w:rPr>
          <w:rFonts w:cs="Arial"/>
        </w:rPr>
        <w:t>,</w:t>
      </w:r>
      <w:r w:rsidR="00465D8C">
        <w:rPr>
          <w:rFonts w:cs="Arial"/>
        </w:rPr>
        <w:t xml:space="preserve"> a management plan must </w:t>
      </w:r>
      <w:r w:rsidR="00871660">
        <w:rPr>
          <w:rFonts w:cs="Arial"/>
        </w:rPr>
        <w:t xml:space="preserve">first </w:t>
      </w:r>
      <w:r w:rsidR="00465D8C">
        <w:rPr>
          <w:rFonts w:cs="Arial"/>
        </w:rPr>
        <w:t>be prepared by an RPF</w:t>
      </w:r>
      <w:r w:rsidR="00871660">
        <w:rPr>
          <w:rFonts w:cs="Arial"/>
        </w:rPr>
        <w:t xml:space="preserve">. The Code briefly describes what must be covered in a management plan, but leaves the fine details of this plan to the discretion of the Director and the Board. </w:t>
      </w:r>
    </w:p>
    <w:p w14:paraId="7C73C90B" w14:textId="77777777" w:rsidR="00465D8C" w:rsidRDefault="00465D8C">
      <w:pPr>
        <w:rPr>
          <w:rFonts w:cs="Arial"/>
        </w:rPr>
      </w:pPr>
    </w:p>
    <w:p w14:paraId="4EE9B4C0" w14:textId="6784E983" w:rsidR="00775463" w:rsidRDefault="004425E1">
      <w:pPr>
        <w:rPr>
          <w:rFonts w:cs="Arial"/>
        </w:rPr>
      </w:pPr>
      <w:r w:rsidRPr="00507D0D">
        <w:rPr>
          <w:rFonts w:cs="Arial"/>
        </w:rPr>
        <w:t xml:space="preserve">CFIP has been pro-active to the impacts that wildfires can have on forest landowners by </w:t>
      </w:r>
      <w:r w:rsidR="00871660">
        <w:rPr>
          <w:rFonts w:cs="Arial"/>
        </w:rPr>
        <w:t xml:space="preserve">previously creating </w:t>
      </w:r>
      <w:r w:rsidRPr="00507D0D">
        <w:rPr>
          <w:rFonts w:cs="Arial"/>
        </w:rPr>
        <w:t xml:space="preserve">a forest management plan </w:t>
      </w:r>
      <w:r w:rsidR="002A62C5" w:rsidRPr="00507D0D">
        <w:rPr>
          <w:rFonts w:cs="Arial"/>
        </w:rPr>
        <w:t xml:space="preserve">for very small landowners (&lt;50 acres) or for properties that have become substantially damaged. This plan still meets the intent of PRC </w:t>
      </w:r>
      <w:r w:rsidR="00507D0D" w:rsidRPr="00507D0D">
        <w:rPr>
          <w:rFonts w:cs="Arial"/>
          <w:szCs w:val="24"/>
        </w:rPr>
        <w:t>§</w:t>
      </w:r>
      <w:r w:rsidR="002A62C5" w:rsidRPr="00507D0D">
        <w:rPr>
          <w:rFonts w:cs="Arial"/>
        </w:rPr>
        <w:t xml:space="preserve">4799(a), yet reduces the amount of </w:t>
      </w:r>
      <w:r w:rsidR="00D419AF">
        <w:rPr>
          <w:rFonts w:cs="Arial"/>
        </w:rPr>
        <w:t>detail and data collection</w:t>
      </w:r>
      <w:r w:rsidR="002A62C5" w:rsidRPr="00507D0D">
        <w:rPr>
          <w:rFonts w:cs="Arial"/>
        </w:rPr>
        <w:t xml:space="preserve"> usually reserved for a California Cooperative </w:t>
      </w:r>
      <w:r w:rsidR="00507D0D" w:rsidRPr="00507D0D">
        <w:rPr>
          <w:rFonts w:cs="Arial"/>
        </w:rPr>
        <w:t xml:space="preserve">Forest </w:t>
      </w:r>
      <w:r w:rsidR="002A62C5" w:rsidRPr="00507D0D">
        <w:rPr>
          <w:rFonts w:cs="Arial"/>
        </w:rPr>
        <w:t>Management Plan</w:t>
      </w:r>
      <w:r w:rsidR="00507D0D" w:rsidRPr="00507D0D">
        <w:rPr>
          <w:rFonts w:cs="Arial"/>
        </w:rPr>
        <w:t xml:space="preserve"> (CCFMP)</w:t>
      </w:r>
      <w:r w:rsidR="002A62C5" w:rsidRPr="00507D0D">
        <w:rPr>
          <w:rFonts w:cs="Arial"/>
        </w:rPr>
        <w:t xml:space="preserve">. </w:t>
      </w:r>
      <w:r w:rsidR="00507D0D" w:rsidRPr="00507D0D">
        <w:rPr>
          <w:rFonts w:cs="Arial"/>
        </w:rPr>
        <w:t>The CCFMP also meets the guidelines of the American Forest Foundation and the NRCS Environmental Quality Incentives Program. While only available for use for CFIP, t</w:t>
      </w:r>
      <w:r w:rsidR="002A62C5" w:rsidRPr="00507D0D">
        <w:rPr>
          <w:rFonts w:cs="Arial"/>
        </w:rPr>
        <w:t xml:space="preserve">his “mini-management” plan is the primary document utilized for lands that have become substantially damaged through wildfire. </w:t>
      </w:r>
    </w:p>
    <w:p w14:paraId="37D0D5AC" w14:textId="61A1F782" w:rsidR="008F2567" w:rsidRDefault="008F2567">
      <w:pPr>
        <w:rPr>
          <w:rFonts w:cs="Arial"/>
        </w:rPr>
      </w:pPr>
    </w:p>
    <w:p w14:paraId="1DA10FC5" w14:textId="07DAF478" w:rsidR="008F2567" w:rsidRDefault="008F2567">
      <w:pPr>
        <w:rPr>
          <w:rFonts w:cs="Arial"/>
        </w:rPr>
      </w:pPr>
      <w:r>
        <w:rPr>
          <w:rFonts w:cs="Arial"/>
        </w:rPr>
        <w:t>The current process, while responsive to the needs of landowners meeting the criteria listed above, can still create timing issues for landowners who wish to quickly start re</w:t>
      </w:r>
      <w:r w:rsidR="001D2682">
        <w:rPr>
          <w:rFonts w:cs="Arial"/>
        </w:rPr>
        <w:t>habilitating</w:t>
      </w:r>
      <w:r>
        <w:rPr>
          <w:rFonts w:cs="Arial"/>
        </w:rPr>
        <w:t xml:space="preserve"> and reforesting their properties. Currently, a landowner must submit all information necessary for contract approval, and then only after approval can the management plan be prepared in order for the state to compensate the landowner. This is also defined in the Public Resources Code.</w:t>
      </w:r>
    </w:p>
    <w:p w14:paraId="75E14594" w14:textId="5E37427D" w:rsidR="001D2682" w:rsidRDefault="001D2682">
      <w:pPr>
        <w:rPr>
          <w:rFonts w:cs="Arial"/>
        </w:rPr>
      </w:pPr>
    </w:p>
    <w:p w14:paraId="004C5B5B" w14:textId="77777777" w:rsidR="00C65C58" w:rsidRDefault="001D2682">
      <w:pPr>
        <w:rPr>
          <w:rFonts w:cs="Arial"/>
        </w:rPr>
      </w:pPr>
      <w:r>
        <w:rPr>
          <w:rFonts w:cs="Arial"/>
        </w:rPr>
        <w:t xml:space="preserve">The Wildfire Resilience Program has been researching the issue and believes that there are possibilities for streamlining the process where landowners meet specific criteria. </w:t>
      </w:r>
    </w:p>
    <w:p w14:paraId="5E8A5411" w14:textId="77777777" w:rsidR="00C65C58" w:rsidRDefault="00C65C58">
      <w:pPr>
        <w:rPr>
          <w:rFonts w:cs="Arial"/>
        </w:rPr>
      </w:pPr>
    </w:p>
    <w:p w14:paraId="08FE9BD7" w14:textId="1768DBE2" w:rsidR="001D2682" w:rsidRPr="00C65C58" w:rsidRDefault="001D2682">
      <w:pPr>
        <w:rPr>
          <w:rFonts w:cs="Arial"/>
          <w:sz w:val="28"/>
          <w:szCs w:val="22"/>
          <w:u w:val="single"/>
        </w:rPr>
      </w:pPr>
      <w:r w:rsidRPr="00C65C58">
        <w:rPr>
          <w:rFonts w:cs="Arial"/>
          <w:sz w:val="28"/>
          <w:szCs w:val="22"/>
          <w:u w:val="single"/>
        </w:rPr>
        <w:t>The program believes that th</w:t>
      </w:r>
      <w:r w:rsidR="00E86938" w:rsidRPr="00C65C58">
        <w:rPr>
          <w:rFonts w:cs="Arial"/>
          <w:sz w:val="28"/>
          <w:szCs w:val="22"/>
          <w:u w:val="single"/>
        </w:rPr>
        <w:t>e following proposals</w:t>
      </w:r>
      <w:r w:rsidRPr="00C65C58">
        <w:rPr>
          <w:rFonts w:cs="Arial"/>
          <w:sz w:val="28"/>
          <w:szCs w:val="22"/>
          <w:u w:val="single"/>
        </w:rPr>
        <w:t xml:space="preserve"> meets the intent of the PRC</w:t>
      </w:r>
      <w:r w:rsidR="00E86938" w:rsidRPr="00C65C58">
        <w:rPr>
          <w:rFonts w:cs="Arial"/>
          <w:sz w:val="28"/>
          <w:szCs w:val="22"/>
          <w:u w:val="single"/>
        </w:rPr>
        <w:t xml:space="preserve"> and</w:t>
      </w:r>
      <w:r w:rsidRPr="00C65C58">
        <w:rPr>
          <w:rFonts w:cs="Arial"/>
          <w:sz w:val="28"/>
          <w:szCs w:val="22"/>
          <w:u w:val="single"/>
        </w:rPr>
        <w:t xml:space="preserve"> the subsequent California Code of Regulations (CCR §1525 - §1545.9)</w:t>
      </w:r>
      <w:r w:rsidR="00D419AF" w:rsidRPr="00C65C58">
        <w:rPr>
          <w:rFonts w:cs="Arial"/>
          <w:sz w:val="28"/>
          <w:szCs w:val="22"/>
          <w:u w:val="single"/>
        </w:rPr>
        <w:t xml:space="preserve"> in relationship to the necessity of a management plan</w:t>
      </w:r>
      <w:r w:rsidR="00C65C58">
        <w:rPr>
          <w:rFonts w:cs="Arial"/>
          <w:sz w:val="28"/>
          <w:szCs w:val="22"/>
          <w:u w:val="single"/>
        </w:rPr>
        <w:t>:</w:t>
      </w:r>
    </w:p>
    <w:p w14:paraId="06F928B9" w14:textId="77777777" w:rsidR="00D419AF" w:rsidRDefault="00D419AF" w:rsidP="00066243">
      <w:pPr>
        <w:rPr>
          <w:rFonts w:cs="Arial"/>
          <w:b/>
          <w:bCs/>
          <w:u w:val="single"/>
        </w:rPr>
      </w:pPr>
    </w:p>
    <w:p w14:paraId="3C7CB574" w14:textId="77777777" w:rsidR="00D419AF" w:rsidRDefault="00D419AF" w:rsidP="00066243">
      <w:pPr>
        <w:rPr>
          <w:rFonts w:cs="Arial"/>
          <w:b/>
          <w:bCs/>
          <w:u w:val="single"/>
        </w:rPr>
      </w:pPr>
    </w:p>
    <w:p w14:paraId="637D4BF0" w14:textId="174A0287" w:rsidR="00066243" w:rsidRPr="00507D0D" w:rsidRDefault="00066243" w:rsidP="00066243">
      <w:pPr>
        <w:rPr>
          <w:rFonts w:cs="Arial"/>
          <w:b/>
          <w:bCs/>
          <w:u w:val="single"/>
        </w:rPr>
      </w:pPr>
      <w:r>
        <w:rPr>
          <w:rFonts w:cs="Arial"/>
          <w:b/>
          <w:bCs/>
          <w:u w:val="single"/>
        </w:rPr>
        <w:t xml:space="preserve">CFIP </w:t>
      </w:r>
      <w:r w:rsidR="00187F78">
        <w:rPr>
          <w:rFonts w:cs="Arial"/>
          <w:b/>
          <w:bCs/>
          <w:u w:val="single"/>
        </w:rPr>
        <w:t xml:space="preserve">Emergency </w:t>
      </w:r>
      <w:r>
        <w:rPr>
          <w:rFonts w:cs="Arial"/>
          <w:b/>
          <w:bCs/>
          <w:u w:val="single"/>
        </w:rPr>
        <w:t>Management Plan Proposal</w:t>
      </w:r>
      <w:r w:rsidRPr="00507D0D">
        <w:rPr>
          <w:rFonts w:cs="Arial"/>
          <w:b/>
          <w:bCs/>
          <w:u w:val="single"/>
        </w:rPr>
        <w:t>:</w:t>
      </w:r>
    </w:p>
    <w:p w14:paraId="68139B62" w14:textId="7DF69B34" w:rsidR="00066243" w:rsidRDefault="00066243">
      <w:pPr>
        <w:rPr>
          <w:rFonts w:cs="Arial"/>
        </w:rPr>
      </w:pPr>
    </w:p>
    <w:p w14:paraId="78AD26AE" w14:textId="1D106374" w:rsidR="00066243" w:rsidRDefault="00066243">
      <w:pPr>
        <w:rPr>
          <w:rFonts w:cs="Arial"/>
          <w:szCs w:val="24"/>
        </w:rPr>
      </w:pPr>
      <w:r>
        <w:rPr>
          <w:rFonts w:cs="Arial"/>
          <w:szCs w:val="24"/>
        </w:rPr>
        <w:t xml:space="preserve">For those properties that have been substantially damaged by </w:t>
      </w:r>
      <w:r w:rsidR="00066878">
        <w:rPr>
          <w:rFonts w:cs="Arial"/>
          <w:szCs w:val="24"/>
        </w:rPr>
        <w:t xml:space="preserve">the </w:t>
      </w:r>
      <w:r>
        <w:rPr>
          <w:rFonts w:cs="Arial"/>
          <w:szCs w:val="24"/>
        </w:rPr>
        <w:t xml:space="preserve">qualifying conditions of 14 CCR </w:t>
      </w:r>
      <w:r w:rsidR="00066878">
        <w:rPr>
          <w:rFonts w:cs="Arial"/>
          <w:szCs w:val="24"/>
        </w:rPr>
        <w:t>§</w:t>
      </w:r>
      <w:r>
        <w:rPr>
          <w:rFonts w:cs="Arial"/>
          <w:szCs w:val="24"/>
        </w:rPr>
        <w:t xml:space="preserve">1052.1 in the California Forest Practice Rules, and have had an emergency notice, as per </w:t>
      </w:r>
      <w:r w:rsidR="00066878">
        <w:rPr>
          <w:rFonts w:cs="Arial"/>
          <w:szCs w:val="24"/>
        </w:rPr>
        <w:t>14 CCR §1052</w:t>
      </w:r>
      <w:r>
        <w:rPr>
          <w:rFonts w:cs="Arial"/>
          <w:szCs w:val="24"/>
        </w:rPr>
        <w:t xml:space="preserve"> submitted and </w:t>
      </w:r>
      <w:r w:rsidR="00066878">
        <w:rPr>
          <w:rFonts w:cs="Arial"/>
          <w:szCs w:val="24"/>
        </w:rPr>
        <w:t xml:space="preserve">successfully </w:t>
      </w:r>
      <w:r>
        <w:rPr>
          <w:rFonts w:cs="Arial"/>
          <w:szCs w:val="24"/>
        </w:rPr>
        <w:t xml:space="preserve">operated </w:t>
      </w:r>
      <w:r w:rsidR="00066878">
        <w:rPr>
          <w:rFonts w:cs="Arial"/>
          <w:szCs w:val="24"/>
        </w:rPr>
        <w:t xml:space="preserve">on, with an approved Work Completion Report (CAL FIRE RM-71), CFIP proposes the following to meet the intent of a management plan, with reasoning </w:t>
      </w:r>
      <w:r w:rsidR="00D419AF">
        <w:rPr>
          <w:rFonts w:cs="Arial"/>
          <w:szCs w:val="24"/>
        </w:rPr>
        <w:t xml:space="preserve">for the proposal </w:t>
      </w:r>
      <w:r w:rsidR="00066878">
        <w:rPr>
          <w:rFonts w:cs="Arial"/>
          <w:szCs w:val="24"/>
        </w:rPr>
        <w:t>in parentheses</w:t>
      </w:r>
      <w:r w:rsidR="00900091">
        <w:rPr>
          <w:rFonts w:cs="Arial"/>
          <w:szCs w:val="24"/>
        </w:rPr>
        <w:t xml:space="preserve"> in </w:t>
      </w:r>
      <w:r w:rsidR="00900091" w:rsidRPr="00900091">
        <w:rPr>
          <w:rFonts w:cs="Arial"/>
          <w:i/>
          <w:iCs/>
          <w:szCs w:val="24"/>
        </w:rPr>
        <w:t>italics</w:t>
      </w:r>
      <w:r w:rsidR="00066878">
        <w:rPr>
          <w:rFonts w:cs="Arial"/>
          <w:szCs w:val="24"/>
        </w:rPr>
        <w:t>:</w:t>
      </w:r>
    </w:p>
    <w:p w14:paraId="4C658B68" w14:textId="6EA205B2" w:rsidR="00066878" w:rsidRDefault="00066878">
      <w:pPr>
        <w:rPr>
          <w:rFonts w:cs="Arial"/>
          <w:szCs w:val="24"/>
        </w:rPr>
      </w:pPr>
    </w:p>
    <w:p w14:paraId="58C1739A" w14:textId="7DCC61CF" w:rsidR="00066878" w:rsidRDefault="00066878">
      <w:pPr>
        <w:rPr>
          <w:rFonts w:cs="Arial"/>
        </w:rPr>
      </w:pPr>
      <w:r>
        <w:rPr>
          <w:rFonts w:cs="Arial"/>
        </w:rPr>
        <w:t xml:space="preserve">The </w:t>
      </w:r>
      <w:r w:rsidR="00092687">
        <w:rPr>
          <w:rFonts w:cs="Arial"/>
        </w:rPr>
        <w:t xml:space="preserve">Emergency </w:t>
      </w:r>
      <w:r>
        <w:rPr>
          <w:rFonts w:cs="Arial"/>
        </w:rPr>
        <w:t>Management Plan will consist of:</w:t>
      </w:r>
    </w:p>
    <w:p w14:paraId="2C741733" w14:textId="7CAAC488" w:rsidR="00066878" w:rsidRDefault="00066878">
      <w:pPr>
        <w:rPr>
          <w:rFonts w:cs="Arial"/>
        </w:rPr>
      </w:pPr>
    </w:p>
    <w:p w14:paraId="3E42A0C6" w14:textId="7FCCFEC2" w:rsidR="00066878" w:rsidRDefault="00066878" w:rsidP="001B4269">
      <w:pPr>
        <w:numPr>
          <w:ilvl w:val="0"/>
          <w:numId w:val="1"/>
        </w:numPr>
        <w:rPr>
          <w:rFonts w:cs="Arial"/>
        </w:rPr>
      </w:pPr>
      <w:r>
        <w:rPr>
          <w:rFonts w:cs="Arial"/>
        </w:rPr>
        <w:t>A cover letter</w:t>
      </w:r>
      <w:r w:rsidR="0097355C">
        <w:rPr>
          <w:rFonts w:cs="Arial"/>
        </w:rPr>
        <w:t>, prepared by an RPF,</w:t>
      </w:r>
      <w:r>
        <w:rPr>
          <w:rFonts w:cs="Arial"/>
        </w:rPr>
        <w:t xml:space="preserve"> briefly describing the conditions of the property, the qualifying condition of the emergency</w:t>
      </w:r>
      <w:r w:rsidR="00FC3F97">
        <w:rPr>
          <w:rFonts w:cs="Arial"/>
        </w:rPr>
        <w:t xml:space="preserve">, and cover the topics described in PRC </w:t>
      </w:r>
      <w:r w:rsidR="00900091">
        <w:rPr>
          <w:rFonts w:cs="Arial"/>
          <w:szCs w:val="24"/>
        </w:rPr>
        <w:t>§</w:t>
      </w:r>
      <w:r w:rsidR="00FC3F97">
        <w:rPr>
          <w:rFonts w:cs="Arial"/>
        </w:rPr>
        <w:t>4799(a)(1-3). The expectation is that this will be no more than 1 to 2 pages. (</w:t>
      </w:r>
      <w:r w:rsidR="00FC3F97" w:rsidRPr="00900091">
        <w:rPr>
          <w:rFonts w:cs="Arial"/>
          <w:i/>
          <w:iCs/>
        </w:rPr>
        <w:t xml:space="preserve">PRC </w:t>
      </w:r>
      <w:r w:rsidR="00900091" w:rsidRPr="00900091">
        <w:rPr>
          <w:rFonts w:cs="Arial"/>
          <w:i/>
          <w:iCs/>
          <w:szCs w:val="24"/>
        </w:rPr>
        <w:t>§</w:t>
      </w:r>
      <w:r w:rsidR="00FC3F97" w:rsidRPr="00900091">
        <w:rPr>
          <w:rFonts w:cs="Arial"/>
          <w:i/>
          <w:iCs/>
        </w:rPr>
        <w:t xml:space="preserve">4799(a)(1-3) </w:t>
      </w:r>
      <w:r w:rsidR="00900091" w:rsidRPr="00900091">
        <w:rPr>
          <w:rFonts w:cs="Arial"/>
          <w:i/>
          <w:iCs/>
        </w:rPr>
        <w:t>allows for discretion on the amount of information needed to satisfy this requirement</w:t>
      </w:r>
      <w:r w:rsidR="00900091">
        <w:rPr>
          <w:rFonts w:cs="Arial"/>
        </w:rPr>
        <w:t>)</w:t>
      </w:r>
    </w:p>
    <w:p w14:paraId="10E4F7DD" w14:textId="1FDA6B9B" w:rsidR="00FC3F97" w:rsidRDefault="00FC3F97" w:rsidP="00FC3F97">
      <w:pPr>
        <w:numPr>
          <w:ilvl w:val="0"/>
          <w:numId w:val="1"/>
        </w:numPr>
        <w:rPr>
          <w:rFonts w:cs="Arial"/>
        </w:rPr>
      </w:pPr>
      <w:r>
        <w:rPr>
          <w:rFonts w:cs="Arial"/>
        </w:rPr>
        <w:t>A copy of the accepted Emergency Notice, with the entire Confidential Archaeological Letter</w:t>
      </w:r>
      <w:r w:rsidR="00900091">
        <w:rPr>
          <w:rFonts w:cs="Arial"/>
        </w:rPr>
        <w:t xml:space="preserve"> (</w:t>
      </w:r>
      <w:r w:rsidR="00900091" w:rsidRPr="00900091">
        <w:rPr>
          <w:rFonts w:cs="Arial"/>
          <w:i/>
          <w:iCs/>
        </w:rPr>
        <w:t xml:space="preserve">this meets the requirement that the plan be prepared by an RPF, and provides mapping requirements that meet most of 14 CCR </w:t>
      </w:r>
      <w:r w:rsidR="00900091" w:rsidRPr="00900091">
        <w:rPr>
          <w:rFonts w:cs="Arial"/>
          <w:i/>
          <w:iCs/>
          <w:szCs w:val="24"/>
        </w:rPr>
        <w:t>§</w:t>
      </w:r>
      <w:r w:rsidR="00900091" w:rsidRPr="00900091">
        <w:rPr>
          <w:rFonts w:cs="Arial"/>
          <w:i/>
          <w:iCs/>
        </w:rPr>
        <w:t xml:space="preserve">1034(x). This will also frontload the archaeology, which will have already been approved (accepted) through the emergency notice process. CAL FIRE understands that </w:t>
      </w:r>
      <w:r w:rsidR="00900091">
        <w:rPr>
          <w:rFonts w:cs="Arial"/>
          <w:i/>
          <w:iCs/>
        </w:rPr>
        <w:t>projects</w:t>
      </w:r>
      <w:r w:rsidR="00900091" w:rsidRPr="00900091">
        <w:rPr>
          <w:rFonts w:cs="Arial"/>
          <w:i/>
          <w:iCs/>
        </w:rPr>
        <w:t xml:space="preserve"> will still need to meet AB 52 Noticing Requirements to Native American Tribes</w:t>
      </w:r>
      <w:r w:rsidR="00900091">
        <w:rPr>
          <w:rFonts w:cs="Arial"/>
        </w:rPr>
        <w:t>)</w:t>
      </w:r>
    </w:p>
    <w:p w14:paraId="16D388F9" w14:textId="19128E0A" w:rsidR="00FC3F97" w:rsidRDefault="00FC3F97" w:rsidP="00FC3F97">
      <w:pPr>
        <w:numPr>
          <w:ilvl w:val="0"/>
          <w:numId w:val="1"/>
        </w:numPr>
        <w:rPr>
          <w:rFonts w:cs="Arial"/>
        </w:rPr>
      </w:pPr>
      <w:r>
        <w:rPr>
          <w:rFonts w:cs="Arial"/>
        </w:rPr>
        <w:t>A copy of the signed RM-71</w:t>
      </w:r>
      <w:r w:rsidR="00A04083">
        <w:rPr>
          <w:rFonts w:cs="Arial"/>
        </w:rPr>
        <w:t>, work completion report, from both the landowner and CAL FIRE that denotes that the area has been successfully completed</w:t>
      </w:r>
      <w:r w:rsidR="004148A3">
        <w:rPr>
          <w:rFonts w:cs="Arial"/>
        </w:rPr>
        <w:t xml:space="preserve"> (</w:t>
      </w:r>
      <w:r w:rsidR="004148A3" w:rsidRPr="004148A3">
        <w:rPr>
          <w:rFonts w:cs="Arial"/>
          <w:i/>
          <w:iCs/>
        </w:rPr>
        <w:t xml:space="preserve">the expectation is that the area </w:t>
      </w:r>
      <w:r w:rsidR="00C86C0F">
        <w:rPr>
          <w:rFonts w:cs="Arial"/>
          <w:i/>
          <w:iCs/>
        </w:rPr>
        <w:t>mapped within the emergency notice will have at least 75% of the area logged</w:t>
      </w:r>
      <w:r w:rsidR="004148A3" w:rsidRPr="004148A3">
        <w:rPr>
          <w:rFonts w:cs="Arial"/>
          <w:i/>
          <w:iCs/>
        </w:rPr>
        <w:t>, as this would represent a disturbance level expected to be higher than the proposed rehabilitation efforts in the CFIP project</w:t>
      </w:r>
      <w:r w:rsidR="004148A3">
        <w:rPr>
          <w:rFonts w:cs="Arial"/>
        </w:rPr>
        <w:t>)</w:t>
      </w:r>
    </w:p>
    <w:p w14:paraId="6800D1E2" w14:textId="25229C77" w:rsidR="004E124C" w:rsidRDefault="004148A3" w:rsidP="00FC3F97">
      <w:pPr>
        <w:numPr>
          <w:ilvl w:val="0"/>
          <w:numId w:val="1"/>
        </w:numPr>
        <w:rPr>
          <w:rFonts w:cs="Arial"/>
        </w:rPr>
      </w:pPr>
      <w:r>
        <w:rPr>
          <w:rFonts w:cs="Arial"/>
        </w:rPr>
        <w:t xml:space="preserve">For areas where the emergency notice does not </w:t>
      </w:r>
      <w:r w:rsidR="004E124C">
        <w:rPr>
          <w:rFonts w:cs="Arial"/>
        </w:rPr>
        <w:t>cover the entire ownership, a map that shows the entire ownership. (</w:t>
      </w:r>
      <w:r w:rsidR="004E124C" w:rsidRPr="004E124C">
        <w:rPr>
          <w:rFonts w:cs="Arial"/>
          <w:i/>
          <w:iCs/>
        </w:rPr>
        <w:t>PRC 4799(a) requires the “plan” to cover all forested areas within the ownership. This new proposal only requires minimal mapping</w:t>
      </w:r>
      <w:r w:rsidR="004E124C">
        <w:rPr>
          <w:rFonts w:cs="Arial"/>
          <w:i/>
          <w:iCs/>
        </w:rPr>
        <w:t xml:space="preserve"> for areas not within the accepted emergency notice</w:t>
      </w:r>
      <w:r w:rsidR="004E124C" w:rsidRPr="004E124C">
        <w:rPr>
          <w:rFonts w:cs="Arial"/>
          <w:i/>
          <w:iCs/>
        </w:rPr>
        <w:t xml:space="preserve"> to meet code, as this plan </w:t>
      </w:r>
      <w:r w:rsidR="004E124C">
        <w:rPr>
          <w:rFonts w:cs="Arial"/>
          <w:i/>
          <w:iCs/>
        </w:rPr>
        <w:t>proposal is no</w:t>
      </w:r>
      <w:r w:rsidR="001B4269">
        <w:rPr>
          <w:rFonts w:cs="Arial"/>
          <w:i/>
          <w:iCs/>
        </w:rPr>
        <w:t>t</w:t>
      </w:r>
      <w:r w:rsidR="004E124C">
        <w:rPr>
          <w:rFonts w:cs="Arial"/>
          <w:i/>
          <w:iCs/>
        </w:rPr>
        <w:t xml:space="preserve"> intended to </w:t>
      </w:r>
      <w:r w:rsidR="004E124C" w:rsidRPr="004E124C">
        <w:rPr>
          <w:rFonts w:cs="Arial"/>
          <w:i/>
          <w:iCs/>
        </w:rPr>
        <w:t>replace a full management or mini-management plan</w:t>
      </w:r>
      <w:r w:rsidR="004E124C">
        <w:rPr>
          <w:rFonts w:cs="Arial"/>
          <w:i/>
          <w:iCs/>
        </w:rPr>
        <w:t xml:space="preserve"> for areas not within the emergency notice</w:t>
      </w:r>
      <w:r w:rsidR="004E124C">
        <w:rPr>
          <w:rFonts w:cs="Arial"/>
        </w:rPr>
        <w:t xml:space="preserve">). </w:t>
      </w:r>
    </w:p>
    <w:p w14:paraId="65EDCD50" w14:textId="0B439641" w:rsidR="004148A3" w:rsidRDefault="001B4269" w:rsidP="001B4269">
      <w:pPr>
        <w:numPr>
          <w:ilvl w:val="0"/>
          <w:numId w:val="1"/>
        </w:numPr>
        <w:rPr>
          <w:rFonts w:cs="Arial"/>
        </w:rPr>
      </w:pPr>
      <w:r>
        <w:rPr>
          <w:rFonts w:cs="Arial"/>
        </w:rPr>
        <w:t xml:space="preserve">For areas where the emergency notice does not cover the entire ownership, the brief description under “1”, above, must contain a brief description of the remainder of the ownership and what, if any, future plans for the forested areas. </w:t>
      </w:r>
    </w:p>
    <w:p w14:paraId="3AE7E713" w14:textId="5D4FD75D" w:rsidR="0097355C" w:rsidRDefault="0097355C" w:rsidP="001B4269">
      <w:pPr>
        <w:numPr>
          <w:ilvl w:val="0"/>
          <w:numId w:val="1"/>
        </w:numPr>
        <w:rPr>
          <w:rFonts w:cs="Arial"/>
        </w:rPr>
      </w:pPr>
      <w:r>
        <w:rPr>
          <w:rFonts w:cs="Arial"/>
        </w:rPr>
        <w:t>All other documents required for a normal CFIP contract.</w:t>
      </w:r>
    </w:p>
    <w:p w14:paraId="28C013CD" w14:textId="77777777" w:rsidR="0097355C" w:rsidRDefault="0097355C" w:rsidP="0097355C">
      <w:pPr>
        <w:rPr>
          <w:rFonts w:cs="Arial"/>
        </w:rPr>
      </w:pPr>
    </w:p>
    <w:p w14:paraId="5B0604C4" w14:textId="5EB76E67" w:rsidR="0097355C" w:rsidRDefault="0097355C" w:rsidP="0097355C">
      <w:pPr>
        <w:rPr>
          <w:rFonts w:cs="Arial"/>
        </w:rPr>
      </w:pPr>
      <w:r>
        <w:rPr>
          <w:rFonts w:cs="Arial"/>
        </w:rPr>
        <w:t xml:space="preserve">This </w:t>
      </w:r>
      <w:r w:rsidR="00C65C58">
        <w:rPr>
          <w:rFonts w:cs="Arial"/>
        </w:rPr>
        <w:t>expedited</w:t>
      </w:r>
      <w:r w:rsidR="00C86C0F">
        <w:rPr>
          <w:rFonts w:cs="Arial"/>
        </w:rPr>
        <w:t xml:space="preserve"> </w:t>
      </w:r>
      <w:r>
        <w:rPr>
          <w:rFonts w:cs="Arial"/>
        </w:rPr>
        <w:t>process is to have a management plan that meets the PRC be approved immediately upon contract approval, with minimal additional effort from an RPF (cover letter)</w:t>
      </w:r>
      <w:r w:rsidR="007623AA">
        <w:rPr>
          <w:rFonts w:cs="Arial"/>
        </w:rPr>
        <w:t>. In fact, prior to approval of a contract, a complete CFIP package must contain a “project description”, so it is entirely possible that this would not add any additional work for an RPF already required.</w:t>
      </w:r>
      <w:r w:rsidR="00A04083">
        <w:rPr>
          <w:rFonts w:cs="Arial"/>
        </w:rPr>
        <w:t xml:space="preserve"> This shortened Emergency Management Plan will not supplant the need for a management plan in the future, for thinning, release, or other operations. This plan is intended only for immediate reforestation efforts to commence and after expiration of the contract, the plan cannot be used again in the future.</w:t>
      </w:r>
    </w:p>
    <w:p w14:paraId="72683BD8" w14:textId="77777777" w:rsidR="0097355C" w:rsidRDefault="0097355C" w:rsidP="001B4269">
      <w:pPr>
        <w:rPr>
          <w:rFonts w:cs="Arial"/>
        </w:rPr>
      </w:pPr>
    </w:p>
    <w:p w14:paraId="50194F4A" w14:textId="77777777" w:rsidR="00A04083" w:rsidRDefault="00A04083" w:rsidP="00A04083">
      <w:pPr>
        <w:rPr>
          <w:rFonts w:cs="Arial"/>
          <w:b/>
          <w:bCs/>
          <w:u w:val="single"/>
        </w:rPr>
      </w:pPr>
    </w:p>
    <w:p w14:paraId="2B18D3DA" w14:textId="001B31B4" w:rsidR="00A04083" w:rsidRPr="00507D0D" w:rsidRDefault="00A04083" w:rsidP="00A04083">
      <w:pPr>
        <w:rPr>
          <w:rFonts w:cs="Arial"/>
          <w:b/>
          <w:bCs/>
          <w:u w:val="single"/>
        </w:rPr>
      </w:pPr>
      <w:r>
        <w:rPr>
          <w:rFonts w:cs="Arial"/>
          <w:b/>
          <w:bCs/>
          <w:u w:val="single"/>
        </w:rPr>
        <w:t>CFIP Emergency Management Plan Proposal, CEQA Exempt Areas</w:t>
      </w:r>
      <w:r w:rsidRPr="00507D0D">
        <w:rPr>
          <w:rFonts w:cs="Arial"/>
          <w:b/>
          <w:bCs/>
          <w:u w:val="single"/>
        </w:rPr>
        <w:t>:</w:t>
      </w:r>
    </w:p>
    <w:p w14:paraId="1784B19C" w14:textId="1531EF49" w:rsidR="001B4269" w:rsidRDefault="001B4269" w:rsidP="001B4269">
      <w:pPr>
        <w:rPr>
          <w:rFonts w:cs="Arial"/>
        </w:rPr>
      </w:pPr>
    </w:p>
    <w:p w14:paraId="77AD19F3" w14:textId="4E582B28" w:rsidR="006E5121" w:rsidRDefault="001B4269" w:rsidP="001B4269">
      <w:pPr>
        <w:rPr>
          <w:rFonts w:cs="Arial"/>
        </w:rPr>
      </w:pPr>
      <w:r>
        <w:rPr>
          <w:rFonts w:cs="Arial"/>
        </w:rPr>
        <w:t xml:space="preserve">CFIP is covered with a programmatic EIR (June 1979) </w:t>
      </w:r>
      <w:r w:rsidR="00A04083">
        <w:rPr>
          <w:rFonts w:cs="Arial"/>
        </w:rPr>
        <w:t xml:space="preserve">and </w:t>
      </w:r>
      <w:r>
        <w:rPr>
          <w:rFonts w:cs="Arial"/>
        </w:rPr>
        <w:t xml:space="preserve">with a supplement (June 1990). This EIR does cover </w:t>
      </w:r>
      <w:r w:rsidR="00A04083">
        <w:rPr>
          <w:rFonts w:cs="Arial"/>
        </w:rPr>
        <w:t xml:space="preserve">all </w:t>
      </w:r>
      <w:r>
        <w:rPr>
          <w:rFonts w:cs="Arial"/>
        </w:rPr>
        <w:t xml:space="preserve">CFIP projects </w:t>
      </w:r>
      <w:r w:rsidR="00A04083">
        <w:rPr>
          <w:rFonts w:cs="Arial"/>
        </w:rPr>
        <w:t xml:space="preserve">within the scope of the EIR </w:t>
      </w:r>
      <w:r>
        <w:rPr>
          <w:rFonts w:cs="Arial"/>
        </w:rPr>
        <w:t xml:space="preserve">and has provided </w:t>
      </w:r>
      <w:r w:rsidR="0097355C">
        <w:rPr>
          <w:rFonts w:cs="Arial"/>
        </w:rPr>
        <w:t>environmental review and documentation to avoid or lesson impacts to less than significant</w:t>
      </w:r>
      <w:r w:rsidR="006E5121">
        <w:rPr>
          <w:rFonts w:cs="Arial"/>
        </w:rPr>
        <w:t>.</w:t>
      </w:r>
      <w:r w:rsidR="0097355C">
        <w:rPr>
          <w:rFonts w:cs="Arial"/>
        </w:rPr>
        <w:t xml:space="preserve"> However, after approval </w:t>
      </w:r>
      <w:r w:rsidR="007623AA">
        <w:rPr>
          <w:rFonts w:cs="Arial"/>
        </w:rPr>
        <w:t xml:space="preserve">of a contract, and subsequent approval of a management plan (current process), adequate scoping and an environmental checklist must be prepared prior to approval of any ground practices. </w:t>
      </w:r>
      <w:r w:rsidR="006E5121">
        <w:rPr>
          <w:rFonts w:cs="Arial"/>
        </w:rPr>
        <w:t xml:space="preserve">This additional process requires applicants to conduct biological scoping and preparation of a checklist with approval from the FAS, prior to conduct of ground operations.  </w:t>
      </w:r>
    </w:p>
    <w:p w14:paraId="3C770B90" w14:textId="77777777" w:rsidR="006E5121" w:rsidRDefault="006E5121" w:rsidP="001B4269">
      <w:pPr>
        <w:rPr>
          <w:rFonts w:cs="Arial"/>
        </w:rPr>
      </w:pPr>
    </w:p>
    <w:p w14:paraId="650A1DE2" w14:textId="77777777" w:rsidR="00092687" w:rsidRDefault="006E5121" w:rsidP="001B4269">
      <w:pPr>
        <w:rPr>
          <w:rFonts w:cs="Arial"/>
        </w:rPr>
      </w:pPr>
      <w:r>
        <w:rPr>
          <w:rFonts w:cs="Arial"/>
        </w:rPr>
        <w:t xml:space="preserve">The Wildfire Resilience Program is also requesting a two-tiered approach to CEQA requirements that would forgo additional CEQA review in specific areas, described below, to continue to lesson time constraints, while also protecting the resources of the state. </w:t>
      </w:r>
    </w:p>
    <w:p w14:paraId="5C732F47" w14:textId="77777777" w:rsidR="00092687" w:rsidRDefault="00092687" w:rsidP="001B4269">
      <w:pPr>
        <w:rPr>
          <w:rFonts w:cs="Arial"/>
        </w:rPr>
      </w:pPr>
    </w:p>
    <w:p w14:paraId="29BA6429" w14:textId="580C44EE" w:rsidR="0097355C" w:rsidRDefault="00092687" w:rsidP="001B4269">
      <w:pPr>
        <w:rPr>
          <w:rFonts w:cs="Arial"/>
        </w:rPr>
      </w:pPr>
      <w:r w:rsidRPr="00092687">
        <w:rPr>
          <w:rFonts w:cs="Arial"/>
          <w:b/>
          <w:bCs/>
        </w:rPr>
        <w:t>Tier 1 -</w:t>
      </w:r>
      <w:r>
        <w:rPr>
          <w:rFonts w:cs="Arial"/>
        </w:rPr>
        <w:t xml:space="preserve"> F</w:t>
      </w:r>
      <w:r w:rsidR="007623AA">
        <w:rPr>
          <w:rFonts w:cs="Arial"/>
        </w:rPr>
        <w:t xml:space="preserve">or CFIP projects </w:t>
      </w:r>
      <w:r>
        <w:rPr>
          <w:rFonts w:cs="Arial"/>
        </w:rPr>
        <w:t xml:space="preserve">meeting the conditions of the Emergency Management Plan, listed above, </w:t>
      </w:r>
      <w:r w:rsidRPr="00C86C0F">
        <w:rPr>
          <w:rFonts w:cs="Arial"/>
          <w:u w:val="single"/>
        </w:rPr>
        <w:t>and are located within a</w:t>
      </w:r>
      <w:r w:rsidR="007623AA" w:rsidRPr="00C86C0F">
        <w:rPr>
          <w:rFonts w:cs="Arial"/>
          <w:u w:val="single"/>
        </w:rPr>
        <w:t xml:space="preserve"> </w:t>
      </w:r>
      <w:r w:rsidRPr="00C86C0F">
        <w:rPr>
          <w:u w:val="single"/>
        </w:rPr>
        <w:t>disaster stricken area</w:t>
      </w:r>
      <w:r w:rsidRPr="00092687">
        <w:t xml:space="preserve"> in which a state of emergency has been proclaimed by the Governor</w:t>
      </w:r>
      <w:r>
        <w:rPr>
          <w:rFonts w:cs="Arial"/>
        </w:rPr>
        <w:t xml:space="preserve"> </w:t>
      </w:r>
      <w:r w:rsidR="007623AA">
        <w:rPr>
          <w:rFonts w:cs="Arial"/>
        </w:rPr>
        <w:t>by the Governor</w:t>
      </w:r>
      <w:r w:rsidR="00E75232">
        <w:rPr>
          <w:rFonts w:cs="Arial"/>
        </w:rPr>
        <w:t xml:space="preserve"> </w:t>
      </w:r>
      <w:r>
        <w:rPr>
          <w:rFonts w:cs="Arial"/>
        </w:rPr>
        <w:t xml:space="preserve">and therefore </w:t>
      </w:r>
      <w:r w:rsidR="00E75232">
        <w:rPr>
          <w:rFonts w:cs="Arial"/>
        </w:rPr>
        <w:t xml:space="preserve">meets CEQA statute for emergency: </w:t>
      </w:r>
    </w:p>
    <w:p w14:paraId="5320AADE" w14:textId="2747E0CA" w:rsidR="00E75232" w:rsidRPr="00E75232" w:rsidRDefault="00E75232" w:rsidP="001B4269">
      <w:pPr>
        <w:rPr>
          <w:rFonts w:cs="Arial"/>
          <w:szCs w:val="24"/>
        </w:rPr>
      </w:pPr>
    </w:p>
    <w:p w14:paraId="5793E219" w14:textId="77777777" w:rsidR="00E75232" w:rsidRPr="00E75232" w:rsidRDefault="00E75232" w:rsidP="00E75232">
      <w:pPr>
        <w:autoSpaceDE w:val="0"/>
        <w:autoSpaceDN w:val="0"/>
        <w:adjustRightInd w:val="0"/>
        <w:spacing w:line="240" w:lineRule="auto"/>
        <w:rPr>
          <w:rFonts w:cs="Arial"/>
          <w:i/>
          <w:iCs/>
          <w:szCs w:val="24"/>
        </w:rPr>
      </w:pPr>
      <w:r w:rsidRPr="00E75232">
        <w:rPr>
          <w:rFonts w:cs="Arial"/>
          <w:i/>
          <w:iCs/>
          <w:szCs w:val="24"/>
        </w:rPr>
        <w:t>§ 21060.3. EMERGENCY</w:t>
      </w:r>
    </w:p>
    <w:p w14:paraId="0B876C91" w14:textId="75D41605" w:rsidR="00E75232" w:rsidRPr="00E75232" w:rsidRDefault="00E75232" w:rsidP="00E75232">
      <w:pPr>
        <w:autoSpaceDE w:val="0"/>
        <w:autoSpaceDN w:val="0"/>
        <w:adjustRightInd w:val="0"/>
        <w:spacing w:line="240" w:lineRule="auto"/>
        <w:rPr>
          <w:rFonts w:cs="Arial"/>
          <w:i/>
          <w:iCs/>
          <w:szCs w:val="24"/>
        </w:rPr>
      </w:pPr>
      <w:r w:rsidRPr="00E75232">
        <w:rPr>
          <w:rFonts w:cs="Arial"/>
          <w:i/>
          <w:iCs/>
          <w:szCs w:val="24"/>
        </w:rPr>
        <w:t>“Emergency“ means a sudden, unexpected occurrence, involving a clear and imminent danger, demanding immediate action to prevent or mitigate loss of, or damage to, life, health, property, or essential public services. “Emergency” includes such occurrences as fire, flood, earthquake, or other soil or geologic movements, as well as such occurrences as riot, accident, or sabotage.</w:t>
      </w:r>
    </w:p>
    <w:p w14:paraId="645DA43E" w14:textId="6F67F93C" w:rsidR="00E75232" w:rsidRDefault="00E75232" w:rsidP="00E75232">
      <w:pPr>
        <w:autoSpaceDE w:val="0"/>
        <w:autoSpaceDN w:val="0"/>
        <w:adjustRightInd w:val="0"/>
        <w:spacing w:line="240" w:lineRule="auto"/>
        <w:rPr>
          <w:rFonts w:cs="Arial"/>
          <w:szCs w:val="24"/>
        </w:rPr>
      </w:pPr>
    </w:p>
    <w:p w14:paraId="62C884C4" w14:textId="3002912D" w:rsidR="00E75232" w:rsidRDefault="00092687" w:rsidP="00E75232">
      <w:pPr>
        <w:autoSpaceDE w:val="0"/>
        <w:autoSpaceDN w:val="0"/>
        <w:adjustRightInd w:val="0"/>
        <w:spacing w:line="240" w:lineRule="auto"/>
        <w:rPr>
          <w:rFonts w:cs="Arial"/>
          <w:szCs w:val="24"/>
        </w:rPr>
      </w:pPr>
      <w:r>
        <w:rPr>
          <w:rFonts w:cs="Arial"/>
          <w:szCs w:val="24"/>
        </w:rPr>
        <w:t>These area</w:t>
      </w:r>
      <w:r w:rsidR="00C65C58">
        <w:rPr>
          <w:rFonts w:cs="Arial"/>
          <w:szCs w:val="24"/>
        </w:rPr>
        <w:t>s</w:t>
      </w:r>
      <w:r>
        <w:rPr>
          <w:rFonts w:cs="Arial"/>
          <w:szCs w:val="24"/>
        </w:rPr>
        <w:t xml:space="preserve"> therefore do </w:t>
      </w:r>
      <w:r w:rsidR="00E75232">
        <w:rPr>
          <w:rFonts w:cs="Arial"/>
          <w:szCs w:val="24"/>
        </w:rPr>
        <w:t>not meet the definition of a discretionary project under C</w:t>
      </w:r>
      <w:r w:rsidR="00A04A7B">
        <w:rPr>
          <w:rFonts w:cs="Arial"/>
          <w:szCs w:val="24"/>
        </w:rPr>
        <w:t>E</w:t>
      </w:r>
      <w:r w:rsidR="00E75232">
        <w:rPr>
          <w:rFonts w:cs="Arial"/>
          <w:szCs w:val="24"/>
        </w:rPr>
        <w:t>QA Sta</w:t>
      </w:r>
      <w:r w:rsidR="00A04A7B">
        <w:rPr>
          <w:rFonts w:cs="Arial"/>
          <w:szCs w:val="24"/>
        </w:rPr>
        <w:t>t</w:t>
      </w:r>
      <w:r w:rsidR="00E75232">
        <w:rPr>
          <w:rFonts w:cs="Arial"/>
          <w:szCs w:val="24"/>
        </w:rPr>
        <w:t>ute:</w:t>
      </w:r>
    </w:p>
    <w:p w14:paraId="32DD8768" w14:textId="39E6311C" w:rsidR="00E75232" w:rsidRDefault="00E75232" w:rsidP="00E75232">
      <w:pPr>
        <w:autoSpaceDE w:val="0"/>
        <w:autoSpaceDN w:val="0"/>
        <w:adjustRightInd w:val="0"/>
        <w:spacing w:line="240" w:lineRule="auto"/>
        <w:rPr>
          <w:rFonts w:cs="Arial"/>
          <w:szCs w:val="24"/>
        </w:rPr>
      </w:pPr>
    </w:p>
    <w:p w14:paraId="4EF6D377" w14:textId="07727E7E" w:rsidR="00A04A7B" w:rsidRPr="00A04A7B" w:rsidRDefault="00A04A7B" w:rsidP="00A04A7B">
      <w:pPr>
        <w:autoSpaceDE w:val="0"/>
        <w:autoSpaceDN w:val="0"/>
        <w:adjustRightInd w:val="0"/>
        <w:spacing w:line="240" w:lineRule="auto"/>
        <w:rPr>
          <w:rFonts w:cs="Arial"/>
          <w:i/>
          <w:iCs/>
          <w:szCs w:val="24"/>
        </w:rPr>
      </w:pPr>
      <w:r w:rsidRPr="00A04A7B">
        <w:rPr>
          <w:rFonts w:cs="Arial"/>
          <w:i/>
          <w:iCs/>
          <w:szCs w:val="24"/>
        </w:rPr>
        <w:t>§ 21080. DIVISION APPLICATION TO DISCRETIONARY PROJECTS; NONAPPLICATION;</w:t>
      </w:r>
      <w:r>
        <w:rPr>
          <w:rFonts w:cs="Arial"/>
          <w:i/>
          <w:iCs/>
          <w:szCs w:val="24"/>
        </w:rPr>
        <w:t xml:space="preserve"> </w:t>
      </w:r>
      <w:r w:rsidRPr="00A04A7B">
        <w:rPr>
          <w:rFonts w:cs="Arial"/>
          <w:i/>
          <w:iCs/>
          <w:szCs w:val="24"/>
        </w:rPr>
        <w:t>NEGATIVE DECLARATIONS; ENVIRONMENTAL IMPACT REPORT PREPARATION</w:t>
      </w:r>
    </w:p>
    <w:p w14:paraId="4E6B60F1" w14:textId="3C24E1D1" w:rsidR="00A04A7B" w:rsidRPr="00A04A7B" w:rsidRDefault="00A04A7B" w:rsidP="00A04A7B">
      <w:pPr>
        <w:autoSpaceDE w:val="0"/>
        <w:autoSpaceDN w:val="0"/>
        <w:adjustRightInd w:val="0"/>
        <w:spacing w:line="240" w:lineRule="auto"/>
        <w:rPr>
          <w:rFonts w:cs="Arial"/>
          <w:i/>
          <w:iCs/>
          <w:szCs w:val="24"/>
        </w:rPr>
      </w:pPr>
      <w:r w:rsidRPr="00A04A7B">
        <w:rPr>
          <w:rFonts w:cs="Arial"/>
          <w:i/>
          <w:iCs/>
          <w:szCs w:val="24"/>
        </w:rPr>
        <w:t>(b) This division does not apply to any of the following activities:</w:t>
      </w:r>
    </w:p>
    <w:p w14:paraId="6198A26D" w14:textId="0DA6D23E" w:rsidR="00E75232" w:rsidRPr="00A04A7B" w:rsidRDefault="00A04A7B" w:rsidP="00A04A7B">
      <w:pPr>
        <w:autoSpaceDE w:val="0"/>
        <w:autoSpaceDN w:val="0"/>
        <w:adjustRightInd w:val="0"/>
        <w:spacing w:line="240" w:lineRule="auto"/>
        <w:rPr>
          <w:rFonts w:cs="Arial"/>
          <w:i/>
          <w:iCs/>
          <w:szCs w:val="24"/>
        </w:rPr>
      </w:pPr>
      <w:r w:rsidRPr="00A04A7B">
        <w:rPr>
          <w:rFonts w:cs="Arial"/>
          <w:i/>
          <w:iCs/>
          <w:szCs w:val="24"/>
        </w:rPr>
        <w:t>(b)(3) Projects undertaken, carried out, or approved by a public agency to maintain, repair, restore, demolish, or replace property or facilities damaged or destroyed as a result of a disaster in a disaster-stricken area in which a state of emergency has been proclaimed by the Governor pursuant to Chapter 7 (commencing with Section 8550) of Division 1 of Title 2 of the Government Code.</w:t>
      </w:r>
    </w:p>
    <w:p w14:paraId="5587B098" w14:textId="77777777" w:rsidR="00E75232" w:rsidRDefault="00E75232" w:rsidP="00E75232">
      <w:pPr>
        <w:autoSpaceDE w:val="0"/>
        <w:autoSpaceDN w:val="0"/>
        <w:adjustRightInd w:val="0"/>
        <w:spacing w:line="240" w:lineRule="auto"/>
        <w:rPr>
          <w:rFonts w:cs="Arial"/>
          <w:szCs w:val="24"/>
        </w:rPr>
      </w:pPr>
    </w:p>
    <w:p w14:paraId="02D170E8" w14:textId="4BFAE34D" w:rsidR="00E75232" w:rsidRDefault="00E75232" w:rsidP="00E75232">
      <w:pPr>
        <w:autoSpaceDE w:val="0"/>
        <w:autoSpaceDN w:val="0"/>
        <w:adjustRightInd w:val="0"/>
        <w:spacing w:line="240" w:lineRule="auto"/>
        <w:rPr>
          <w:rFonts w:cs="Arial"/>
          <w:szCs w:val="24"/>
        </w:rPr>
      </w:pPr>
      <w:r>
        <w:rPr>
          <w:rFonts w:cs="Arial"/>
          <w:szCs w:val="24"/>
        </w:rPr>
        <w:t xml:space="preserve">And </w:t>
      </w:r>
      <w:r w:rsidR="00092687">
        <w:rPr>
          <w:rFonts w:cs="Arial"/>
          <w:szCs w:val="24"/>
        </w:rPr>
        <w:t xml:space="preserve">therefore </w:t>
      </w:r>
      <w:r>
        <w:rPr>
          <w:rFonts w:cs="Arial"/>
          <w:szCs w:val="24"/>
        </w:rPr>
        <w:t>meet</w:t>
      </w:r>
      <w:r w:rsidR="00092687">
        <w:rPr>
          <w:rFonts w:cs="Arial"/>
          <w:szCs w:val="24"/>
        </w:rPr>
        <w:t>s</w:t>
      </w:r>
      <w:r>
        <w:rPr>
          <w:rFonts w:cs="Arial"/>
          <w:szCs w:val="24"/>
        </w:rPr>
        <w:t xml:space="preserve"> CEQA exemption </w:t>
      </w:r>
      <w:r w:rsidR="00092687">
        <w:rPr>
          <w:rFonts w:cs="Arial"/>
          <w:szCs w:val="24"/>
        </w:rPr>
        <w:t xml:space="preserve">status </w:t>
      </w:r>
      <w:r>
        <w:rPr>
          <w:rFonts w:cs="Arial"/>
          <w:szCs w:val="24"/>
        </w:rPr>
        <w:t>as defined under CEQA Guidelines:</w:t>
      </w:r>
    </w:p>
    <w:p w14:paraId="6B7E22CE" w14:textId="77777777" w:rsidR="00E75232" w:rsidRPr="00E75232" w:rsidRDefault="00E75232" w:rsidP="00E75232">
      <w:pPr>
        <w:autoSpaceDE w:val="0"/>
        <w:autoSpaceDN w:val="0"/>
        <w:adjustRightInd w:val="0"/>
        <w:spacing w:line="240" w:lineRule="auto"/>
        <w:rPr>
          <w:rFonts w:cs="Arial"/>
          <w:szCs w:val="24"/>
        </w:rPr>
      </w:pPr>
    </w:p>
    <w:p w14:paraId="6EA144F2" w14:textId="77777777" w:rsidR="0097355C" w:rsidRPr="0097355C" w:rsidRDefault="0097355C" w:rsidP="0097355C">
      <w:pPr>
        <w:rPr>
          <w:rFonts w:ascii="Calibri" w:hAnsi="Calibri"/>
          <w:i/>
          <w:iCs/>
        </w:rPr>
      </w:pPr>
      <w:bookmarkStart w:id="3" w:name="_Hlk98508778"/>
      <w:r w:rsidRPr="0097355C">
        <w:rPr>
          <w:i/>
          <w:iCs/>
        </w:rPr>
        <w:t xml:space="preserve">15269. EMERGENCY PROJECTS The following emergency projects are exempt from the requirements of CEQA. (a) Projects to maintain, repair, restore, demolish, or replace property or facilities damaged or destroyed as a result of a disaster in a disaster stricken area in which a state of emergency has been proclaimed by the Governor pursuant to the California Emergency Services Act, commencing with Section 8550 of the </w:t>
      </w:r>
      <w:r w:rsidRPr="0097355C">
        <w:rPr>
          <w:i/>
          <w:iCs/>
        </w:rPr>
        <w:lastRenderedPageBreak/>
        <w:t>Government Code. This includes projects that will remove, destroy, or significantly alter an historical resource when that resource represents an imminent threat to the public of bodily harm or of damage to adjacent property or when the project has received a determination by the State Office of Historic Preservation pursuant to Section 5028(b) of Public Resources Code.</w:t>
      </w:r>
    </w:p>
    <w:bookmarkEnd w:id="3"/>
    <w:p w14:paraId="37B58EE6" w14:textId="098EE974" w:rsidR="001B4269" w:rsidRDefault="0097355C" w:rsidP="001B4269">
      <w:pPr>
        <w:rPr>
          <w:rFonts w:cs="Arial"/>
        </w:rPr>
      </w:pPr>
      <w:r>
        <w:rPr>
          <w:rFonts w:cs="Arial"/>
        </w:rPr>
        <w:t xml:space="preserve"> </w:t>
      </w:r>
    </w:p>
    <w:p w14:paraId="4A9EBBE4" w14:textId="0E7F75F0" w:rsidR="00A04A7B" w:rsidRDefault="00092687" w:rsidP="001B4269">
      <w:pPr>
        <w:rPr>
          <w:rFonts w:cs="Arial"/>
        </w:rPr>
      </w:pPr>
      <w:r>
        <w:rPr>
          <w:rFonts w:cs="Arial"/>
        </w:rPr>
        <w:t>In these areas, t</w:t>
      </w:r>
      <w:r w:rsidR="00A04A7B">
        <w:rPr>
          <w:rFonts w:cs="Arial"/>
        </w:rPr>
        <w:t>he emergency has occurred, salvage logging of the emergency has occurred, and CFIP is coming in on the back end of the entire process to rehabilitate and reforest the lands. The emergency notice under 14 CCR §1052 already utilize</w:t>
      </w:r>
      <w:r w:rsidR="00063085">
        <w:rPr>
          <w:rFonts w:cs="Arial"/>
        </w:rPr>
        <w:t>s</w:t>
      </w:r>
      <w:r w:rsidR="00A04A7B">
        <w:rPr>
          <w:rFonts w:cs="Arial"/>
        </w:rPr>
        <w:t xml:space="preserve"> the definitions discussed immediately above</w:t>
      </w:r>
      <w:r w:rsidR="00063085">
        <w:rPr>
          <w:rFonts w:cs="Arial"/>
        </w:rPr>
        <w:t xml:space="preserve"> and</w:t>
      </w:r>
      <w:r w:rsidR="00A04A7B">
        <w:rPr>
          <w:rFonts w:cs="Arial"/>
        </w:rPr>
        <w:t xml:space="preserve"> as </w:t>
      </w:r>
      <w:r w:rsidR="00063085">
        <w:rPr>
          <w:rFonts w:cs="Arial"/>
        </w:rPr>
        <w:t xml:space="preserve">additionally </w:t>
      </w:r>
      <w:r w:rsidR="00A04A7B">
        <w:rPr>
          <w:rFonts w:cs="Arial"/>
        </w:rPr>
        <w:t xml:space="preserve">emphasized through statute </w:t>
      </w:r>
      <w:r w:rsidR="00063085">
        <w:rPr>
          <w:rFonts w:cs="Arial"/>
        </w:rPr>
        <w:t xml:space="preserve">specific to forested landscapes. </w:t>
      </w:r>
      <w:r w:rsidR="00A04A7B">
        <w:rPr>
          <w:rFonts w:cs="Arial"/>
        </w:rPr>
        <w:t>(PRC §4592)</w:t>
      </w:r>
    </w:p>
    <w:p w14:paraId="6401AE45" w14:textId="2F87669B" w:rsidR="00063085" w:rsidRDefault="00063085" w:rsidP="001B4269">
      <w:pPr>
        <w:rPr>
          <w:rFonts w:cs="Arial"/>
        </w:rPr>
      </w:pPr>
    </w:p>
    <w:p w14:paraId="7A240060" w14:textId="70756EC3" w:rsidR="00992957" w:rsidRDefault="00992957" w:rsidP="00992957">
      <w:pPr>
        <w:rPr>
          <w:rFonts w:cs="Arial"/>
        </w:rPr>
      </w:pPr>
      <w:r w:rsidRPr="00092687">
        <w:rPr>
          <w:rFonts w:cs="Arial"/>
          <w:b/>
          <w:bCs/>
        </w:rPr>
        <w:t xml:space="preserve">Tier </w:t>
      </w:r>
      <w:r>
        <w:rPr>
          <w:rFonts w:cs="Arial"/>
          <w:b/>
          <w:bCs/>
        </w:rPr>
        <w:t>2</w:t>
      </w:r>
      <w:r w:rsidRPr="00092687">
        <w:rPr>
          <w:rFonts w:cs="Arial"/>
          <w:b/>
          <w:bCs/>
        </w:rPr>
        <w:t xml:space="preserve"> -</w:t>
      </w:r>
      <w:r>
        <w:rPr>
          <w:rFonts w:cs="Arial"/>
        </w:rPr>
        <w:t xml:space="preserve"> For CFIP projects meeting the conditions of the Emergency Management Plan, listed above, and are </w:t>
      </w:r>
      <w:r w:rsidRPr="00992957">
        <w:rPr>
          <w:rFonts w:cs="Arial"/>
          <w:b/>
          <w:bCs/>
          <w:u w:val="single"/>
        </w:rPr>
        <w:t>not</w:t>
      </w:r>
      <w:r>
        <w:rPr>
          <w:rFonts w:cs="Arial"/>
        </w:rPr>
        <w:t xml:space="preserve"> located within a </w:t>
      </w:r>
      <w:r w:rsidRPr="00092687">
        <w:t>disaster stricken area in which a state of emergency has been proclaimed by the Governor</w:t>
      </w:r>
      <w:r>
        <w:rPr>
          <w:rFonts w:cs="Arial"/>
        </w:rPr>
        <w:t xml:space="preserve"> by the Governor and therefore meets CEQA statute for emergency: </w:t>
      </w:r>
    </w:p>
    <w:p w14:paraId="7F09EAE7" w14:textId="77777777" w:rsidR="00992957" w:rsidRDefault="00992957" w:rsidP="001B4269">
      <w:pPr>
        <w:rPr>
          <w:rFonts w:cs="Arial"/>
        </w:rPr>
      </w:pPr>
    </w:p>
    <w:p w14:paraId="33EF307D" w14:textId="29818D9D" w:rsidR="00992957" w:rsidRDefault="00992957" w:rsidP="001B4269">
      <w:pPr>
        <w:rPr>
          <w:rFonts w:cs="Arial"/>
        </w:rPr>
      </w:pPr>
      <w:r>
        <w:rPr>
          <w:rFonts w:cs="Arial"/>
        </w:rPr>
        <w:t xml:space="preserve">Projects located in such areas will follow the </w:t>
      </w:r>
      <w:r w:rsidR="000B7EBF">
        <w:rPr>
          <w:rFonts w:cs="Arial"/>
        </w:rPr>
        <w:t xml:space="preserve">Emergency Forest Management Plan process, 1 through 6 above, and also the </w:t>
      </w:r>
      <w:r>
        <w:rPr>
          <w:rFonts w:cs="Arial"/>
        </w:rPr>
        <w:t xml:space="preserve">protocols for CEQA review, including biological scoping and checklist review by the FAS prior to ground operations occurring. </w:t>
      </w:r>
    </w:p>
    <w:p w14:paraId="1D77D62C" w14:textId="77777777" w:rsidR="00992957" w:rsidRDefault="00992957" w:rsidP="001B4269">
      <w:pPr>
        <w:rPr>
          <w:rFonts w:cs="Arial"/>
        </w:rPr>
      </w:pPr>
    </w:p>
    <w:p w14:paraId="37BB068E" w14:textId="187969D3" w:rsidR="00992957" w:rsidRDefault="00063085" w:rsidP="001B4269">
      <w:pPr>
        <w:rPr>
          <w:rFonts w:cs="Arial"/>
        </w:rPr>
      </w:pPr>
      <w:r>
        <w:rPr>
          <w:rFonts w:cs="Arial"/>
        </w:rPr>
        <w:t xml:space="preserve">The Wildfire Resilience Program </w:t>
      </w:r>
      <w:r w:rsidR="00992957">
        <w:rPr>
          <w:rFonts w:cs="Arial"/>
        </w:rPr>
        <w:t>has proposed the following two-tiered system of an Emergency Management Plan to follow all applicable laws concerning CEQA, the PRC and CCR’s for CFIP</w:t>
      </w:r>
      <w:r w:rsidR="000B7EBF">
        <w:rPr>
          <w:rFonts w:cs="Arial"/>
        </w:rPr>
        <w:t xml:space="preserve">, while providing opportunities for landowners who have suffered catastrophic loss of their forestlands. This will allow them to start the rehabilitation process in an expedited manner, while protecting public trust resources, continuing to have RPF involvement in the process, and meeting the state’s goals for forest health and carbon sequestration through rapid reforestation. </w:t>
      </w:r>
    </w:p>
    <w:p w14:paraId="5C21791F" w14:textId="77777777" w:rsidR="000B7EBF" w:rsidRDefault="000B7EBF" w:rsidP="000B7EBF">
      <w:pPr>
        <w:rPr>
          <w:rFonts w:cs="Arial"/>
        </w:rPr>
      </w:pPr>
    </w:p>
    <w:p w14:paraId="366B046A" w14:textId="1F8EC625" w:rsidR="000B7EBF" w:rsidRPr="00507D0D" w:rsidRDefault="000B7EBF" w:rsidP="000B7EBF">
      <w:pPr>
        <w:rPr>
          <w:rFonts w:cs="Arial"/>
          <w:b/>
          <w:bCs/>
          <w:u w:val="single"/>
        </w:rPr>
      </w:pPr>
      <w:r>
        <w:rPr>
          <w:rFonts w:cs="Arial"/>
          <w:b/>
          <w:bCs/>
          <w:u w:val="single"/>
        </w:rPr>
        <w:t>CFIP Cap Rate Adjustment</w:t>
      </w:r>
      <w:r w:rsidRPr="00507D0D">
        <w:rPr>
          <w:rFonts w:cs="Arial"/>
          <w:b/>
          <w:bCs/>
          <w:u w:val="single"/>
        </w:rPr>
        <w:t>:</w:t>
      </w:r>
    </w:p>
    <w:p w14:paraId="42951D8A" w14:textId="77777777" w:rsidR="000B7EBF" w:rsidRPr="00507D0D" w:rsidRDefault="000B7EBF" w:rsidP="000B7EBF">
      <w:pPr>
        <w:rPr>
          <w:rFonts w:cs="Arial"/>
        </w:rPr>
      </w:pPr>
    </w:p>
    <w:p w14:paraId="2C05DF2F" w14:textId="7762D20F" w:rsidR="00224AA4" w:rsidRDefault="00224AA4" w:rsidP="00AE1610">
      <w:pPr>
        <w:tabs>
          <w:tab w:val="left" w:pos="-720"/>
          <w:tab w:val="left" w:pos="1320"/>
        </w:tabs>
        <w:suppressAutoHyphens/>
        <w:spacing w:line="240" w:lineRule="exact"/>
        <w:rPr>
          <w:spacing w:val="-3"/>
          <w:szCs w:val="24"/>
        </w:rPr>
      </w:pPr>
      <w:r>
        <w:rPr>
          <w:spacing w:val="-3"/>
          <w:szCs w:val="24"/>
        </w:rPr>
        <w:t>Inflationary pressures due to various recent pandemic and international events, plus supply pressure for acquiring operators and professionals due to competition from a variety of sources, such as powerline clearing</w:t>
      </w:r>
      <w:r w:rsidR="00E81783">
        <w:rPr>
          <w:spacing w:val="-3"/>
          <w:szCs w:val="24"/>
        </w:rPr>
        <w:t xml:space="preserve"> for fire prevention and maintenance</w:t>
      </w:r>
      <w:r>
        <w:rPr>
          <w:spacing w:val="-3"/>
          <w:szCs w:val="24"/>
        </w:rPr>
        <w:t>, emergency clean-up operations, timber salvage and normal timber harvesting, have prompted the Wildfire Resilience Program to evaluate the need for a rate adjustment to CFIP Cap Rates</w:t>
      </w:r>
      <w:r w:rsidR="00E81783">
        <w:rPr>
          <w:spacing w:val="-3"/>
          <w:szCs w:val="24"/>
        </w:rPr>
        <w:t xml:space="preserve">, as the Department has not changed rates since July 1, 2019.  </w:t>
      </w:r>
    </w:p>
    <w:p w14:paraId="299E0EEB" w14:textId="77777777" w:rsidR="00224AA4" w:rsidRDefault="00224AA4" w:rsidP="00AE1610">
      <w:pPr>
        <w:tabs>
          <w:tab w:val="left" w:pos="-720"/>
          <w:tab w:val="left" w:pos="1320"/>
        </w:tabs>
        <w:suppressAutoHyphens/>
        <w:spacing w:line="240" w:lineRule="exact"/>
        <w:rPr>
          <w:spacing w:val="-3"/>
          <w:szCs w:val="24"/>
        </w:rPr>
      </w:pPr>
    </w:p>
    <w:p w14:paraId="298FC766" w14:textId="784FD4A7" w:rsidR="00AE1610" w:rsidRDefault="00AE1610" w:rsidP="00AE1610">
      <w:pPr>
        <w:tabs>
          <w:tab w:val="left" w:pos="-720"/>
          <w:tab w:val="left" w:pos="1320"/>
        </w:tabs>
        <w:suppressAutoHyphens/>
        <w:spacing w:line="240" w:lineRule="exact"/>
        <w:rPr>
          <w:spacing w:val="-3"/>
          <w:szCs w:val="24"/>
        </w:rPr>
      </w:pPr>
      <w:r w:rsidRPr="00B53D51">
        <w:rPr>
          <w:spacing w:val="-3"/>
          <w:szCs w:val="24"/>
        </w:rPr>
        <w:t>Cost-share</w:t>
      </w:r>
      <w:r>
        <w:rPr>
          <w:spacing w:val="-3"/>
          <w:szCs w:val="24"/>
        </w:rPr>
        <w:t xml:space="preserve"> cap rates are established for p</w:t>
      </w:r>
      <w:r w:rsidRPr="00B53D51">
        <w:rPr>
          <w:spacing w:val="-3"/>
          <w:szCs w:val="24"/>
        </w:rPr>
        <w:t>rogram consistency as well as to encourage landowners to develop cost-effective projects.  Several practices have multiple allowable rates depending on site conditions</w:t>
      </w:r>
      <w:r>
        <w:rPr>
          <w:spacing w:val="-3"/>
          <w:szCs w:val="24"/>
        </w:rPr>
        <w:t>.  CFIP practices include preparation of a forest management plan, Registered Professional Forester (RPF) supervision, precommercial thinning, release, site preparation, tree planting, tree protection, pruning, follow up slash treatment, and land conservation projects.</w:t>
      </w:r>
    </w:p>
    <w:p w14:paraId="5F8A4ED0" w14:textId="57FE7686" w:rsidR="00AE1610" w:rsidRDefault="00AE1610" w:rsidP="00AE1610">
      <w:pPr>
        <w:tabs>
          <w:tab w:val="left" w:pos="-720"/>
          <w:tab w:val="left" w:pos="1320"/>
        </w:tabs>
        <w:suppressAutoHyphens/>
        <w:spacing w:line="240" w:lineRule="exact"/>
        <w:rPr>
          <w:spacing w:val="-3"/>
          <w:szCs w:val="24"/>
        </w:rPr>
      </w:pPr>
    </w:p>
    <w:p w14:paraId="7593EA5C" w14:textId="77777777" w:rsidR="00AE1610" w:rsidRDefault="00AE1610" w:rsidP="00224AA4">
      <w:pPr>
        <w:tabs>
          <w:tab w:val="left" w:pos="-720"/>
          <w:tab w:val="left" w:pos="1320"/>
        </w:tabs>
        <w:suppressAutoHyphens/>
        <w:spacing w:line="240" w:lineRule="exact"/>
        <w:rPr>
          <w:spacing w:val="-3"/>
          <w:szCs w:val="24"/>
        </w:rPr>
      </w:pPr>
      <w:r>
        <w:rPr>
          <w:spacing w:val="-3"/>
          <w:szCs w:val="24"/>
        </w:rPr>
        <w:t xml:space="preserve">The California Department of Industrial Relations, Office of the Director-Research Unit, updates the Consumer Price Index (CPI) for California every even-numbered month and calculates annual averages.  The CPI for All Urban Consumers is a recognized index for measuring price changes.  The following CPI was recorded for 2019, 2020, and 2021, at 3.0, 1.7, and 4.2, respectively.  Therefore, the CFIP cost-share rates were increased by 8.9% to account for increases in prices. </w:t>
      </w:r>
    </w:p>
    <w:p w14:paraId="5815E146" w14:textId="43720C33" w:rsidR="00AE1610" w:rsidRDefault="00AE1610" w:rsidP="00224AA4">
      <w:pPr>
        <w:tabs>
          <w:tab w:val="left" w:pos="-720"/>
          <w:tab w:val="left" w:pos="1320"/>
        </w:tabs>
        <w:suppressAutoHyphens/>
        <w:spacing w:line="240" w:lineRule="exact"/>
        <w:rPr>
          <w:spacing w:val="-3"/>
          <w:szCs w:val="24"/>
        </w:rPr>
      </w:pPr>
    </w:p>
    <w:p w14:paraId="279AD806" w14:textId="77777777" w:rsidR="00224AA4" w:rsidRDefault="00224AA4" w:rsidP="00224AA4">
      <w:pPr>
        <w:tabs>
          <w:tab w:val="left" w:pos="-720"/>
          <w:tab w:val="left" w:pos="1320"/>
        </w:tabs>
        <w:suppressAutoHyphens/>
        <w:spacing w:line="240" w:lineRule="exact"/>
        <w:rPr>
          <w:spacing w:val="-3"/>
          <w:szCs w:val="24"/>
        </w:rPr>
      </w:pPr>
      <w:r>
        <w:rPr>
          <w:spacing w:val="-3"/>
          <w:szCs w:val="24"/>
        </w:rPr>
        <w:lastRenderedPageBreak/>
        <w:t xml:space="preserve">CAL FIRE also compared CFIP rates against the federal Environmental Quality Incentives Program (EQIP) administered by the Natural Resources Conservation Service (NRCS).  Many of the EQIP treatment practices are similar to CFIP practices.  The attached table shows that each program has similar rates with one or the other being higher in most cases.  For some of the practices, a direct comparison was not available, and therefore there are some discrepancies in prices.    </w:t>
      </w:r>
    </w:p>
    <w:p w14:paraId="7A5E33F8" w14:textId="77777777" w:rsidR="00224AA4" w:rsidRDefault="00224AA4" w:rsidP="00224AA4">
      <w:pPr>
        <w:tabs>
          <w:tab w:val="left" w:pos="-720"/>
          <w:tab w:val="left" w:pos="1320"/>
        </w:tabs>
        <w:suppressAutoHyphens/>
        <w:spacing w:line="240" w:lineRule="exact"/>
        <w:rPr>
          <w:spacing w:val="-3"/>
          <w:szCs w:val="24"/>
        </w:rPr>
      </w:pPr>
    </w:p>
    <w:p w14:paraId="6968320E" w14:textId="77777777" w:rsidR="00BA0FB9" w:rsidRDefault="00BA0FB9" w:rsidP="00C86C0F">
      <w:pPr>
        <w:spacing w:line="240" w:lineRule="auto"/>
        <w:rPr>
          <w:spacing w:val="-3"/>
          <w:szCs w:val="24"/>
        </w:rPr>
      </w:pPr>
      <w:r w:rsidRPr="00834E3E">
        <w:rPr>
          <w:rFonts w:cs="Arial"/>
          <w:color w:val="000000"/>
          <w:sz w:val="22"/>
          <w:szCs w:val="22"/>
        </w:rPr>
        <w:t xml:space="preserve">Table 1- Comparison of CAL FIRE CFIP </w:t>
      </w:r>
      <w:r>
        <w:rPr>
          <w:rFonts w:cs="Arial"/>
          <w:color w:val="000000"/>
          <w:sz w:val="22"/>
          <w:szCs w:val="22"/>
        </w:rPr>
        <w:t xml:space="preserve">Proposed Cap Rates </w:t>
      </w:r>
      <w:r w:rsidRPr="00834E3E">
        <w:rPr>
          <w:rFonts w:cs="Arial"/>
          <w:color w:val="000000"/>
          <w:sz w:val="22"/>
          <w:szCs w:val="22"/>
        </w:rPr>
        <w:t xml:space="preserve">and RCS EQIP </w:t>
      </w:r>
      <w:r>
        <w:rPr>
          <w:rFonts w:cs="Arial"/>
          <w:color w:val="000000"/>
          <w:sz w:val="22"/>
          <w:szCs w:val="22"/>
        </w:rPr>
        <w:t>Rates</w:t>
      </w:r>
    </w:p>
    <w:tbl>
      <w:tblPr>
        <w:tblW w:w="9450" w:type="dxa"/>
        <w:tblInd w:w="-90" w:type="dxa"/>
        <w:tblLook w:val="04A0" w:firstRow="1" w:lastRow="0" w:firstColumn="1" w:lastColumn="0" w:noHBand="0" w:noVBand="1"/>
      </w:tblPr>
      <w:tblGrid>
        <w:gridCol w:w="3060"/>
        <w:gridCol w:w="1800"/>
        <w:gridCol w:w="1890"/>
        <w:gridCol w:w="1170"/>
        <w:gridCol w:w="1530"/>
      </w:tblGrid>
      <w:tr w:rsidR="00BA0FB9" w:rsidRPr="00834E3E" w14:paraId="2E22F45D" w14:textId="77777777" w:rsidTr="00215509">
        <w:trPr>
          <w:trHeight w:val="285"/>
        </w:trPr>
        <w:tc>
          <w:tcPr>
            <w:tcW w:w="3060" w:type="dxa"/>
            <w:tcBorders>
              <w:top w:val="nil"/>
              <w:left w:val="nil"/>
              <w:bottom w:val="nil"/>
              <w:right w:val="nil"/>
            </w:tcBorders>
            <w:shd w:val="clear" w:color="auto" w:fill="auto"/>
            <w:noWrap/>
            <w:vAlign w:val="bottom"/>
          </w:tcPr>
          <w:p w14:paraId="5D552132" w14:textId="77777777" w:rsidR="00BA0FB9" w:rsidRPr="00834E3E" w:rsidRDefault="00BA0FB9" w:rsidP="00215509">
            <w:pPr>
              <w:spacing w:line="240" w:lineRule="auto"/>
              <w:rPr>
                <w:rFonts w:ascii="Times New Roman" w:hAnsi="Times New Roman"/>
                <w:sz w:val="20"/>
              </w:rPr>
            </w:pPr>
          </w:p>
        </w:tc>
        <w:tc>
          <w:tcPr>
            <w:tcW w:w="1800" w:type="dxa"/>
            <w:tcBorders>
              <w:top w:val="nil"/>
              <w:left w:val="nil"/>
              <w:bottom w:val="nil"/>
              <w:right w:val="nil"/>
            </w:tcBorders>
            <w:shd w:val="clear" w:color="auto" w:fill="auto"/>
            <w:noWrap/>
            <w:vAlign w:val="bottom"/>
          </w:tcPr>
          <w:p w14:paraId="25E77167" w14:textId="77777777" w:rsidR="00BA0FB9" w:rsidRPr="00834E3E" w:rsidRDefault="00BA0FB9" w:rsidP="00215509">
            <w:pPr>
              <w:spacing w:line="240" w:lineRule="auto"/>
              <w:rPr>
                <w:rFonts w:ascii="Times New Roman" w:hAnsi="Times New Roman"/>
                <w:sz w:val="20"/>
              </w:rPr>
            </w:pPr>
          </w:p>
        </w:tc>
        <w:tc>
          <w:tcPr>
            <w:tcW w:w="1890" w:type="dxa"/>
            <w:tcBorders>
              <w:top w:val="nil"/>
              <w:left w:val="nil"/>
              <w:bottom w:val="nil"/>
              <w:right w:val="nil"/>
            </w:tcBorders>
            <w:shd w:val="clear" w:color="auto" w:fill="auto"/>
            <w:noWrap/>
            <w:vAlign w:val="bottom"/>
          </w:tcPr>
          <w:p w14:paraId="3AF64805" w14:textId="77777777" w:rsidR="00BA0FB9" w:rsidRPr="00834E3E" w:rsidRDefault="00BA0FB9" w:rsidP="00215509">
            <w:pPr>
              <w:spacing w:line="240" w:lineRule="auto"/>
              <w:rPr>
                <w:rFonts w:ascii="Times New Roman" w:hAnsi="Times New Roman"/>
                <w:sz w:val="20"/>
              </w:rPr>
            </w:pPr>
          </w:p>
        </w:tc>
        <w:tc>
          <w:tcPr>
            <w:tcW w:w="1170" w:type="dxa"/>
            <w:tcBorders>
              <w:top w:val="nil"/>
              <w:left w:val="nil"/>
              <w:bottom w:val="nil"/>
              <w:right w:val="nil"/>
            </w:tcBorders>
            <w:shd w:val="clear" w:color="auto" w:fill="auto"/>
            <w:noWrap/>
            <w:vAlign w:val="bottom"/>
          </w:tcPr>
          <w:p w14:paraId="1535CC39" w14:textId="77777777" w:rsidR="00BA0FB9" w:rsidRPr="00834E3E" w:rsidRDefault="00BA0FB9" w:rsidP="00215509">
            <w:pPr>
              <w:spacing w:line="240" w:lineRule="auto"/>
              <w:rPr>
                <w:rFonts w:ascii="Times New Roman" w:hAnsi="Times New Roman"/>
                <w:sz w:val="20"/>
              </w:rPr>
            </w:pPr>
          </w:p>
        </w:tc>
        <w:tc>
          <w:tcPr>
            <w:tcW w:w="1530" w:type="dxa"/>
            <w:tcBorders>
              <w:top w:val="nil"/>
              <w:left w:val="nil"/>
              <w:bottom w:val="nil"/>
              <w:right w:val="nil"/>
            </w:tcBorders>
            <w:shd w:val="clear" w:color="auto" w:fill="auto"/>
            <w:noWrap/>
            <w:vAlign w:val="bottom"/>
          </w:tcPr>
          <w:p w14:paraId="4BE86978" w14:textId="77777777" w:rsidR="00BA0FB9" w:rsidRPr="00834E3E" w:rsidRDefault="00BA0FB9" w:rsidP="00215509">
            <w:pPr>
              <w:spacing w:line="240" w:lineRule="auto"/>
              <w:rPr>
                <w:rFonts w:ascii="Times New Roman" w:hAnsi="Times New Roman"/>
                <w:sz w:val="20"/>
              </w:rPr>
            </w:pPr>
          </w:p>
        </w:tc>
      </w:tr>
      <w:tr w:rsidR="00BA0FB9" w:rsidRPr="00834E3E" w14:paraId="6B123F2C" w14:textId="77777777" w:rsidTr="00215509">
        <w:trPr>
          <w:trHeight w:val="810"/>
        </w:trPr>
        <w:tc>
          <w:tcPr>
            <w:tcW w:w="30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05707A"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Treatment</w:t>
            </w:r>
          </w:p>
        </w:tc>
        <w:tc>
          <w:tcPr>
            <w:tcW w:w="1800" w:type="dxa"/>
            <w:tcBorders>
              <w:top w:val="single" w:sz="4" w:space="0" w:color="auto"/>
              <w:left w:val="nil"/>
              <w:bottom w:val="single" w:sz="4" w:space="0" w:color="auto"/>
              <w:right w:val="single" w:sz="4" w:space="0" w:color="auto"/>
            </w:tcBorders>
            <w:shd w:val="clear" w:color="auto" w:fill="auto"/>
            <w:vAlign w:val="bottom"/>
            <w:hideMark/>
          </w:tcPr>
          <w:p w14:paraId="01B89FE3" w14:textId="77777777" w:rsidR="00BA0FB9" w:rsidRDefault="00BA0FB9" w:rsidP="00215509">
            <w:pPr>
              <w:spacing w:line="240" w:lineRule="auto"/>
              <w:rPr>
                <w:rFonts w:cs="Arial"/>
                <w:color w:val="000000"/>
                <w:sz w:val="22"/>
                <w:szCs w:val="22"/>
              </w:rPr>
            </w:pPr>
          </w:p>
          <w:p w14:paraId="22DA7759" w14:textId="77777777" w:rsidR="00BA0FB9" w:rsidRPr="00834E3E" w:rsidRDefault="00BA0FB9" w:rsidP="00215509">
            <w:pPr>
              <w:spacing w:line="240" w:lineRule="auto"/>
              <w:rPr>
                <w:rFonts w:cs="Arial"/>
                <w:color w:val="000000"/>
                <w:sz w:val="22"/>
                <w:szCs w:val="22"/>
              </w:rPr>
            </w:pPr>
            <w:r>
              <w:rPr>
                <w:rFonts w:cs="Arial"/>
                <w:color w:val="000000"/>
                <w:sz w:val="22"/>
                <w:szCs w:val="22"/>
              </w:rPr>
              <w:t xml:space="preserve">Proposed </w:t>
            </w:r>
            <w:r w:rsidRPr="00834E3E">
              <w:rPr>
                <w:rFonts w:cs="Arial"/>
                <w:color w:val="000000"/>
                <w:sz w:val="22"/>
                <w:szCs w:val="22"/>
              </w:rPr>
              <w:t>CAL FIRE CFIP $/ac</w:t>
            </w:r>
          </w:p>
        </w:tc>
        <w:tc>
          <w:tcPr>
            <w:tcW w:w="1890" w:type="dxa"/>
            <w:tcBorders>
              <w:top w:val="single" w:sz="4" w:space="0" w:color="auto"/>
              <w:left w:val="nil"/>
              <w:bottom w:val="single" w:sz="4" w:space="0" w:color="auto"/>
              <w:right w:val="single" w:sz="4" w:space="0" w:color="auto"/>
            </w:tcBorders>
            <w:shd w:val="clear" w:color="auto" w:fill="auto"/>
            <w:vAlign w:val="bottom"/>
            <w:hideMark/>
          </w:tcPr>
          <w:p w14:paraId="3221476F"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Comparable NRCS Code</w:t>
            </w:r>
          </w:p>
        </w:tc>
        <w:tc>
          <w:tcPr>
            <w:tcW w:w="1170" w:type="dxa"/>
            <w:tcBorders>
              <w:top w:val="single" w:sz="4" w:space="0" w:color="auto"/>
              <w:left w:val="nil"/>
              <w:bottom w:val="single" w:sz="4" w:space="0" w:color="auto"/>
              <w:right w:val="single" w:sz="4" w:space="0" w:color="auto"/>
            </w:tcBorders>
            <w:shd w:val="clear" w:color="auto" w:fill="auto"/>
            <w:vAlign w:val="bottom"/>
            <w:hideMark/>
          </w:tcPr>
          <w:p w14:paraId="41BE3D59"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NRCS EQIP $/ac</w:t>
            </w:r>
          </w:p>
        </w:tc>
        <w:tc>
          <w:tcPr>
            <w:tcW w:w="1530" w:type="dxa"/>
            <w:tcBorders>
              <w:top w:val="single" w:sz="4" w:space="0" w:color="auto"/>
              <w:left w:val="nil"/>
              <w:bottom w:val="single" w:sz="4" w:space="0" w:color="auto"/>
              <w:right w:val="single" w:sz="4" w:space="0" w:color="auto"/>
            </w:tcBorders>
            <w:shd w:val="clear" w:color="auto" w:fill="auto"/>
            <w:noWrap/>
            <w:vAlign w:val="bottom"/>
            <w:hideMark/>
          </w:tcPr>
          <w:p w14:paraId="3A4458DF"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Difference</w:t>
            </w:r>
            <w:r>
              <w:rPr>
                <w:rFonts w:cs="Arial"/>
                <w:color w:val="000000"/>
                <w:sz w:val="22"/>
                <w:szCs w:val="22"/>
              </w:rPr>
              <w:t xml:space="preserve"> $/ac</w:t>
            </w:r>
          </w:p>
        </w:tc>
      </w:tr>
      <w:tr w:rsidR="00BA0FB9" w:rsidRPr="00834E3E" w14:paraId="35751590"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60E64DC"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Site Prep Light</w:t>
            </w:r>
          </w:p>
        </w:tc>
        <w:tc>
          <w:tcPr>
            <w:tcW w:w="1800" w:type="dxa"/>
            <w:tcBorders>
              <w:top w:val="nil"/>
              <w:left w:val="nil"/>
              <w:bottom w:val="single" w:sz="4" w:space="0" w:color="auto"/>
              <w:right w:val="single" w:sz="4" w:space="0" w:color="auto"/>
            </w:tcBorders>
            <w:shd w:val="clear" w:color="auto" w:fill="auto"/>
            <w:noWrap/>
            <w:vAlign w:val="bottom"/>
            <w:hideMark/>
          </w:tcPr>
          <w:p w14:paraId="614018B9"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381</w:t>
            </w:r>
          </w:p>
        </w:tc>
        <w:tc>
          <w:tcPr>
            <w:tcW w:w="1890" w:type="dxa"/>
            <w:tcBorders>
              <w:top w:val="nil"/>
              <w:left w:val="nil"/>
              <w:bottom w:val="single" w:sz="4" w:space="0" w:color="auto"/>
              <w:right w:val="single" w:sz="4" w:space="0" w:color="auto"/>
            </w:tcBorders>
            <w:shd w:val="clear" w:color="auto" w:fill="auto"/>
            <w:noWrap/>
            <w:vAlign w:val="bottom"/>
            <w:hideMark/>
          </w:tcPr>
          <w:p w14:paraId="7301520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490 #7</w:t>
            </w:r>
          </w:p>
        </w:tc>
        <w:tc>
          <w:tcPr>
            <w:tcW w:w="1170" w:type="dxa"/>
            <w:tcBorders>
              <w:top w:val="nil"/>
              <w:left w:val="nil"/>
              <w:bottom w:val="single" w:sz="4" w:space="0" w:color="auto"/>
              <w:right w:val="single" w:sz="4" w:space="0" w:color="auto"/>
            </w:tcBorders>
            <w:shd w:val="clear" w:color="auto" w:fill="auto"/>
            <w:noWrap/>
            <w:vAlign w:val="bottom"/>
            <w:hideMark/>
          </w:tcPr>
          <w:p w14:paraId="14B43102"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302</w:t>
            </w:r>
          </w:p>
        </w:tc>
        <w:tc>
          <w:tcPr>
            <w:tcW w:w="1530" w:type="dxa"/>
            <w:tcBorders>
              <w:top w:val="nil"/>
              <w:left w:val="nil"/>
              <w:bottom w:val="single" w:sz="4" w:space="0" w:color="auto"/>
              <w:right w:val="single" w:sz="4" w:space="0" w:color="auto"/>
            </w:tcBorders>
            <w:shd w:val="clear" w:color="auto" w:fill="auto"/>
            <w:noWrap/>
            <w:vAlign w:val="bottom"/>
            <w:hideMark/>
          </w:tcPr>
          <w:p w14:paraId="5FC8CD3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79</w:t>
            </w:r>
          </w:p>
        </w:tc>
      </w:tr>
      <w:tr w:rsidR="00BA0FB9" w:rsidRPr="00834E3E" w14:paraId="1ABC0EAD"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7C90EB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Site Prep Moderate</w:t>
            </w:r>
          </w:p>
        </w:tc>
        <w:tc>
          <w:tcPr>
            <w:tcW w:w="1800" w:type="dxa"/>
            <w:tcBorders>
              <w:top w:val="nil"/>
              <w:left w:val="nil"/>
              <w:bottom w:val="single" w:sz="4" w:space="0" w:color="auto"/>
              <w:right w:val="single" w:sz="4" w:space="0" w:color="auto"/>
            </w:tcBorders>
            <w:shd w:val="clear" w:color="auto" w:fill="auto"/>
            <w:noWrap/>
            <w:vAlign w:val="bottom"/>
            <w:hideMark/>
          </w:tcPr>
          <w:p w14:paraId="2745DD9E"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545</w:t>
            </w:r>
          </w:p>
        </w:tc>
        <w:tc>
          <w:tcPr>
            <w:tcW w:w="1890" w:type="dxa"/>
            <w:tcBorders>
              <w:top w:val="nil"/>
              <w:left w:val="nil"/>
              <w:bottom w:val="single" w:sz="4" w:space="0" w:color="auto"/>
              <w:right w:val="single" w:sz="4" w:space="0" w:color="auto"/>
            </w:tcBorders>
            <w:shd w:val="clear" w:color="auto" w:fill="auto"/>
            <w:noWrap/>
            <w:vAlign w:val="bottom"/>
            <w:hideMark/>
          </w:tcPr>
          <w:p w14:paraId="3E53C227"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490 #3</w:t>
            </w:r>
          </w:p>
        </w:tc>
        <w:tc>
          <w:tcPr>
            <w:tcW w:w="1170" w:type="dxa"/>
            <w:tcBorders>
              <w:top w:val="nil"/>
              <w:left w:val="nil"/>
              <w:bottom w:val="single" w:sz="4" w:space="0" w:color="auto"/>
              <w:right w:val="single" w:sz="4" w:space="0" w:color="auto"/>
            </w:tcBorders>
            <w:shd w:val="clear" w:color="auto" w:fill="auto"/>
            <w:noWrap/>
            <w:vAlign w:val="bottom"/>
            <w:hideMark/>
          </w:tcPr>
          <w:p w14:paraId="2E4C1E26"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434</w:t>
            </w:r>
          </w:p>
        </w:tc>
        <w:tc>
          <w:tcPr>
            <w:tcW w:w="1530" w:type="dxa"/>
            <w:tcBorders>
              <w:top w:val="nil"/>
              <w:left w:val="nil"/>
              <w:bottom w:val="single" w:sz="4" w:space="0" w:color="auto"/>
              <w:right w:val="single" w:sz="4" w:space="0" w:color="auto"/>
            </w:tcBorders>
            <w:shd w:val="clear" w:color="auto" w:fill="auto"/>
            <w:noWrap/>
            <w:vAlign w:val="bottom"/>
            <w:hideMark/>
          </w:tcPr>
          <w:p w14:paraId="392D525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111</w:t>
            </w:r>
          </w:p>
        </w:tc>
      </w:tr>
      <w:tr w:rsidR="00BA0FB9" w:rsidRPr="00834E3E" w14:paraId="2EEA7AFA"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3B8BB221"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Site Prep Moderate</w:t>
            </w:r>
          </w:p>
        </w:tc>
        <w:tc>
          <w:tcPr>
            <w:tcW w:w="1800" w:type="dxa"/>
            <w:tcBorders>
              <w:top w:val="nil"/>
              <w:left w:val="nil"/>
              <w:bottom w:val="single" w:sz="4" w:space="0" w:color="auto"/>
              <w:right w:val="single" w:sz="4" w:space="0" w:color="auto"/>
            </w:tcBorders>
            <w:shd w:val="clear" w:color="auto" w:fill="auto"/>
            <w:noWrap/>
            <w:vAlign w:val="bottom"/>
            <w:hideMark/>
          </w:tcPr>
          <w:p w14:paraId="793D6710"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545</w:t>
            </w:r>
          </w:p>
        </w:tc>
        <w:tc>
          <w:tcPr>
            <w:tcW w:w="1890" w:type="dxa"/>
            <w:tcBorders>
              <w:top w:val="nil"/>
              <w:left w:val="nil"/>
              <w:bottom w:val="single" w:sz="4" w:space="0" w:color="auto"/>
              <w:right w:val="single" w:sz="4" w:space="0" w:color="auto"/>
            </w:tcBorders>
            <w:shd w:val="clear" w:color="auto" w:fill="auto"/>
            <w:noWrap/>
            <w:vAlign w:val="bottom"/>
            <w:hideMark/>
          </w:tcPr>
          <w:p w14:paraId="43A7D12A"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490 #1</w:t>
            </w:r>
          </w:p>
        </w:tc>
        <w:tc>
          <w:tcPr>
            <w:tcW w:w="1170" w:type="dxa"/>
            <w:tcBorders>
              <w:top w:val="nil"/>
              <w:left w:val="nil"/>
              <w:bottom w:val="single" w:sz="4" w:space="0" w:color="auto"/>
              <w:right w:val="single" w:sz="4" w:space="0" w:color="auto"/>
            </w:tcBorders>
            <w:shd w:val="clear" w:color="auto" w:fill="auto"/>
            <w:noWrap/>
            <w:vAlign w:val="bottom"/>
            <w:hideMark/>
          </w:tcPr>
          <w:p w14:paraId="181017F2"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777</w:t>
            </w:r>
          </w:p>
        </w:tc>
        <w:tc>
          <w:tcPr>
            <w:tcW w:w="1530" w:type="dxa"/>
            <w:tcBorders>
              <w:top w:val="nil"/>
              <w:left w:val="nil"/>
              <w:bottom w:val="single" w:sz="4" w:space="0" w:color="auto"/>
              <w:right w:val="single" w:sz="4" w:space="0" w:color="auto"/>
            </w:tcBorders>
            <w:shd w:val="clear" w:color="auto" w:fill="auto"/>
            <w:noWrap/>
            <w:vAlign w:val="bottom"/>
            <w:hideMark/>
          </w:tcPr>
          <w:p w14:paraId="3C7350AB" w14:textId="77777777" w:rsidR="00BA0FB9" w:rsidRPr="00834E3E" w:rsidRDefault="00BA0FB9" w:rsidP="00215509">
            <w:pPr>
              <w:spacing w:line="240" w:lineRule="auto"/>
              <w:rPr>
                <w:rFonts w:cs="Arial"/>
                <w:color w:val="000000"/>
                <w:sz w:val="22"/>
                <w:szCs w:val="22"/>
              </w:rPr>
            </w:pPr>
            <w:r w:rsidRPr="00762265">
              <w:rPr>
                <w:rFonts w:cs="Arial"/>
                <w:color w:val="FF0000"/>
                <w:sz w:val="22"/>
                <w:szCs w:val="22"/>
              </w:rPr>
              <w:t>-232</w:t>
            </w:r>
          </w:p>
        </w:tc>
      </w:tr>
      <w:tr w:rsidR="00BA0FB9" w:rsidRPr="00834E3E" w14:paraId="60B69294"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47C8DE7"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Site Prep Heavy</w:t>
            </w:r>
          </w:p>
        </w:tc>
        <w:tc>
          <w:tcPr>
            <w:tcW w:w="1800" w:type="dxa"/>
            <w:tcBorders>
              <w:top w:val="nil"/>
              <w:left w:val="nil"/>
              <w:bottom w:val="single" w:sz="4" w:space="0" w:color="auto"/>
              <w:right w:val="single" w:sz="4" w:space="0" w:color="auto"/>
            </w:tcBorders>
            <w:shd w:val="clear" w:color="auto" w:fill="auto"/>
            <w:noWrap/>
            <w:vAlign w:val="bottom"/>
            <w:hideMark/>
          </w:tcPr>
          <w:p w14:paraId="695CC2E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871</w:t>
            </w:r>
          </w:p>
        </w:tc>
        <w:tc>
          <w:tcPr>
            <w:tcW w:w="1890" w:type="dxa"/>
            <w:tcBorders>
              <w:top w:val="nil"/>
              <w:left w:val="nil"/>
              <w:bottom w:val="single" w:sz="4" w:space="0" w:color="auto"/>
              <w:right w:val="single" w:sz="4" w:space="0" w:color="auto"/>
            </w:tcBorders>
            <w:shd w:val="clear" w:color="auto" w:fill="auto"/>
            <w:noWrap/>
            <w:vAlign w:val="bottom"/>
            <w:hideMark/>
          </w:tcPr>
          <w:p w14:paraId="26AD74EE"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490 #2</w:t>
            </w:r>
          </w:p>
        </w:tc>
        <w:tc>
          <w:tcPr>
            <w:tcW w:w="1170" w:type="dxa"/>
            <w:tcBorders>
              <w:top w:val="nil"/>
              <w:left w:val="nil"/>
              <w:bottom w:val="single" w:sz="4" w:space="0" w:color="auto"/>
              <w:right w:val="single" w:sz="4" w:space="0" w:color="auto"/>
            </w:tcBorders>
            <w:shd w:val="clear" w:color="auto" w:fill="auto"/>
            <w:noWrap/>
            <w:vAlign w:val="bottom"/>
            <w:hideMark/>
          </w:tcPr>
          <w:p w14:paraId="676B889A"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967</w:t>
            </w:r>
          </w:p>
        </w:tc>
        <w:tc>
          <w:tcPr>
            <w:tcW w:w="1530" w:type="dxa"/>
            <w:tcBorders>
              <w:top w:val="nil"/>
              <w:left w:val="nil"/>
              <w:bottom w:val="single" w:sz="4" w:space="0" w:color="auto"/>
              <w:right w:val="single" w:sz="4" w:space="0" w:color="auto"/>
            </w:tcBorders>
            <w:shd w:val="clear" w:color="auto" w:fill="auto"/>
            <w:noWrap/>
            <w:vAlign w:val="bottom"/>
            <w:hideMark/>
          </w:tcPr>
          <w:p w14:paraId="23647A5A" w14:textId="77777777" w:rsidR="00BA0FB9" w:rsidRPr="00834E3E" w:rsidRDefault="00BA0FB9" w:rsidP="00215509">
            <w:pPr>
              <w:spacing w:line="240" w:lineRule="auto"/>
              <w:rPr>
                <w:rFonts w:cs="Arial"/>
                <w:color w:val="000000"/>
                <w:sz w:val="22"/>
                <w:szCs w:val="22"/>
              </w:rPr>
            </w:pPr>
            <w:r w:rsidRPr="00762265">
              <w:rPr>
                <w:rFonts w:cs="Arial"/>
                <w:color w:val="FF0000"/>
                <w:sz w:val="22"/>
                <w:szCs w:val="22"/>
              </w:rPr>
              <w:t>-96</w:t>
            </w:r>
          </w:p>
        </w:tc>
      </w:tr>
      <w:tr w:rsidR="00BA0FB9" w:rsidRPr="00834E3E" w14:paraId="630BA01C"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7222755"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Site Prep Heavy</w:t>
            </w:r>
          </w:p>
        </w:tc>
        <w:tc>
          <w:tcPr>
            <w:tcW w:w="1800" w:type="dxa"/>
            <w:tcBorders>
              <w:top w:val="nil"/>
              <w:left w:val="nil"/>
              <w:bottom w:val="single" w:sz="4" w:space="0" w:color="auto"/>
              <w:right w:val="single" w:sz="4" w:space="0" w:color="auto"/>
            </w:tcBorders>
            <w:shd w:val="clear" w:color="auto" w:fill="auto"/>
            <w:noWrap/>
            <w:vAlign w:val="bottom"/>
            <w:hideMark/>
          </w:tcPr>
          <w:p w14:paraId="544BD37A"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871</w:t>
            </w:r>
          </w:p>
        </w:tc>
        <w:tc>
          <w:tcPr>
            <w:tcW w:w="1890" w:type="dxa"/>
            <w:tcBorders>
              <w:top w:val="nil"/>
              <w:left w:val="nil"/>
              <w:bottom w:val="single" w:sz="4" w:space="0" w:color="auto"/>
              <w:right w:val="single" w:sz="4" w:space="0" w:color="auto"/>
            </w:tcBorders>
            <w:shd w:val="clear" w:color="auto" w:fill="auto"/>
            <w:noWrap/>
            <w:vAlign w:val="bottom"/>
            <w:hideMark/>
          </w:tcPr>
          <w:p w14:paraId="7BFCC2DD"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490 #8</w:t>
            </w:r>
          </w:p>
        </w:tc>
        <w:tc>
          <w:tcPr>
            <w:tcW w:w="1170" w:type="dxa"/>
            <w:tcBorders>
              <w:top w:val="nil"/>
              <w:left w:val="nil"/>
              <w:bottom w:val="single" w:sz="4" w:space="0" w:color="auto"/>
              <w:right w:val="single" w:sz="4" w:space="0" w:color="auto"/>
            </w:tcBorders>
            <w:shd w:val="clear" w:color="auto" w:fill="auto"/>
            <w:noWrap/>
            <w:vAlign w:val="bottom"/>
            <w:hideMark/>
          </w:tcPr>
          <w:p w14:paraId="2ACC866E"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1061</w:t>
            </w:r>
          </w:p>
        </w:tc>
        <w:tc>
          <w:tcPr>
            <w:tcW w:w="1530" w:type="dxa"/>
            <w:tcBorders>
              <w:top w:val="nil"/>
              <w:left w:val="nil"/>
              <w:bottom w:val="single" w:sz="4" w:space="0" w:color="auto"/>
              <w:right w:val="single" w:sz="4" w:space="0" w:color="auto"/>
            </w:tcBorders>
            <w:shd w:val="clear" w:color="auto" w:fill="auto"/>
            <w:noWrap/>
            <w:vAlign w:val="bottom"/>
            <w:hideMark/>
          </w:tcPr>
          <w:p w14:paraId="034E0467" w14:textId="77777777" w:rsidR="00BA0FB9" w:rsidRPr="00834E3E" w:rsidRDefault="00BA0FB9" w:rsidP="00215509">
            <w:pPr>
              <w:spacing w:line="240" w:lineRule="auto"/>
              <w:rPr>
                <w:rFonts w:cs="Arial"/>
                <w:color w:val="000000"/>
                <w:sz w:val="22"/>
                <w:szCs w:val="22"/>
              </w:rPr>
            </w:pPr>
            <w:r w:rsidRPr="00762265">
              <w:rPr>
                <w:rFonts w:cs="Arial"/>
                <w:color w:val="FF0000"/>
                <w:sz w:val="22"/>
                <w:szCs w:val="22"/>
              </w:rPr>
              <w:t>-190</w:t>
            </w:r>
          </w:p>
        </w:tc>
      </w:tr>
      <w:tr w:rsidR="00BA0FB9" w:rsidRPr="00834E3E" w14:paraId="39626DE4"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00A30F5"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Planting Light</w:t>
            </w:r>
          </w:p>
        </w:tc>
        <w:tc>
          <w:tcPr>
            <w:tcW w:w="1800" w:type="dxa"/>
            <w:tcBorders>
              <w:top w:val="nil"/>
              <w:left w:val="nil"/>
              <w:bottom w:val="single" w:sz="4" w:space="0" w:color="auto"/>
              <w:right w:val="single" w:sz="4" w:space="0" w:color="auto"/>
            </w:tcBorders>
            <w:shd w:val="clear" w:color="auto" w:fill="auto"/>
            <w:noWrap/>
            <w:vAlign w:val="bottom"/>
            <w:hideMark/>
          </w:tcPr>
          <w:p w14:paraId="32050F3B"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245</w:t>
            </w:r>
          </w:p>
        </w:tc>
        <w:tc>
          <w:tcPr>
            <w:tcW w:w="1890" w:type="dxa"/>
            <w:tcBorders>
              <w:top w:val="nil"/>
              <w:left w:val="nil"/>
              <w:bottom w:val="single" w:sz="4" w:space="0" w:color="auto"/>
              <w:right w:val="single" w:sz="4" w:space="0" w:color="auto"/>
            </w:tcBorders>
            <w:shd w:val="clear" w:color="auto" w:fill="auto"/>
            <w:noWrap/>
            <w:vAlign w:val="bottom"/>
            <w:hideMark/>
          </w:tcPr>
          <w:p w14:paraId="07261750"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N/A</w:t>
            </w:r>
          </w:p>
        </w:tc>
        <w:tc>
          <w:tcPr>
            <w:tcW w:w="1170" w:type="dxa"/>
            <w:tcBorders>
              <w:top w:val="nil"/>
              <w:left w:val="nil"/>
              <w:bottom w:val="single" w:sz="4" w:space="0" w:color="auto"/>
              <w:right w:val="single" w:sz="4" w:space="0" w:color="auto"/>
            </w:tcBorders>
            <w:shd w:val="clear" w:color="auto" w:fill="auto"/>
            <w:noWrap/>
            <w:vAlign w:val="bottom"/>
            <w:hideMark/>
          </w:tcPr>
          <w:p w14:paraId="5B591979"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43326C1"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N/A</w:t>
            </w:r>
          </w:p>
        </w:tc>
      </w:tr>
      <w:tr w:rsidR="00BA0FB9" w:rsidRPr="00834E3E" w14:paraId="6F406C9B"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01E8B0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Planting Moderate</w:t>
            </w:r>
          </w:p>
        </w:tc>
        <w:tc>
          <w:tcPr>
            <w:tcW w:w="1800" w:type="dxa"/>
            <w:tcBorders>
              <w:top w:val="nil"/>
              <w:left w:val="nil"/>
              <w:bottom w:val="single" w:sz="4" w:space="0" w:color="auto"/>
              <w:right w:val="single" w:sz="4" w:space="0" w:color="auto"/>
            </w:tcBorders>
            <w:shd w:val="clear" w:color="auto" w:fill="auto"/>
            <w:noWrap/>
            <w:vAlign w:val="bottom"/>
            <w:hideMark/>
          </w:tcPr>
          <w:p w14:paraId="7EC7BAFE"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381</w:t>
            </w:r>
          </w:p>
        </w:tc>
        <w:tc>
          <w:tcPr>
            <w:tcW w:w="1890" w:type="dxa"/>
            <w:tcBorders>
              <w:top w:val="nil"/>
              <w:left w:val="nil"/>
              <w:bottom w:val="single" w:sz="4" w:space="0" w:color="auto"/>
              <w:right w:val="single" w:sz="4" w:space="0" w:color="auto"/>
            </w:tcBorders>
            <w:shd w:val="clear" w:color="auto" w:fill="auto"/>
            <w:noWrap/>
            <w:vAlign w:val="bottom"/>
            <w:hideMark/>
          </w:tcPr>
          <w:p w14:paraId="4F5D985C"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612 #7</w:t>
            </w:r>
          </w:p>
        </w:tc>
        <w:tc>
          <w:tcPr>
            <w:tcW w:w="1170" w:type="dxa"/>
            <w:tcBorders>
              <w:top w:val="nil"/>
              <w:left w:val="nil"/>
              <w:bottom w:val="single" w:sz="4" w:space="0" w:color="auto"/>
              <w:right w:val="single" w:sz="4" w:space="0" w:color="auto"/>
            </w:tcBorders>
            <w:shd w:val="clear" w:color="auto" w:fill="auto"/>
            <w:noWrap/>
            <w:vAlign w:val="bottom"/>
            <w:hideMark/>
          </w:tcPr>
          <w:p w14:paraId="54AAE57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331</w:t>
            </w:r>
          </w:p>
        </w:tc>
        <w:tc>
          <w:tcPr>
            <w:tcW w:w="1530" w:type="dxa"/>
            <w:tcBorders>
              <w:top w:val="nil"/>
              <w:left w:val="nil"/>
              <w:bottom w:val="single" w:sz="4" w:space="0" w:color="auto"/>
              <w:right w:val="single" w:sz="4" w:space="0" w:color="auto"/>
            </w:tcBorders>
            <w:shd w:val="clear" w:color="auto" w:fill="auto"/>
            <w:noWrap/>
            <w:vAlign w:val="bottom"/>
            <w:hideMark/>
          </w:tcPr>
          <w:p w14:paraId="3B31596D"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50</w:t>
            </w:r>
          </w:p>
        </w:tc>
      </w:tr>
      <w:tr w:rsidR="00BA0FB9" w:rsidRPr="00834E3E" w14:paraId="1F244611"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593777D"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Planting Heavy</w:t>
            </w:r>
          </w:p>
        </w:tc>
        <w:tc>
          <w:tcPr>
            <w:tcW w:w="1800" w:type="dxa"/>
            <w:tcBorders>
              <w:top w:val="nil"/>
              <w:left w:val="nil"/>
              <w:bottom w:val="single" w:sz="4" w:space="0" w:color="auto"/>
              <w:right w:val="single" w:sz="4" w:space="0" w:color="auto"/>
            </w:tcBorders>
            <w:shd w:val="clear" w:color="auto" w:fill="auto"/>
            <w:noWrap/>
            <w:vAlign w:val="bottom"/>
            <w:hideMark/>
          </w:tcPr>
          <w:p w14:paraId="555BAF94" w14:textId="631B84CE" w:rsidR="00BA0FB9" w:rsidRPr="00834E3E" w:rsidRDefault="00332C39" w:rsidP="00215509">
            <w:pPr>
              <w:spacing w:line="240" w:lineRule="auto"/>
              <w:rPr>
                <w:rFonts w:cs="Arial"/>
                <w:color w:val="000000"/>
                <w:sz w:val="22"/>
                <w:szCs w:val="22"/>
              </w:rPr>
            </w:pPr>
            <w:r>
              <w:rPr>
                <w:rFonts w:cs="Arial"/>
                <w:color w:val="000000"/>
                <w:sz w:val="22"/>
                <w:szCs w:val="22"/>
              </w:rPr>
              <w:t>599</w:t>
            </w:r>
          </w:p>
        </w:tc>
        <w:tc>
          <w:tcPr>
            <w:tcW w:w="1890" w:type="dxa"/>
            <w:tcBorders>
              <w:top w:val="nil"/>
              <w:left w:val="nil"/>
              <w:bottom w:val="single" w:sz="4" w:space="0" w:color="auto"/>
              <w:right w:val="single" w:sz="4" w:space="0" w:color="auto"/>
            </w:tcBorders>
            <w:shd w:val="clear" w:color="auto" w:fill="auto"/>
            <w:noWrap/>
            <w:vAlign w:val="bottom"/>
            <w:hideMark/>
          </w:tcPr>
          <w:p w14:paraId="396BB14F"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612 #3</w:t>
            </w:r>
          </w:p>
        </w:tc>
        <w:tc>
          <w:tcPr>
            <w:tcW w:w="1170" w:type="dxa"/>
            <w:tcBorders>
              <w:top w:val="nil"/>
              <w:left w:val="nil"/>
              <w:bottom w:val="single" w:sz="4" w:space="0" w:color="auto"/>
              <w:right w:val="single" w:sz="4" w:space="0" w:color="auto"/>
            </w:tcBorders>
            <w:shd w:val="clear" w:color="auto" w:fill="auto"/>
            <w:noWrap/>
            <w:vAlign w:val="bottom"/>
            <w:hideMark/>
          </w:tcPr>
          <w:p w14:paraId="737DF6CB"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773</w:t>
            </w:r>
          </w:p>
        </w:tc>
        <w:tc>
          <w:tcPr>
            <w:tcW w:w="1530" w:type="dxa"/>
            <w:tcBorders>
              <w:top w:val="nil"/>
              <w:left w:val="nil"/>
              <w:bottom w:val="single" w:sz="4" w:space="0" w:color="auto"/>
              <w:right w:val="single" w:sz="4" w:space="0" w:color="auto"/>
            </w:tcBorders>
            <w:shd w:val="clear" w:color="auto" w:fill="auto"/>
            <w:noWrap/>
            <w:vAlign w:val="bottom"/>
            <w:hideMark/>
          </w:tcPr>
          <w:p w14:paraId="4271B472" w14:textId="550504D2" w:rsidR="00BA0FB9" w:rsidRPr="00834E3E" w:rsidRDefault="00332C39" w:rsidP="00215509">
            <w:pPr>
              <w:spacing w:line="240" w:lineRule="auto"/>
              <w:rPr>
                <w:rFonts w:cs="Arial"/>
                <w:color w:val="000000"/>
                <w:sz w:val="22"/>
                <w:szCs w:val="22"/>
              </w:rPr>
            </w:pPr>
            <w:r w:rsidRPr="00762265">
              <w:rPr>
                <w:rFonts w:cs="Arial"/>
                <w:color w:val="FF0000"/>
                <w:sz w:val="22"/>
                <w:szCs w:val="22"/>
              </w:rPr>
              <w:t>-174</w:t>
            </w:r>
          </w:p>
        </w:tc>
      </w:tr>
      <w:tr w:rsidR="00BA0FB9" w:rsidRPr="00834E3E" w14:paraId="2884DE69"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4DA0CD0C"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Tree shelters</w:t>
            </w:r>
          </w:p>
        </w:tc>
        <w:tc>
          <w:tcPr>
            <w:tcW w:w="1800" w:type="dxa"/>
            <w:tcBorders>
              <w:top w:val="nil"/>
              <w:left w:val="nil"/>
              <w:bottom w:val="single" w:sz="4" w:space="0" w:color="auto"/>
              <w:right w:val="single" w:sz="4" w:space="0" w:color="auto"/>
            </w:tcBorders>
            <w:shd w:val="clear" w:color="auto" w:fill="auto"/>
            <w:noWrap/>
            <w:vAlign w:val="bottom"/>
            <w:hideMark/>
          </w:tcPr>
          <w:p w14:paraId="2CE71B27"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381</w:t>
            </w:r>
          </w:p>
        </w:tc>
        <w:tc>
          <w:tcPr>
            <w:tcW w:w="1890" w:type="dxa"/>
            <w:tcBorders>
              <w:top w:val="nil"/>
              <w:left w:val="nil"/>
              <w:bottom w:val="single" w:sz="4" w:space="0" w:color="auto"/>
              <w:right w:val="single" w:sz="4" w:space="0" w:color="auto"/>
            </w:tcBorders>
            <w:shd w:val="clear" w:color="auto" w:fill="auto"/>
            <w:noWrap/>
            <w:vAlign w:val="bottom"/>
            <w:hideMark/>
          </w:tcPr>
          <w:p w14:paraId="3909802F"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N/A</w:t>
            </w:r>
          </w:p>
        </w:tc>
        <w:tc>
          <w:tcPr>
            <w:tcW w:w="1170" w:type="dxa"/>
            <w:tcBorders>
              <w:top w:val="nil"/>
              <w:left w:val="nil"/>
              <w:bottom w:val="single" w:sz="4" w:space="0" w:color="auto"/>
              <w:right w:val="single" w:sz="4" w:space="0" w:color="auto"/>
            </w:tcBorders>
            <w:shd w:val="clear" w:color="auto" w:fill="auto"/>
            <w:noWrap/>
            <w:vAlign w:val="bottom"/>
            <w:hideMark/>
          </w:tcPr>
          <w:p w14:paraId="3C875CD2"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400</w:t>
            </w:r>
          </w:p>
        </w:tc>
        <w:tc>
          <w:tcPr>
            <w:tcW w:w="1530" w:type="dxa"/>
            <w:tcBorders>
              <w:top w:val="nil"/>
              <w:left w:val="nil"/>
              <w:bottom w:val="single" w:sz="4" w:space="0" w:color="auto"/>
              <w:right w:val="single" w:sz="4" w:space="0" w:color="auto"/>
            </w:tcBorders>
            <w:shd w:val="clear" w:color="auto" w:fill="auto"/>
            <w:noWrap/>
            <w:vAlign w:val="bottom"/>
            <w:hideMark/>
          </w:tcPr>
          <w:p w14:paraId="3000C4A6" w14:textId="77777777" w:rsidR="00BA0FB9" w:rsidRPr="00834E3E" w:rsidRDefault="00BA0FB9" w:rsidP="00215509">
            <w:pPr>
              <w:spacing w:line="240" w:lineRule="auto"/>
              <w:rPr>
                <w:rFonts w:cs="Arial"/>
                <w:color w:val="000000"/>
                <w:sz w:val="22"/>
                <w:szCs w:val="22"/>
              </w:rPr>
            </w:pPr>
            <w:r w:rsidRPr="00762265">
              <w:rPr>
                <w:rFonts w:cs="Arial"/>
                <w:color w:val="FF0000"/>
                <w:sz w:val="22"/>
                <w:szCs w:val="22"/>
              </w:rPr>
              <w:t>-19</w:t>
            </w:r>
          </w:p>
        </w:tc>
      </w:tr>
      <w:tr w:rsidR="00BA0FB9" w:rsidRPr="00834E3E" w14:paraId="607FB96C"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C552E46"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Thinning/Release Light</w:t>
            </w:r>
          </w:p>
        </w:tc>
        <w:tc>
          <w:tcPr>
            <w:tcW w:w="1800" w:type="dxa"/>
            <w:tcBorders>
              <w:top w:val="nil"/>
              <w:left w:val="nil"/>
              <w:bottom w:val="single" w:sz="4" w:space="0" w:color="auto"/>
              <w:right w:val="single" w:sz="4" w:space="0" w:color="auto"/>
            </w:tcBorders>
            <w:shd w:val="clear" w:color="auto" w:fill="auto"/>
            <w:noWrap/>
            <w:vAlign w:val="bottom"/>
            <w:hideMark/>
          </w:tcPr>
          <w:p w14:paraId="3ADCFBE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381</w:t>
            </w:r>
          </w:p>
        </w:tc>
        <w:tc>
          <w:tcPr>
            <w:tcW w:w="1890" w:type="dxa"/>
            <w:tcBorders>
              <w:top w:val="nil"/>
              <w:left w:val="nil"/>
              <w:bottom w:val="single" w:sz="4" w:space="0" w:color="auto"/>
              <w:right w:val="single" w:sz="4" w:space="0" w:color="auto"/>
            </w:tcBorders>
            <w:shd w:val="clear" w:color="auto" w:fill="auto"/>
            <w:noWrap/>
            <w:vAlign w:val="bottom"/>
            <w:hideMark/>
          </w:tcPr>
          <w:p w14:paraId="4AB7FFBE"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666 #1 + 384 #3</w:t>
            </w:r>
          </w:p>
        </w:tc>
        <w:tc>
          <w:tcPr>
            <w:tcW w:w="1170" w:type="dxa"/>
            <w:tcBorders>
              <w:top w:val="nil"/>
              <w:left w:val="nil"/>
              <w:bottom w:val="single" w:sz="4" w:space="0" w:color="auto"/>
              <w:right w:val="single" w:sz="4" w:space="0" w:color="auto"/>
            </w:tcBorders>
            <w:shd w:val="clear" w:color="auto" w:fill="auto"/>
            <w:noWrap/>
            <w:vAlign w:val="bottom"/>
            <w:hideMark/>
          </w:tcPr>
          <w:p w14:paraId="0FDAF26B"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516</w:t>
            </w:r>
          </w:p>
        </w:tc>
        <w:tc>
          <w:tcPr>
            <w:tcW w:w="1530" w:type="dxa"/>
            <w:tcBorders>
              <w:top w:val="nil"/>
              <w:left w:val="nil"/>
              <w:bottom w:val="single" w:sz="4" w:space="0" w:color="auto"/>
              <w:right w:val="single" w:sz="4" w:space="0" w:color="auto"/>
            </w:tcBorders>
            <w:shd w:val="clear" w:color="auto" w:fill="auto"/>
            <w:noWrap/>
            <w:vAlign w:val="bottom"/>
            <w:hideMark/>
          </w:tcPr>
          <w:p w14:paraId="5D92B6E8" w14:textId="77777777" w:rsidR="00BA0FB9" w:rsidRPr="00834E3E" w:rsidRDefault="00BA0FB9" w:rsidP="00215509">
            <w:pPr>
              <w:spacing w:line="240" w:lineRule="auto"/>
              <w:rPr>
                <w:rFonts w:cs="Arial"/>
                <w:color w:val="000000"/>
                <w:sz w:val="22"/>
                <w:szCs w:val="22"/>
              </w:rPr>
            </w:pPr>
            <w:r w:rsidRPr="00762265">
              <w:rPr>
                <w:rFonts w:cs="Arial"/>
                <w:color w:val="FF0000"/>
                <w:sz w:val="22"/>
                <w:szCs w:val="22"/>
              </w:rPr>
              <w:t>-135</w:t>
            </w:r>
          </w:p>
        </w:tc>
      </w:tr>
      <w:tr w:rsidR="00BA0FB9" w:rsidRPr="00834E3E" w14:paraId="025591B7"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EF94797"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Thinning/Release Moderate</w:t>
            </w:r>
          </w:p>
        </w:tc>
        <w:tc>
          <w:tcPr>
            <w:tcW w:w="1800" w:type="dxa"/>
            <w:tcBorders>
              <w:top w:val="nil"/>
              <w:left w:val="nil"/>
              <w:bottom w:val="single" w:sz="4" w:space="0" w:color="auto"/>
              <w:right w:val="single" w:sz="4" w:space="0" w:color="auto"/>
            </w:tcBorders>
            <w:shd w:val="clear" w:color="auto" w:fill="auto"/>
            <w:noWrap/>
            <w:vAlign w:val="bottom"/>
            <w:hideMark/>
          </w:tcPr>
          <w:p w14:paraId="5C3C4026"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545</w:t>
            </w:r>
          </w:p>
        </w:tc>
        <w:tc>
          <w:tcPr>
            <w:tcW w:w="1890" w:type="dxa"/>
            <w:tcBorders>
              <w:top w:val="nil"/>
              <w:left w:val="nil"/>
              <w:bottom w:val="single" w:sz="4" w:space="0" w:color="auto"/>
              <w:right w:val="single" w:sz="4" w:space="0" w:color="auto"/>
            </w:tcBorders>
            <w:shd w:val="clear" w:color="auto" w:fill="auto"/>
            <w:noWrap/>
            <w:vAlign w:val="bottom"/>
            <w:hideMark/>
          </w:tcPr>
          <w:p w14:paraId="0E75D8E9"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N/A</w:t>
            </w:r>
          </w:p>
        </w:tc>
        <w:tc>
          <w:tcPr>
            <w:tcW w:w="1170" w:type="dxa"/>
            <w:tcBorders>
              <w:top w:val="nil"/>
              <w:left w:val="nil"/>
              <w:bottom w:val="single" w:sz="4" w:space="0" w:color="auto"/>
              <w:right w:val="single" w:sz="4" w:space="0" w:color="auto"/>
            </w:tcBorders>
            <w:shd w:val="clear" w:color="auto" w:fill="auto"/>
            <w:noWrap/>
            <w:vAlign w:val="bottom"/>
            <w:hideMark/>
          </w:tcPr>
          <w:p w14:paraId="5A0F13B9"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0F74791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N/A</w:t>
            </w:r>
          </w:p>
        </w:tc>
      </w:tr>
      <w:tr w:rsidR="00BA0FB9" w:rsidRPr="00834E3E" w14:paraId="26E04AA4"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7C3DBB8"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Thinning/Release Heavy</w:t>
            </w:r>
          </w:p>
        </w:tc>
        <w:tc>
          <w:tcPr>
            <w:tcW w:w="1800" w:type="dxa"/>
            <w:tcBorders>
              <w:top w:val="nil"/>
              <w:left w:val="nil"/>
              <w:bottom w:val="single" w:sz="4" w:space="0" w:color="auto"/>
              <w:right w:val="single" w:sz="4" w:space="0" w:color="auto"/>
            </w:tcBorders>
            <w:shd w:val="clear" w:color="auto" w:fill="auto"/>
            <w:noWrap/>
            <w:vAlign w:val="bottom"/>
            <w:hideMark/>
          </w:tcPr>
          <w:p w14:paraId="1FD0EB34"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871</w:t>
            </w:r>
          </w:p>
        </w:tc>
        <w:tc>
          <w:tcPr>
            <w:tcW w:w="1890" w:type="dxa"/>
            <w:tcBorders>
              <w:top w:val="nil"/>
              <w:left w:val="nil"/>
              <w:bottom w:val="single" w:sz="4" w:space="0" w:color="auto"/>
              <w:right w:val="single" w:sz="4" w:space="0" w:color="auto"/>
            </w:tcBorders>
            <w:shd w:val="clear" w:color="auto" w:fill="auto"/>
            <w:noWrap/>
            <w:vAlign w:val="bottom"/>
            <w:hideMark/>
          </w:tcPr>
          <w:p w14:paraId="2CDBEDB4"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666 #2</w:t>
            </w:r>
          </w:p>
        </w:tc>
        <w:tc>
          <w:tcPr>
            <w:tcW w:w="1170" w:type="dxa"/>
            <w:tcBorders>
              <w:top w:val="nil"/>
              <w:left w:val="nil"/>
              <w:bottom w:val="single" w:sz="4" w:space="0" w:color="auto"/>
              <w:right w:val="single" w:sz="4" w:space="0" w:color="auto"/>
            </w:tcBorders>
            <w:shd w:val="clear" w:color="auto" w:fill="auto"/>
            <w:noWrap/>
            <w:vAlign w:val="bottom"/>
            <w:hideMark/>
          </w:tcPr>
          <w:p w14:paraId="0C3AD4A1"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625</w:t>
            </w:r>
          </w:p>
        </w:tc>
        <w:tc>
          <w:tcPr>
            <w:tcW w:w="1530" w:type="dxa"/>
            <w:tcBorders>
              <w:top w:val="nil"/>
              <w:left w:val="nil"/>
              <w:bottom w:val="single" w:sz="4" w:space="0" w:color="auto"/>
              <w:right w:val="single" w:sz="4" w:space="0" w:color="auto"/>
            </w:tcBorders>
            <w:shd w:val="clear" w:color="auto" w:fill="auto"/>
            <w:noWrap/>
            <w:vAlign w:val="bottom"/>
            <w:hideMark/>
          </w:tcPr>
          <w:p w14:paraId="47FBEDD8"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246</w:t>
            </w:r>
          </w:p>
        </w:tc>
      </w:tr>
      <w:tr w:rsidR="00BA0FB9" w:rsidRPr="00834E3E" w14:paraId="219F5B37"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59C40E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Thinning/Release Heavy</w:t>
            </w:r>
          </w:p>
        </w:tc>
        <w:tc>
          <w:tcPr>
            <w:tcW w:w="1800" w:type="dxa"/>
            <w:tcBorders>
              <w:top w:val="nil"/>
              <w:left w:val="nil"/>
              <w:bottom w:val="single" w:sz="4" w:space="0" w:color="auto"/>
              <w:right w:val="single" w:sz="4" w:space="0" w:color="auto"/>
            </w:tcBorders>
            <w:shd w:val="clear" w:color="auto" w:fill="auto"/>
            <w:noWrap/>
            <w:vAlign w:val="bottom"/>
            <w:hideMark/>
          </w:tcPr>
          <w:p w14:paraId="5671E6A2"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871</w:t>
            </w:r>
          </w:p>
        </w:tc>
        <w:tc>
          <w:tcPr>
            <w:tcW w:w="1890" w:type="dxa"/>
            <w:tcBorders>
              <w:top w:val="nil"/>
              <w:left w:val="nil"/>
              <w:bottom w:val="single" w:sz="4" w:space="0" w:color="auto"/>
              <w:right w:val="single" w:sz="4" w:space="0" w:color="auto"/>
            </w:tcBorders>
            <w:shd w:val="clear" w:color="auto" w:fill="auto"/>
            <w:noWrap/>
            <w:vAlign w:val="bottom"/>
            <w:hideMark/>
          </w:tcPr>
          <w:p w14:paraId="6AA9A818" w14:textId="281CD7F0" w:rsidR="00BA0FB9" w:rsidRPr="00834E3E" w:rsidRDefault="00BA0FB9" w:rsidP="00215509">
            <w:pPr>
              <w:spacing w:line="240" w:lineRule="auto"/>
              <w:rPr>
                <w:rFonts w:cs="Arial"/>
                <w:color w:val="000000"/>
                <w:sz w:val="22"/>
                <w:szCs w:val="22"/>
              </w:rPr>
            </w:pPr>
            <w:r w:rsidRPr="00834E3E">
              <w:rPr>
                <w:rFonts w:cs="Arial"/>
                <w:color w:val="000000"/>
                <w:sz w:val="22"/>
                <w:szCs w:val="22"/>
              </w:rPr>
              <w:t>666 #7</w:t>
            </w:r>
            <w:r w:rsidR="00360847">
              <w:rPr>
                <w:rStyle w:val="FootnoteReference"/>
                <w:rFonts w:cs="Arial"/>
                <w:color w:val="000000"/>
                <w:sz w:val="22"/>
                <w:szCs w:val="22"/>
              </w:rPr>
              <w:footnoteReference w:id="1"/>
            </w:r>
            <w:r w:rsidRPr="00834E3E">
              <w:rPr>
                <w:rFonts w:cs="Arial"/>
                <w:color w:val="000000"/>
                <w:sz w:val="22"/>
                <w:szCs w:val="22"/>
              </w:rPr>
              <w:t xml:space="preserve"> </w:t>
            </w:r>
          </w:p>
        </w:tc>
        <w:tc>
          <w:tcPr>
            <w:tcW w:w="1170" w:type="dxa"/>
            <w:tcBorders>
              <w:top w:val="nil"/>
              <w:left w:val="nil"/>
              <w:bottom w:val="single" w:sz="4" w:space="0" w:color="auto"/>
              <w:right w:val="single" w:sz="4" w:space="0" w:color="auto"/>
            </w:tcBorders>
            <w:shd w:val="clear" w:color="auto" w:fill="auto"/>
            <w:noWrap/>
            <w:vAlign w:val="bottom"/>
            <w:hideMark/>
          </w:tcPr>
          <w:p w14:paraId="09A2995B"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1553</w:t>
            </w:r>
          </w:p>
        </w:tc>
        <w:tc>
          <w:tcPr>
            <w:tcW w:w="1530" w:type="dxa"/>
            <w:tcBorders>
              <w:top w:val="nil"/>
              <w:left w:val="nil"/>
              <w:bottom w:val="single" w:sz="4" w:space="0" w:color="auto"/>
              <w:right w:val="single" w:sz="4" w:space="0" w:color="auto"/>
            </w:tcBorders>
            <w:shd w:val="clear" w:color="auto" w:fill="auto"/>
            <w:noWrap/>
            <w:vAlign w:val="bottom"/>
            <w:hideMark/>
          </w:tcPr>
          <w:p w14:paraId="3DE1FC78" w14:textId="77777777" w:rsidR="00BA0FB9" w:rsidRPr="00834E3E" w:rsidRDefault="00BA0FB9" w:rsidP="00215509">
            <w:pPr>
              <w:spacing w:line="240" w:lineRule="auto"/>
              <w:rPr>
                <w:rFonts w:cs="Arial"/>
                <w:color w:val="000000"/>
                <w:sz w:val="22"/>
                <w:szCs w:val="22"/>
              </w:rPr>
            </w:pPr>
            <w:r w:rsidRPr="00762265">
              <w:rPr>
                <w:rFonts w:cs="Arial"/>
                <w:color w:val="FF0000"/>
                <w:sz w:val="22"/>
                <w:szCs w:val="22"/>
              </w:rPr>
              <w:t>-682</w:t>
            </w:r>
          </w:p>
        </w:tc>
      </w:tr>
      <w:tr w:rsidR="00BA0FB9" w:rsidRPr="00834E3E" w14:paraId="288C67D7"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97B1BBA"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Pruning 50 TPA</w:t>
            </w:r>
          </w:p>
        </w:tc>
        <w:tc>
          <w:tcPr>
            <w:tcW w:w="1800" w:type="dxa"/>
            <w:tcBorders>
              <w:top w:val="nil"/>
              <w:left w:val="nil"/>
              <w:bottom w:val="single" w:sz="4" w:space="0" w:color="auto"/>
              <w:right w:val="single" w:sz="4" w:space="0" w:color="auto"/>
            </w:tcBorders>
            <w:shd w:val="clear" w:color="auto" w:fill="auto"/>
            <w:noWrap/>
            <w:vAlign w:val="bottom"/>
            <w:hideMark/>
          </w:tcPr>
          <w:p w14:paraId="02E3AB1B"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218</w:t>
            </w:r>
          </w:p>
        </w:tc>
        <w:tc>
          <w:tcPr>
            <w:tcW w:w="1890" w:type="dxa"/>
            <w:tcBorders>
              <w:top w:val="nil"/>
              <w:left w:val="nil"/>
              <w:bottom w:val="single" w:sz="4" w:space="0" w:color="auto"/>
              <w:right w:val="single" w:sz="4" w:space="0" w:color="auto"/>
            </w:tcBorders>
            <w:shd w:val="clear" w:color="auto" w:fill="auto"/>
            <w:noWrap/>
            <w:vAlign w:val="bottom"/>
            <w:hideMark/>
          </w:tcPr>
          <w:p w14:paraId="7327DA16"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660 #1</w:t>
            </w:r>
          </w:p>
        </w:tc>
        <w:tc>
          <w:tcPr>
            <w:tcW w:w="1170" w:type="dxa"/>
            <w:tcBorders>
              <w:top w:val="nil"/>
              <w:left w:val="nil"/>
              <w:bottom w:val="single" w:sz="4" w:space="0" w:color="auto"/>
              <w:right w:val="single" w:sz="4" w:space="0" w:color="auto"/>
            </w:tcBorders>
            <w:shd w:val="clear" w:color="auto" w:fill="auto"/>
            <w:noWrap/>
            <w:vAlign w:val="bottom"/>
            <w:hideMark/>
          </w:tcPr>
          <w:p w14:paraId="5AE66F6F"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386</w:t>
            </w:r>
          </w:p>
        </w:tc>
        <w:tc>
          <w:tcPr>
            <w:tcW w:w="1530" w:type="dxa"/>
            <w:tcBorders>
              <w:top w:val="nil"/>
              <w:left w:val="nil"/>
              <w:bottom w:val="single" w:sz="4" w:space="0" w:color="auto"/>
              <w:right w:val="single" w:sz="4" w:space="0" w:color="auto"/>
            </w:tcBorders>
            <w:shd w:val="clear" w:color="auto" w:fill="auto"/>
            <w:noWrap/>
            <w:vAlign w:val="bottom"/>
            <w:hideMark/>
          </w:tcPr>
          <w:p w14:paraId="554DE664" w14:textId="77777777" w:rsidR="00BA0FB9" w:rsidRPr="00834E3E" w:rsidRDefault="00BA0FB9" w:rsidP="00215509">
            <w:pPr>
              <w:spacing w:line="240" w:lineRule="auto"/>
              <w:rPr>
                <w:rFonts w:cs="Arial"/>
                <w:color w:val="000000"/>
                <w:sz w:val="22"/>
                <w:szCs w:val="22"/>
              </w:rPr>
            </w:pPr>
            <w:r w:rsidRPr="00762265">
              <w:rPr>
                <w:rFonts w:cs="Arial"/>
                <w:color w:val="FF0000"/>
                <w:sz w:val="22"/>
                <w:szCs w:val="22"/>
              </w:rPr>
              <w:t>-168</w:t>
            </w:r>
          </w:p>
        </w:tc>
      </w:tr>
      <w:tr w:rsidR="00BA0FB9" w:rsidRPr="00834E3E" w14:paraId="11F49629"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D7870F5"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Pruning 100 TPA</w:t>
            </w:r>
          </w:p>
        </w:tc>
        <w:tc>
          <w:tcPr>
            <w:tcW w:w="1800" w:type="dxa"/>
            <w:tcBorders>
              <w:top w:val="nil"/>
              <w:left w:val="nil"/>
              <w:bottom w:val="single" w:sz="4" w:space="0" w:color="auto"/>
              <w:right w:val="single" w:sz="4" w:space="0" w:color="auto"/>
            </w:tcBorders>
            <w:shd w:val="clear" w:color="auto" w:fill="auto"/>
            <w:noWrap/>
            <w:vAlign w:val="bottom"/>
            <w:hideMark/>
          </w:tcPr>
          <w:p w14:paraId="00923648"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381</w:t>
            </w:r>
          </w:p>
        </w:tc>
        <w:tc>
          <w:tcPr>
            <w:tcW w:w="1890" w:type="dxa"/>
            <w:tcBorders>
              <w:top w:val="nil"/>
              <w:left w:val="nil"/>
              <w:bottom w:val="single" w:sz="4" w:space="0" w:color="auto"/>
              <w:right w:val="single" w:sz="4" w:space="0" w:color="auto"/>
            </w:tcBorders>
            <w:shd w:val="clear" w:color="auto" w:fill="auto"/>
            <w:noWrap/>
            <w:vAlign w:val="bottom"/>
            <w:hideMark/>
          </w:tcPr>
          <w:p w14:paraId="04392261"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660 #1</w:t>
            </w:r>
          </w:p>
        </w:tc>
        <w:tc>
          <w:tcPr>
            <w:tcW w:w="1170" w:type="dxa"/>
            <w:tcBorders>
              <w:top w:val="nil"/>
              <w:left w:val="nil"/>
              <w:bottom w:val="single" w:sz="4" w:space="0" w:color="auto"/>
              <w:right w:val="single" w:sz="4" w:space="0" w:color="auto"/>
            </w:tcBorders>
            <w:shd w:val="clear" w:color="auto" w:fill="auto"/>
            <w:noWrap/>
            <w:vAlign w:val="bottom"/>
            <w:hideMark/>
          </w:tcPr>
          <w:p w14:paraId="1EE89BE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386</w:t>
            </w:r>
          </w:p>
        </w:tc>
        <w:tc>
          <w:tcPr>
            <w:tcW w:w="1530" w:type="dxa"/>
            <w:tcBorders>
              <w:top w:val="nil"/>
              <w:left w:val="nil"/>
              <w:bottom w:val="single" w:sz="4" w:space="0" w:color="auto"/>
              <w:right w:val="single" w:sz="4" w:space="0" w:color="auto"/>
            </w:tcBorders>
            <w:shd w:val="clear" w:color="auto" w:fill="auto"/>
            <w:noWrap/>
            <w:vAlign w:val="bottom"/>
            <w:hideMark/>
          </w:tcPr>
          <w:p w14:paraId="5CB11EB9" w14:textId="77777777" w:rsidR="00BA0FB9" w:rsidRPr="00834E3E" w:rsidRDefault="00BA0FB9" w:rsidP="00215509">
            <w:pPr>
              <w:spacing w:line="240" w:lineRule="auto"/>
              <w:rPr>
                <w:rFonts w:cs="Arial"/>
                <w:color w:val="000000"/>
                <w:sz w:val="22"/>
                <w:szCs w:val="22"/>
              </w:rPr>
            </w:pPr>
            <w:r w:rsidRPr="00762265">
              <w:rPr>
                <w:rFonts w:cs="Arial"/>
                <w:color w:val="FF0000"/>
                <w:sz w:val="22"/>
                <w:szCs w:val="22"/>
              </w:rPr>
              <w:t>-5</w:t>
            </w:r>
          </w:p>
        </w:tc>
      </w:tr>
      <w:tr w:rsidR="00BA0FB9" w:rsidRPr="00834E3E" w14:paraId="2A5F652D"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6F3150C0"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Pruning 150 TPA</w:t>
            </w:r>
          </w:p>
        </w:tc>
        <w:tc>
          <w:tcPr>
            <w:tcW w:w="1800" w:type="dxa"/>
            <w:tcBorders>
              <w:top w:val="nil"/>
              <w:left w:val="nil"/>
              <w:bottom w:val="single" w:sz="4" w:space="0" w:color="auto"/>
              <w:right w:val="single" w:sz="4" w:space="0" w:color="auto"/>
            </w:tcBorders>
            <w:shd w:val="clear" w:color="auto" w:fill="auto"/>
            <w:noWrap/>
            <w:vAlign w:val="bottom"/>
            <w:hideMark/>
          </w:tcPr>
          <w:p w14:paraId="51F3B5E2"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490</w:t>
            </w:r>
          </w:p>
        </w:tc>
        <w:tc>
          <w:tcPr>
            <w:tcW w:w="1890" w:type="dxa"/>
            <w:tcBorders>
              <w:top w:val="nil"/>
              <w:left w:val="nil"/>
              <w:bottom w:val="single" w:sz="4" w:space="0" w:color="auto"/>
              <w:right w:val="single" w:sz="4" w:space="0" w:color="auto"/>
            </w:tcBorders>
            <w:shd w:val="clear" w:color="auto" w:fill="auto"/>
            <w:noWrap/>
            <w:vAlign w:val="bottom"/>
            <w:hideMark/>
          </w:tcPr>
          <w:p w14:paraId="0D957ABE"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660 #1</w:t>
            </w:r>
          </w:p>
        </w:tc>
        <w:tc>
          <w:tcPr>
            <w:tcW w:w="1170" w:type="dxa"/>
            <w:tcBorders>
              <w:top w:val="nil"/>
              <w:left w:val="nil"/>
              <w:bottom w:val="single" w:sz="4" w:space="0" w:color="auto"/>
              <w:right w:val="single" w:sz="4" w:space="0" w:color="auto"/>
            </w:tcBorders>
            <w:shd w:val="clear" w:color="auto" w:fill="auto"/>
            <w:noWrap/>
            <w:vAlign w:val="bottom"/>
            <w:hideMark/>
          </w:tcPr>
          <w:p w14:paraId="3A92841F"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386</w:t>
            </w:r>
          </w:p>
        </w:tc>
        <w:tc>
          <w:tcPr>
            <w:tcW w:w="1530" w:type="dxa"/>
            <w:tcBorders>
              <w:top w:val="nil"/>
              <w:left w:val="nil"/>
              <w:bottom w:val="single" w:sz="4" w:space="0" w:color="auto"/>
              <w:right w:val="single" w:sz="4" w:space="0" w:color="auto"/>
            </w:tcBorders>
            <w:shd w:val="clear" w:color="auto" w:fill="auto"/>
            <w:noWrap/>
            <w:vAlign w:val="bottom"/>
            <w:hideMark/>
          </w:tcPr>
          <w:p w14:paraId="21E35C79"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104</w:t>
            </w:r>
          </w:p>
        </w:tc>
      </w:tr>
      <w:tr w:rsidR="00BA0FB9" w:rsidRPr="00834E3E" w14:paraId="7C9FA5C2"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8B9334F"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Release Herbicide Light</w:t>
            </w:r>
          </w:p>
        </w:tc>
        <w:tc>
          <w:tcPr>
            <w:tcW w:w="1800" w:type="dxa"/>
            <w:tcBorders>
              <w:top w:val="nil"/>
              <w:left w:val="nil"/>
              <w:bottom w:val="single" w:sz="4" w:space="0" w:color="auto"/>
              <w:right w:val="single" w:sz="4" w:space="0" w:color="auto"/>
            </w:tcBorders>
            <w:shd w:val="clear" w:color="auto" w:fill="auto"/>
            <w:noWrap/>
            <w:vAlign w:val="bottom"/>
            <w:hideMark/>
          </w:tcPr>
          <w:p w14:paraId="63F22DDF"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272</w:t>
            </w:r>
          </w:p>
        </w:tc>
        <w:tc>
          <w:tcPr>
            <w:tcW w:w="1890" w:type="dxa"/>
            <w:tcBorders>
              <w:top w:val="nil"/>
              <w:left w:val="nil"/>
              <w:bottom w:val="single" w:sz="4" w:space="0" w:color="auto"/>
              <w:right w:val="single" w:sz="4" w:space="0" w:color="auto"/>
            </w:tcBorders>
            <w:shd w:val="clear" w:color="auto" w:fill="auto"/>
            <w:noWrap/>
            <w:vAlign w:val="bottom"/>
            <w:hideMark/>
          </w:tcPr>
          <w:p w14:paraId="5CD6AB7C"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 xml:space="preserve">666 #4 </w:t>
            </w:r>
          </w:p>
        </w:tc>
        <w:tc>
          <w:tcPr>
            <w:tcW w:w="1170" w:type="dxa"/>
            <w:tcBorders>
              <w:top w:val="nil"/>
              <w:left w:val="nil"/>
              <w:bottom w:val="single" w:sz="4" w:space="0" w:color="auto"/>
              <w:right w:val="single" w:sz="4" w:space="0" w:color="auto"/>
            </w:tcBorders>
            <w:shd w:val="clear" w:color="auto" w:fill="auto"/>
            <w:noWrap/>
            <w:vAlign w:val="bottom"/>
            <w:hideMark/>
          </w:tcPr>
          <w:p w14:paraId="327DAE55"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145</w:t>
            </w:r>
          </w:p>
        </w:tc>
        <w:tc>
          <w:tcPr>
            <w:tcW w:w="1530" w:type="dxa"/>
            <w:tcBorders>
              <w:top w:val="nil"/>
              <w:left w:val="nil"/>
              <w:bottom w:val="single" w:sz="4" w:space="0" w:color="auto"/>
              <w:right w:val="single" w:sz="4" w:space="0" w:color="auto"/>
            </w:tcBorders>
            <w:shd w:val="clear" w:color="auto" w:fill="auto"/>
            <w:noWrap/>
            <w:vAlign w:val="bottom"/>
            <w:hideMark/>
          </w:tcPr>
          <w:p w14:paraId="1A95B724"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127</w:t>
            </w:r>
          </w:p>
        </w:tc>
      </w:tr>
      <w:tr w:rsidR="00BA0FB9" w:rsidRPr="00834E3E" w14:paraId="2B650E04"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13A700D6"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Release Herbicide Moderate</w:t>
            </w:r>
          </w:p>
        </w:tc>
        <w:tc>
          <w:tcPr>
            <w:tcW w:w="1800" w:type="dxa"/>
            <w:tcBorders>
              <w:top w:val="nil"/>
              <w:left w:val="nil"/>
              <w:bottom w:val="single" w:sz="4" w:space="0" w:color="auto"/>
              <w:right w:val="single" w:sz="4" w:space="0" w:color="auto"/>
            </w:tcBorders>
            <w:shd w:val="clear" w:color="auto" w:fill="auto"/>
            <w:noWrap/>
            <w:vAlign w:val="bottom"/>
            <w:hideMark/>
          </w:tcPr>
          <w:p w14:paraId="08D7C0E0"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436</w:t>
            </w:r>
          </w:p>
        </w:tc>
        <w:tc>
          <w:tcPr>
            <w:tcW w:w="1890" w:type="dxa"/>
            <w:tcBorders>
              <w:top w:val="nil"/>
              <w:left w:val="nil"/>
              <w:bottom w:val="single" w:sz="4" w:space="0" w:color="auto"/>
              <w:right w:val="single" w:sz="4" w:space="0" w:color="auto"/>
            </w:tcBorders>
            <w:shd w:val="clear" w:color="auto" w:fill="auto"/>
            <w:noWrap/>
            <w:vAlign w:val="bottom"/>
            <w:hideMark/>
          </w:tcPr>
          <w:p w14:paraId="580F0E84"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666 #3</w:t>
            </w:r>
          </w:p>
        </w:tc>
        <w:tc>
          <w:tcPr>
            <w:tcW w:w="1170" w:type="dxa"/>
            <w:tcBorders>
              <w:top w:val="nil"/>
              <w:left w:val="nil"/>
              <w:bottom w:val="single" w:sz="4" w:space="0" w:color="auto"/>
              <w:right w:val="single" w:sz="4" w:space="0" w:color="auto"/>
            </w:tcBorders>
            <w:shd w:val="clear" w:color="auto" w:fill="auto"/>
            <w:noWrap/>
            <w:vAlign w:val="bottom"/>
            <w:hideMark/>
          </w:tcPr>
          <w:p w14:paraId="54ACC02F"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639</w:t>
            </w:r>
          </w:p>
        </w:tc>
        <w:tc>
          <w:tcPr>
            <w:tcW w:w="1530" w:type="dxa"/>
            <w:tcBorders>
              <w:top w:val="nil"/>
              <w:left w:val="nil"/>
              <w:bottom w:val="single" w:sz="4" w:space="0" w:color="auto"/>
              <w:right w:val="single" w:sz="4" w:space="0" w:color="auto"/>
            </w:tcBorders>
            <w:shd w:val="clear" w:color="auto" w:fill="auto"/>
            <w:noWrap/>
            <w:vAlign w:val="bottom"/>
            <w:hideMark/>
          </w:tcPr>
          <w:p w14:paraId="0255A9F0" w14:textId="77777777" w:rsidR="00BA0FB9" w:rsidRPr="00834E3E" w:rsidRDefault="00BA0FB9" w:rsidP="00215509">
            <w:pPr>
              <w:spacing w:line="240" w:lineRule="auto"/>
              <w:rPr>
                <w:rFonts w:cs="Arial"/>
                <w:color w:val="000000"/>
                <w:sz w:val="22"/>
                <w:szCs w:val="22"/>
              </w:rPr>
            </w:pPr>
            <w:r w:rsidRPr="00762265">
              <w:rPr>
                <w:rFonts w:cs="Arial"/>
                <w:color w:val="FF0000"/>
                <w:sz w:val="22"/>
                <w:szCs w:val="22"/>
              </w:rPr>
              <w:t>-203</w:t>
            </w:r>
          </w:p>
        </w:tc>
      </w:tr>
      <w:tr w:rsidR="00BA0FB9" w:rsidRPr="00834E3E" w14:paraId="7FD772BA"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5ED78147"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Release Herbicide Heavy</w:t>
            </w:r>
          </w:p>
        </w:tc>
        <w:tc>
          <w:tcPr>
            <w:tcW w:w="1800" w:type="dxa"/>
            <w:tcBorders>
              <w:top w:val="nil"/>
              <w:left w:val="nil"/>
              <w:bottom w:val="single" w:sz="4" w:space="0" w:color="auto"/>
              <w:right w:val="single" w:sz="4" w:space="0" w:color="auto"/>
            </w:tcBorders>
            <w:shd w:val="clear" w:color="auto" w:fill="auto"/>
            <w:noWrap/>
            <w:vAlign w:val="bottom"/>
            <w:hideMark/>
          </w:tcPr>
          <w:p w14:paraId="0C8758C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762</w:t>
            </w:r>
          </w:p>
        </w:tc>
        <w:tc>
          <w:tcPr>
            <w:tcW w:w="1890" w:type="dxa"/>
            <w:tcBorders>
              <w:top w:val="nil"/>
              <w:left w:val="nil"/>
              <w:bottom w:val="single" w:sz="4" w:space="0" w:color="auto"/>
              <w:right w:val="single" w:sz="4" w:space="0" w:color="auto"/>
            </w:tcBorders>
            <w:shd w:val="clear" w:color="auto" w:fill="auto"/>
            <w:noWrap/>
            <w:vAlign w:val="bottom"/>
            <w:hideMark/>
          </w:tcPr>
          <w:p w14:paraId="3F64EDC2"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666 #3</w:t>
            </w:r>
          </w:p>
        </w:tc>
        <w:tc>
          <w:tcPr>
            <w:tcW w:w="1170" w:type="dxa"/>
            <w:tcBorders>
              <w:top w:val="nil"/>
              <w:left w:val="nil"/>
              <w:bottom w:val="single" w:sz="4" w:space="0" w:color="auto"/>
              <w:right w:val="single" w:sz="4" w:space="0" w:color="auto"/>
            </w:tcBorders>
            <w:shd w:val="clear" w:color="auto" w:fill="auto"/>
            <w:noWrap/>
            <w:vAlign w:val="bottom"/>
            <w:hideMark/>
          </w:tcPr>
          <w:p w14:paraId="1E01F8CE"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639</w:t>
            </w:r>
          </w:p>
        </w:tc>
        <w:tc>
          <w:tcPr>
            <w:tcW w:w="1530" w:type="dxa"/>
            <w:tcBorders>
              <w:top w:val="nil"/>
              <w:left w:val="nil"/>
              <w:bottom w:val="single" w:sz="4" w:space="0" w:color="auto"/>
              <w:right w:val="single" w:sz="4" w:space="0" w:color="auto"/>
            </w:tcBorders>
            <w:shd w:val="clear" w:color="auto" w:fill="auto"/>
            <w:noWrap/>
            <w:vAlign w:val="bottom"/>
            <w:hideMark/>
          </w:tcPr>
          <w:p w14:paraId="4CB2BBB2"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123</w:t>
            </w:r>
          </w:p>
        </w:tc>
      </w:tr>
      <w:tr w:rsidR="00BA0FB9" w:rsidRPr="00834E3E" w14:paraId="4BFC637F"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07594C53"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Follow-up Light</w:t>
            </w:r>
          </w:p>
        </w:tc>
        <w:tc>
          <w:tcPr>
            <w:tcW w:w="1800" w:type="dxa"/>
            <w:tcBorders>
              <w:top w:val="nil"/>
              <w:left w:val="nil"/>
              <w:bottom w:val="single" w:sz="4" w:space="0" w:color="auto"/>
              <w:right w:val="single" w:sz="4" w:space="0" w:color="auto"/>
            </w:tcBorders>
            <w:shd w:val="clear" w:color="auto" w:fill="auto"/>
            <w:noWrap/>
            <w:vAlign w:val="bottom"/>
            <w:hideMark/>
          </w:tcPr>
          <w:p w14:paraId="07D1BE48"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436</w:t>
            </w:r>
          </w:p>
        </w:tc>
        <w:tc>
          <w:tcPr>
            <w:tcW w:w="1890" w:type="dxa"/>
            <w:tcBorders>
              <w:top w:val="nil"/>
              <w:left w:val="nil"/>
              <w:bottom w:val="single" w:sz="4" w:space="0" w:color="auto"/>
              <w:right w:val="single" w:sz="4" w:space="0" w:color="auto"/>
            </w:tcBorders>
            <w:shd w:val="clear" w:color="auto" w:fill="auto"/>
            <w:noWrap/>
            <w:vAlign w:val="bottom"/>
            <w:hideMark/>
          </w:tcPr>
          <w:p w14:paraId="147D977E"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384 #4</w:t>
            </w:r>
          </w:p>
        </w:tc>
        <w:tc>
          <w:tcPr>
            <w:tcW w:w="1170" w:type="dxa"/>
            <w:tcBorders>
              <w:top w:val="nil"/>
              <w:left w:val="nil"/>
              <w:bottom w:val="single" w:sz="4" w:space="0" w:color="auto"/>
              <w:right w:val="single" w:sz="4" w:space="0" w:color="auto"/>
            </w:tcBorders>
            <w:shd w:val="clear" w:color="auto" w:fill="auto"/>
            <w:noWrap/>
            <w:vAlign w:val="bottom"/>
            <w:hideMark/>
          </w:tcPr>
          <w:p w14:paraId="31296D41"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236</w:t>
            </w:r>
          </w:p>
        </w:tc>
        <w:tc>
          <w:tcPr>
            <w:tcW w:w="1530" w:type="dxa"/>
            <w:tcBorders>
              <w:top w:val="nil"/>
              <w:left w:val="nil"/>
              <w:bottom w:val="single" w:sz="4" w:space="0" w:color="auto"/>
              <w:right w:val="single" w:sz="4" w:space="0" w:color="auto"/>
            </w:tcBorders>
            <w:shd w:val="clear" w:color="auto" w:fill="auto"/>
            <w:noWrap/>
            <w:vAlign w:val="bottom"/>
            <w:hideMark/>
          </w:tcPr>
          <w:p w14:paraId="1D511E19"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200</w:t>
            </w:r>
          </w:p>
        </w:tc>
      </w:tr>
      <w:tr w:rsidR="00BA0FB9" w:rsidRPr="00834E3E" w14:paraId="478C74C3"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2C81E4BE"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Follow-up Moderate</w:t>
            </w:r>
          </w:p>
        </w:tc>
        <w:tc>
          <w:tcPr>
            <w:tcW w:w="1800" w:type="dxa"/>
            <w:tcBorders>
              <w:top w:val="nil"/>
              <w:left w:val="nil"/>
              <w:bottom w:val="single" w:sz="4" w:space="0" w:color="auto"/>
              <w:right w:val="single" w:sz="4" w:space="0" w:color="auto"/>
            </w:tcBorders>
            <w:shd w:val="clear" w:color="auto" w:fill="auto"/>
            <w:noWrap/>
            <w:vAlign w:val="bottom"/>
            <w:hideMark/>
          </w:tcPr>
          <w:p w14:paraId="0E310C31" w14:textId="1FC4E5A3" w:rsidR="00BA0FB9" w:rsidRPr="00834E3E" w:rsidRDefault="00BA0FB9" w:rsidP="00215509">
            <w:pPr>
              <w:spacing w:line="240" w:lineRule="auto"/>
              <w:rPr>
                <w:rFonts w:cs="Arial"/>
                <w:color w:val="000000"/>
                <w:sz w:val="22"/>
                <w:szCs w:val="22"/>
              </w:rPr>
            </w:pPr>
            <w:r w:rsidRPr="00834E3E">
              <w:rPr>
                <w:rFonts w:cs="Arial"/>
                <w:color w:val="000000"/>
                <w:sz w:val="22"/>
                <w:szCs w:val="22"/>
              </w:rPr>
              <w:t>7</w:t>
            </w:r>
            <w:r w:rsidR="00455246">
              <w:rPr>
                <w:rFonts w:cs="Arial"/>
                <w:color w:val="000000"/>
                <w:sz w:val="22"/>
                <w:szCs w:val="22"/>
              </w:rPr>
              <w:t>62</w:t>
            </w:r>
          </w:p>
        </w:tc>
        <w:tc>
          <w:tcPr>
            <w:tcW w:w="1890" w:type="dxa"/>
            <w:tcBorders>
              <w:top w:val="nil"/>
              <w:left w:val="nil"/>
              <w:bottom w:val="single" w:sz="4" w:space="0" w:color="auto"/>
              <w:right w:val="single" w:sz="4" w:space="0" w:color="auto"/>
            </w:tcBorders>
            <w:shd w:val="clear" w:color="auto" w:fill="auto"/>
            <w:noWrap/>
            <w:vAlign w:val="bottom"/>
            <w:hideMark/>
          </w:tcPr>
          <w:p w14:paraId="0AAD6C00"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N/A</w:t>
            </w:r>
          </w:p>
        </w:tc>
        <w:tc>
          <w:tcPr>
            <w:tcW w:w="1170" w:type="dxa"/>
            <w:tcBorders>
              <w:top w:val="nil"/>
              <w:left w:val="nil"/>
              <w:bottom w:val="single" w:sz="4" w:space="0" w:color="auto"/>
              <w:right w:val="single" w:sz="4" w:space="0" w:color="auto"/>
            </w:tcBorders>
            <w:shd w:val="clear" w:color="auto" w:fill="auto"/>
            <w:noWrap/>
            <w:vAlign w:val="bottom"/>
            <w:hideMark/>
          </w:tcPr>
          <w:p w14:paraId="3A14F851"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 </w:t>
            </w:r>
          </w:p>
        </w:tc>
        <w:tc>
          <w:tcPr>
            <w:tcW w:w="1530" w:type="dxa"/>
            <w:tcBorders>
              <w:top w:val="nil"/>
              <w:left w:val="nil"/>
              <w:bottom w:val="single" w:sz="4" w:space="0" w:color="auto"/>
              <w:right w:val="single" w:sz="4" w:space="0" w:color="auto"/>
            </w:tcBorders>
            <w:shd w:val="clear" w:color="auto" w:fill="auto"/>
            <w:noWrap/>
            <w:vAlign w:val="bottom"/>
            <w:hideMark/>
          </w:tcPr>
          <w:p w14:paraId="51871DBB"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N/A</w:t>
            </w:r>
          </w:p>
        </w:tc>
      </w:tr>
      <w:tr w:rsidR="00BA0FB9" w:rsidRPr="00834E3E" w14:paraId="64CC8C7F" w14:textId="77777777" w:rsidTr="00215509">
        <w:trPr>
          <w:trHeight w:val="285"/>
        </w:trPr>
        <w:tc>
          <w:tcPr>
            <w:tcW w:w="3060" w:type="dxa"/>
            <w:tcBorders>
              <w:top w:val="nil"/>
              <w:left w:val="single" w:sz="4" w:space="0" w:color="auto"/>
              <w:bottom w:val="single" w:sz="4" w:space="0" w:color="auto"/>
              <w:right w:val="single" w:sz="4" w:space="0" w:color="auto"/>
            </w:tcBorders>
            <w:shd w:val="clear" w:color="auto" w:fill="auto"/>
            <w:noWrap/>
            <w:vAlign w:val="bottom"/>
            <w:hideMark/>
          </w:tcPr>
          <w:p w14:paraId="726830E8"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Follow-up Heavy</w:t>
            </w:r>
          </w:p>
        </w:tc>
        <w:tc>
          <w:tcPr>
            <w:tcW w:w="1800" w:type="dxa"/>
            <w:tcBorders>
              <w:top w:val="nil"/>
              <w:left w:val="nil"/>
              <w:bottom w:val="single" w:sz="4" w:space="0" w:color="auto"/>
              <w:right w:val="single" w:sz="4" w:space="0" w:color="auto"/>
            </w:tcBorders>
            <w:shd w:val="clear" w:color="auto" w:fill="auto"/>
            <w:noWrap/>
            <w:vAlign w:val="bottom"/>
            <w:hideMark/>
          </w:tcPr>
          <w:p w14:paraId="22292CD8" w14:textId="29AD3FBF" w:rsidR="00BA0FB9" w:rsidRPr="00834E3E" w:rsidRDefault="00BA0FB9" w:rsidP="00215509">
            <w:pPr>
              <w:spacing w:line="240" w:lineRule="auto"/>
              <w:rPr>
                <w:rFonts w:cs="Arial"/>
                <w:color w:val="000000"/>
                <w:sz w:val="22"/>
                <w:szCs w:val="22"/>
              </w:rPr>
            </w:pPr>
            <w:r w:rsidRPr="00834E3E">
              <w:rPr>
                <w:rFonts w:cs="Arial"/>
                <w:color w:val="000000"/>
                <w:sz w:val="22"/>
                <w:szCs w:val="22"/>
              </w:rPr>
              <w:t>10</w:t>
            </w:r>
            <w:r w:rsidR="00455246">
              <w:rPr>
                <w:rFonts w:cs="Arial"/>
                <w:color w:val="000000"/>
                <w:sz w:val="22"/>
                <w:szCs w:val="22"/>
              </w:rPr>
              <w:t>89</w:t>
            </w:r>
          </w:p>
        </w:tc>
        <w:tc>
          <w:tcPr>
            <w:tcW w:w="1890" w:type="dxa"/>
            <w:tcBorders>
              <w:top w:val="nil"/>
              <w:left w:val="nil"/>
              <w:bottom w:val="single" w:sz="4" w:space="0" w:color="auto"/>
              <w:right w:val="single" w:sz="4" w:space="0" w:color="auto"/>
            </w:tcBorders>
            <w:shd w:val="clear" w:color="auto" w:fill="auto"/>
            <w:noWrap/>
            <w:vAlign w:val="bottom"/>
            <w:hideMark/>
          </w:tcPr>
          <w:p w14:paraId="20AA17FD"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384 #6</w:t>
            </w:r>
          </w:p>
        </w:tc>
        <w:tc>
          <w:tcPr>
            <w:tcW w:w="1170" w:type="dxa"/>
            <w:tcBorders>
              <w:top w:val="nil"/>
              <w:left w:val="nil"/>
              <w:bottom w:val="single" w:sz="4" w:space="0" w:color="auto"/>
              <w:right w:val="single" w:sz="4" w:space="0" w:color="auto"/>
            </w:tcBorders>
            <w:shd w:val="clear" w:color="auto" w:fill="auto"/>
            <w:noWrap/>
            <w:vAlign w:val="bottom"/>
            <w:hideMark/>
          </w:tcPr>
          <w:p w14:paraId="3866FD42" w14:textId="77777777" w:rsidR="00BA0FB9" w:rsidRPr="00834E3E" w:rsidRDefault="00BA0FB9" w:rsidP="00215509">
            <w:pPr>
              <w:spacing w:line="240" w:lineRule="auto"/>
              <w:rPr>
                <w:rFonts w:cs="Arial"/>
                <w:color w:val="000000"/>
                <w:sz w:val="22"/>
                <w:szCs w:val="22"/>
              </w:rPr>
            </w:pPr>
            <w:r w:rsidRPr="00834E3E">
              <w:rPr>
                <w:rFonts w:cs="Arial"/>
                <w:color w:val="000000"/>
                <w:sz w:val="22"/>
                <w:szCs w:val="22"/>
              </w:rPr>
              <w:t>1029</w:t>
            </w:r>
          </w:p>
        </w:tc>
        <w:tc>
          <w:tcPr>
            <w:tcW w:w="1530" w:type="dxa"/>
            <w:tcBorders>
              <w:top w:val="nil"/>
              <w:left w:val="nil"/>
              <w:bottom w:val="single" w:sz="4" w:space="0" w:color="auto"/>
              <w:right w:val="single" w:sz="4" w:space="0" w:color="auto"/>
            </w:tcBorders>
            <w:shd w:val="clear" w:color="auto" w:fill="auto"/>
            <w:noWrap/>
            <w:vAlign w:val="bottom"/>
            <w:hideMark/>
          </w:tcPr>
          <w:p w14:paraId="620E973B" w14:textId="542D0656" w:rsidR="00BA0FB9" w:rsidRPr="00834E3E" w:rsidRDefault="00762265" w:rsidP="00215509">
            <w:pPr>
              <w:spacing w:line="240" w:lineRule="auto"/>
              <w:rPr>
                <w:rFonts w:cs="Arial"/>
                <w:color w:val="000000"/>
                <w:sz w:val="22"/>
                <w:szCs w:val="22"/>
              </w:rPr>
            </w:pPr>
            <w:r>
              <w:rPr>
                <w:rFonts w:cs="Arial"/>
                <w:color w:val="000000"/>
                <w:sz w:val="22"/>
                <w:szCs w:val="22"/>
              </w:rPr>
              <w:t>60</w:t>
            </w:r>
          </w:p>
        </w:tc>
      </w:tr>
    </w:tbl>
    <w:p w14:paraId="0B599994" w14:textId="77777777" w:rsidR="00BA0FB9" w:rsidRDefault="00BA0FB9" w:rsidP="00BA0FB9">
      <w:pPr>
        <w:tabs>
          <w:tab w:val="left" w:pos="-720"/>
          <w:tab w:val="left" w:pos="1320"/>
        </w:tabs>
        <w:suppressAutoHyphens/>
        <w:spacing w:line="240" w:lineRule="exact"/>
        <w:rPr>
          <w:spacing w:val="-3"/>
          <w:szCs w:val="24"/>
        </w:rPr>
      </w:pPr>
    </w:p>
    <w:p w14:paraId="1ABC4E5F" w14:textId="77777777" w:rsidR="00C71194" w:rsidRDefault="00C71194" w:rsidP="00C71194">
      <w:pPr>
        <w:tabs>
          <w:tab w:val="left" w:pos="-720"/>
          <w:tab w:val="left" w:pos="1320"/>
        </w:tabs>
        <w:suppressAutoHyphens/>
        <w:spacing w:line="240" w:lineRule="exact"/>
        <w:rPr>
          <w:spacing w:val="-3"/>
          <w:szCs w:val="24"/>
        </w:rPr>
      </w:pPr>
      <w:r w:rsidRPr="00251D5A">
        <w:rPr>
          <w:spacing w:val="-3"/>
          <w:szCs w:val="24"/>
        </w:rPr>
        <w:t>As per 14 CCR § 1530.1, by April 15 each fiscal year, the Director shall submit to the Board for its review a schedule of the prevailing costs of performing the practices eligible for cost sharing payments in various regions of the state. The schedule shall apply to all cost sharing agreements signed in the next fiscal year. At any time, the Director may submit amendments in the schedule to the Board for its review; such changes shall become effective upon Board approval or 75 days after submission to the Board unless the Board acts to change such amendments.</w:t>
      </w:r>
    </w:p>
    <w:p w14:paraId="451747C9" w14:textId="77777777" w:rsidR="00C71194" w:rsidRDefault="00C71194" w:rsidP="00C71194">
      <w:pPr>
        <w:tabs>
          <w:tab w:val="left" w:pos="-720"/>
          <w:tab w:val="left" w:pos="1320"/>
        </w:tabs>
        <w:suppressAutoHyphens/>
        <w:spacing w:line="240" w:lineRule="exact"/>
        <w:rPr>
          <w:spacing w:val="-3"/>
          <w:szCs w:val="24"/>
        </w:rPr>
      </w:pPr>
    </w:p>
    <w:p w14:paraId="2929C97B" w14:textId="77777777" w:rsidR="00C71194" w:rsidRDefault="00C71194" w:rsidP="00C71194">
      <w:pPr>
        <w:tabs>
          <w:tab w:val="left" w:pos="-720"/>
          <w:tab w:val="left" w:pos="1320"/>
        </w:tabs>
        <w:suppressAutoHyphens/>
        <w:spacing w:line="240" w:lineRule="exact"/>
        <w:rPr>
          <w:spacing w:val="-3"/>
          <w:szCs w:val="24"/>
        </w:rPr>
      </w:pPr>
      <w:r>
        <w:rPr>
          <w:spacing w:val="-3"/>
          <w:szCs w:val="24"/>
        </w:rPr>
        <w:t>The Wildfire Resilience Program has made this initial rate adjustment proposal to allow for immediate relief from inflationary pressures, while allowing for additional time to delve deeper into the cap rates. This will allow the program to adequately assess pressures impacting operators and professional availability, and potentially propose a future adjustment depending on the outcome of the detailed review.</w:t>
      </w:r>
    </w:p>
    <w:p w14:paraId="432336E5" w14:textId="77777777" w:rsidR="00C71194" w:rsidRDefault="00C71194" w:rsidP="00C71194">
      <w:pPr>
        <w:tabs>
          <w:tab w:val="left" w:pos="-720"/>
          <w:tab w:val="left" w:pos="1320"/>
        </w:tabs>
        <w:suppressAutoHyphens/>
        <w:spacing w:line="240" w:lineRule="exact"/>
        <w:rPr>
          <w:spacing w:val="-3"/>
          <w:szCs w:val="24"/>
        </w:rPr>
      </w:pPr>
    </w:p>
    <w:p w14:paraId="38FDC669" w14:textId="77777777" w:rsidR="00C71194" w:rsidRDefault="00C71194" w:rsidP="00C71194">
      <w:pPr>
        <w:tabs>
          <w:tab w:val="left" w:pos="-720"/>
          <w:tab w:val="left" w:pos="1320"/>
        </w:tabs>
        <w:suppressAutoHyphens/>
        <w:spacing w:line="240" w:lineRule="exact"/>
        <w:rPr>
          <w:spacing w:val="-3"/>
          <w:szCs w:val="24"/>
        </w:rPr>
      </w:pPr>
      <w:r>
        <w:rPr>
          <w:spacing w:val="-3"/>
          <w:szCs w:val="24"/>
        </w:rPr>
        <w:t>The Department requests that the attached cost share rates be approved and made effective July 1, 2022.</w:t>
      </w:r>
    </w:p>
    <w:p w14:paraId="1A1E757C" w14:textId="5C840287" w:rsidR="00915258" w:rsidRDefault="00915258" w:rsidP="00915258">
      <w:pPr>
        <w:pStyle w:val="Title"/>
        <w:tabs>
          <w:tab w:val="left" w:pos="9990"/>
        </w:tabs>
        <w:ind w:right="720"/>
      </w:pPr>
      <w:r>
        <w:t>2022 CFIP Cap Rates</w:t>
      </w:r>
    </w:p>
    <w:p w14:paraId="1D8DDE94" w14:textId="77777777" w:rsidR="00915258" w:rsidRPr="00D36092" w:rsidRDefault="00915258" w:rsidP="00915258">
      <w:pPr>
        <w:pStyle w:val="Heading1"/>
        <w:tabs>
          <w:tab w:val="left" w:pos="9990"/>
        </w:tabs>
        <w:ind w:right="720"/>
      </w:pPr>
      <w:r w:rsidRPr="00D36092">
        <w:t>Understanding the CFIP Cap Rates</w:t>
      </w:r>
    </w:p>
    <w:p w14:paraId="66A0A702" w14:textId="59C4FCB5" w:rsidR="00915258" w:rsidRPr="00D36092" w:rsidRDefault="00915258" w:rsidP="00915258">
      <w:pPr>
        <w:tabs>
          <w:tab w:val="left" w:pos="9990"/>
        </w:tabs>
        <w:spacing w:after="240"/>
        <w:ind w:right="720"/>
      </w:pPr>
      <w:r w:rsidRPr="00D36092">
        <w:t>CFIP cap rates for the 202</w:t>
      </w:r>
      <w:r>
        <w:t>1</w:t>
      </w:r>
      <w:r w:rsidRPr="00D36092">
        <w:t>-202</w:t>
      </w:r>
      <w:r>
        <w:t>2</w:t>
      </w:r>
      <w:r w:rsidRPr="00D36092">
        <w:t xml:space="preserve"> fiscal year rates are listed on the following pages. Some general information is described below, but for more detailed instructions please refer to the CFIP User’s Guide</w:t>
      </w:r>
      <w:r w:rsidR="00C65C58">
        <w:t>.</w:t>
      </w:r>
    </w:p>
    <w:p w14:paraId="3C33F05D" w14:textId="77777777" w:rsidR="00915258" w:rsidRPr="003A76A1" w:rsidRDefault="00915258" w:rsidP="00915258">
      <w:pPr>
        <w:tabs>
          <w:tab w:val="left" w:pos="9990"/>
        </w:tabs>
        <w:spacing w:after="240"/>
        <w:ind w:right="720"/>
      </w:pPr>
      <w:r w:rsidRPr="00D36092">
        <w:t xml:space="preserve">Several CFIP practices have multiple allowable rates depending on site conditions. Rates requested must be justified in the Project Description portion of the application and approved by the project FAS. For guidance in </w:t>
      </w:r>
      <w:r w:rsidRPr="003A76A1">
        <w:t>determining the appropriate cap rate for your site, please refer to the CFIP User’s Guide description of that practice.</w:t>
      </w:r>
    </w:p>
    <w:p w14:paraId="2F98E432" w14:textId="77777777" w:rsidR="00915258" w:rsidRPr="00D36092" w:rsidRDefault="00915258" w:rsidP="00915258">
      <w:pPr>
        <w:tabs>
          <w:tab w:val="left" w:pos="9990"/>
        </w:tabs>
        <w:spacing w:after="240"/>
        <w:ind w:right="720"/>
      </w:pPr>
      <w:r w:rsidRPr="003A76A1">
        <w:t>The cap rates are separated by contractor labor (page 2) versus self-labor (pages 4-6).</w:t>
      </w:r>
      <w:bookmarkStart w:id="4" w:name="_Hlk517771729"/>
      <w:r w:rsidRPr="003A76A1">
        <w:t xml:space="preserve"> Self-labor may be performed by the landowner, their family members, and/or direct employees, and must be explained and justified in the project description</w:t>
      </w:r>
      <w:bookmarkEnd w:id="4"/>
      <w:r w:rsidRPr="003A76A1">
        <w:t>. The CFIP contract will specify either the contractor or self-labor cap for each proposed practice. Self-labor and contract labor may both be used on the same project, but not on the same practice. Changing the labor</w:t>
      </w:r>
      <w:r w:rsidRPr="00D36092">
        <w:t xml:space="preserve"> type for a practice must be </w:t>
      </w:r>
      <w:r>
        <w:t>approved by both the FAS administering the Grant and the Stewardship Forester prior to submitting an amendment to the contract.</w:t>
      </w:r>
    </w:p>
    <w:p w14:paraId="177725C9" w14:textId="77777777" w:rsidR="00915258" w:rsidRPr="00D36092" w:rsidRDefault="00915258" w:rsidP="00915258">
      <w:pPr>
        <w:tabs>
          <w:tab w:val="left" w:pos="9990"/>
        </w:tabs>
        <w:spacing w:after="240"/>
        <w:ind w:right="720"/>
      </w:pPr>
      <w:r w:rsidRPr="00D36092">
        <w:t xml:space="preserve">If the cost of a project practice exceeds the listed maximum cap rate, the landowner must pay the difference, regardless of the cost-share cap rate chosen. </w:t>
      </w:r>
    </w:p>
    <w:p w14:paraId="50F15EC5" w14:textId="751F87EA" w:rsidR="00915258" w:rsidRPr="00D36092" w:rsidRDefault="00915258" w:rsidP="00915258">
      <w:pPr>
        <w:tabs>
          <w:tab w:val="left" w:pos="9990"/>
        </w:tabs>
        <w:spacing w:after="240"/>
        <w:ind w:right="720"/>
      </w:pPr>
      <w:r w:rsidRPr="00D36092">
        <w:t xml:space="preserve">The maximum state cost-share, i.e. maximum reimbursement to the landowner, will be determined by </w:t>
      </w:r>
      <w:r w:rsidR="00C71194">
        <w:t>the</w:t>
      </w:r>
      <w:r w:rsidRPr="00D36092">
        <w:t xml:space="preserve"> CAL FIRE FAS and will be either 90% or 75% of the cap rate.</w:t>
      </w:r>
    </w:p>
    <w:p w14:paraId="56CD81BC" w14:textId="77777777" w:rsidR="00915258" w:rsidRPr="00D36092" w:rsidRDefault="00915258" w:rsidP="00915258">
      <w:pPr>
        <w:tabs>
          <w:tab w:val="left" w:pos="9990"/>
        </w:tabs>
        <w:spacing w:after="240"/>
        <w:ind w:right="720"/>
      </w:pPr>
      <w:r w:rsidRPr="00D36092">
        <w:t>The 90% cost share rate will apply to the following:</w:t>
      </w:r>
    </w:p>
    <w:p w14:paraId="24F6DECB" w14:textId="77777777" w:rsidR="00915258" w:rsidRPr="00D36092" w:rsidRDefault="00915258" w:rsidP="00915258">
      <w:pPr>
        <w:pStyle w:val="ListParagraph"/>
        <w:numPr>
          <w:ilvl w:val="0"/>
          <w:numId w:val="3"/>
        </w:numPr>
        <w:tabs>
          <w:tab w:val="left" w:pos="9990"/>
        </w:tabs>
        <w:spacing w:after="240" w:line="259" w:lineRule="auto"/>
        <w:ind w:right="720"/>
        <w:contextualSpacing w:val="0"/>
        <w:jc w:val="both"/>
      </w:pPr>
      <w:r w:rsidRPr="00D36092">
        <w:t>All projects on substantially damaged timberland where wildfire, insects, disease, wind, flood, or other blight caused by an act of God occurs after January 1, 1976 and the damage reduced stocking below the requirements of the Forest Practice Act. Your Registered Professional Forester (RPF) can help you determine if your project qualifies as substantially damaged. RPF’s are licensed professionals who are familiar with all aspects of forest management, and have a working knowledge of applicable State and local regulations.</w:t>
      </w:r>
    </w:p>
    <w:p w14:paraId="2DCDCEE4" w14:textId="77777777" w:rsidR="00915258" w:rsidRDefault="00915258" w:rsidP="00915258">
      <w:pPr>
        <w:pStyle w:val="ListParagraph"/>
        <w:numPr>
          <w:ilvl w:val="0"/>
          <w:numId w:val="3"/>
        </w:numPr>
        <w:tabs>
          <w:tab w:val="left" w:pos="9990"/>
        </w:tabs>
        <w:spacing w:after="240" w:line="259" w:lineRule="auto"/>
        <w:ind w:right="720"/>
        <w:contextualSpacing w:val="0"/>
        <w:jc w:val="both"/>
      </w:pPr>
      <w:r w:rsidRPr="00D36092">
        <w:t>Landowners owning 500 acres or less of forestland in California.</w:t>
      </w:r>
    </w:p>
    <w:p w14:paraId="4B86BCB2" w14:textId="77777777" w:rsidR="00915258" w:rsidRDefault="00915258" w:rsidP="00915258">
      <w:pPr>
        <w:tabs>
          <w:tab w:val="left" w:pos="9990"/>
        </w:tabs>
        <w:ind w:right="720"/>
      </w:pPr>
      <w:r>
        <w:br w:type="page"/>
      </w:r>
    </w:p>
    <w:p w14:paraId="0B01D787" w14:textId="77777777" w:rsidR="00915258" w:rsidRPr="00416C71" w:rsidRDefault="00915258" w:rsidP="00915258">
      <w:pPr>
        <w:pStyle w:val="Heading1"/>
        <w:tabs>
          <w:tab w:val="left" w:pos="9990"/>
        </w:tabs>
        <w:ind w:right="720"/>
      </w:pPr>
      <w:r w:rsidRPr="00416C71">
        <w:lastRenderedPageBreak/>
        <w:t>Contractor Labor Cap Rates</w:t>
      </w:r>
    </w:p>
    <w:p w14:paraId="60B607DE"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Full Management Plan</w:t>
      </w:r>
      <w:r w:rsidRPr="00CB05BA">
        <w:rPr>
          <w:rFonts w:cs="Arial"/>
          <w:szCs w:val="24"/>
        </w:rPr>
        <w:t>:</w:t>
      </w:r>
    </w:p>
    <w:p w14:paraId="4258C7D5"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$5,</w:t>
      </w:r>
      <w:r>
        <w:rPr>
          <w:rFonts w:cs="Arial"/>
          <w:szCs w:val="24"/>
        </w:rPr>
        <w:t>445</w:t>
      </w:r>
      <w:r w:rsidRPr="00CB05BA">
        <w:rPr>
          <w:rFonts w:cs="Arial"/>
          <w:szCs w:val="24"/>
        </w:rPr>
        <w:t xml:space="preserve"> plus $3 per acre for the first 160 acres, and $2.50 for each additional acre up to 1,000 acres.</w:t>
      </w:r>
    </w:p>
    <w:p w14:paraId="62F71DB4"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The cap rate for plans larger than 1,000 acres will be negotiated with the CAL FIRE FAS</w:t>
      </w:r>
    </w:p>
    <w:p w14:paraId="3D3B6EBD"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Mini Management Plan, Existing Plan Revision, Archaeology, or additional Plan Addendum</w:t>
      </w:r>
      <w:r w:rsidRPr="00CB05BA">
        <w:rPr>
          <w:rFonts w:cs="Arial"/>
          <w:szCs w:val="24"/>
        </w:rPr>
        <w:t>: $1,</w:t>
      </w:r>
      <w:r>
        <w:rPr>
          <w:rFonts w:cs="Arial"/>
          <w:szCs w:val="24"/>
        </w:rPr>
        <w:t>906</w:t>
      </w:r>
      <w:r w:rsidRPr="00CB05BA">
        <w:rPr>
          <w:rFonts w:cs="Arial"/>
          <w:szCs w:val="24"/>
        </w:rPr>
        <w:t xml:space="preserve"> plus $1.40 per acre.</w:t>
      </w:r>
    </w:p>
    <w:p w14:paraId="2C14152A"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RPF Supervision</w:t>
      </w:r>
      <w:r w:rsidRPr="00CB05BA">
        <w:rPr>
          <w:rFonts w:cs="Arial"/>
          <w:szCs w:val="24"/>
        </w:rPr>
        <w:t>: $1</w:t>
      </w:r>
      <w:r>
        <w:rPr>
          <w:rFonts w:cs="Arial"/>
          <w:szCs w:val="24"/>
        </w:rPr>
        <w:t>63</w:t>
      </w:r>
      <w:r w:rsidRPr="00CB05BA">
        <w:rPr>
          <w:rFonts w:cs="Arial"/>
          <w:szCs w:val="24"/>
        </w:rPr>
        <w:t xml:space="preserve"> per acre for the first 20 acres, and $</w:t>
      </w:r>
      <w:r>
        <w:rPr>
          <w:rFonts w:cs="Arial"/>
          <w:szCs w:val="24"/>
        </w:rPr>
        <w:t>82</w:t>
      </w:r>
      <w:r w:rsidRPr="00CB05BA">
        <w:rPr>
          <w:rFonts w:cs="Arial"/>
          <w:szCs w:val="24"/>
        </w:rPr>
        <w:t xml:space="preserve"> per acre for each additional acre.</w:t>
      </w:r>
    </w:p>
    <w:p w14:paraId="197CB132"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Site Preparation</w:t>
      </w:r>
      <w:r w:rsidRPr="00CB05BA">
        <w:rPr>
          <w:rFonts w:cs="Arial"/>
          <w:szCs w:val="24"/>
        </w:rPr>
        <w:t>:</w:t>
      </w:r>
    </w:p>
    <w:p w14:paraId="5FA682D6"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w:t>
      </w:r>
      <w:r>
        <w:rPr>
          <w:rFonts w:cs="Arial"/>
          <w:szCs w:val="24"/>
        </w:rPr>
        <w:t>381</w:t>
      </w:r>
    </w:p>
    <w:p w14:paraId="11F62403"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w:t>
      </w:r>
      <w:r>
        <w:rPr>
          <w:rFonts w:cs="Arial"/>
          <w:szCs w:val="24"/>
        </w:rPr>
        <w:t>545</w:t>
      </w:r>
    </w:p>
    <w:p w14:paraId="2AD03985"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Heavy: $8</w:t>
      </w:r>
      <w:r>
        <w:rPr>
          <w:rFonts w:cs="Arial"/>
          <w:szCs w:val="24"/>
        </w:rPr>
        <w:t>71</w:t>
      </w:r>
    </w:p>
    <w:p w14:paraId="113B6029"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Trees &amp; Planting</w:t>
      </w:r>
      <w:r w:rsidRPr="00CB05BA">
        <w:rPr>
          <w:rFonts w:cs="Arial"/>
          <w:szCs w:val="24"/>
        </w:rPr>
        <w:t>:</w:t>
      </w:r>
    </w:p>
    <w:p w14:paraId="2DE4CB41"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$2</w:t>
      </w:r>
      <w:r>
        <w:rPr>
          <w:rFonts w:cs="Arial"/>
          <w:szCs w:val="24"/>
        </w:rPr>
        <w:t>45</w:t>
      </w:r>
    </w:p>
    <w:p w14:paraId="3D564598"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$3</w:t>
      </w:r>
      <w:r>
        <w:rPr>
          <w:rFonts w:cs="Arial"/>
          <w:szCs w:val="24"/>
        </w:rPr>
        <w:t>81</w:t>
      </w:r>
    </w:p>
    <w:p w14:paraId="31B8AEE9"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Heavy: $5</w:t>
      </w:r>
      <w:r>
        <w:rPr>
          <w:rFonts w:cs="Arial"/>
          <w:szCs w:val="24"/>
        </w:rPr>
        <w:t>99</w:t>
      </w:r>
    </w:p>
    <w:p w14:paraId="151B008E"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Tree Shelters</w:t>
      </w:r>
      <w:r w:rsidRPr="00CB05BA">
        <w:rPr>
          <w:rFonts w:cs="Arial"/>
          <w:szCs w:val="24"/>
        </w:rPr>
        <w:t>: $</w:t>
      </w:r>
      <w:r>
        <w:rPr>
          <w:rFonts w:cs="Arial"/>
          <w:szCs w:val="24"/>
        </w:rPr>
        <w:t>381</w:t>
      </w:r>
    </w:p>
    <w:p w14:paraId="47F10E3E"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Pre-commercial Thinning and/or Mechanical Release</w:t>
      </w:r>
      <w:r w:rsidRPr="00CB05BA">
        <w:rPr>
          <w:rFonts w:cs="Arial"/>
          <w:szCs w:val="24"/>
        </w:rPr>
        <w:t>:</w:t>
      </w:r>
    </w:p>
    <w:p w14:paraId="05BC4561"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$3</w:t>
      </w:r>
      <w:r>
        <w:rPr>
          <w:rFonts w:cs="Arial"/>
          <w:szCs w:val="24"/>
        </w:rPr>
        <w:t>81</w:t>
      </w:r>
    </w:p>
    <w:p w14:paraId="22BE6073"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$5</w:t>
      </w:r>
      <w:r>
        <w:rPr>
          <w:rFonts w:cs="Arial"/>
          <w:szCs w:val="24"/>
        </w:rPr>
        <w:t>45</w:t>
      </w:r>
    </w:p>
    <w:p w14:paraId="7C86D6D1"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Heavy: $8</w:t>
      </w:r>
      <w:r>
        <w:rPr>
          <w:rFonts w:cs="Arial"/>
          <w:szCs w:val="24"/>
        </w:rPr>
        <w:t>71</w:t>
      </w:r>
    </w:p>
    <w:p w14:paraId="5BEC1539"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Note that disposal of slash generated by the Thinning and Mechanical Release practices must meet minimum Fire Hazard Reduction Standards per Forest Practice Act, and will not be considered a follow-up practice eligible for reimbursement.</w:t>
      </w:r>
    </w:p>
    <w:p w14:paraId="0AF70AF2"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Pruning</w:t>
      </w:r>
      <w:r w:rsidRPr="00CB05BA">
        <w:rPr>
          <w:rFonts w:cs="Arial"/>
          <w:szCs w:val="24"/>
        </w:rPr>
        <w:t>:</w:t>
      </w:r>
    </w:p>
    <w:p w14:paraId="426B9438"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$2</w:t>
      </w:r>
      <w:r>
        <w:rPr>
          <w:rFonts w:cs="Arial"/>
          <w:szCs w:val="24"/>
        </w:rPr>
        <w:t>18</w:t>
      </w:r>
      <w:r w:rsidRPr="00CB05BA">
        <w:rPr>
          <w:rFonts w:cs="Arial"/>
          <w:szCs w:val="24"/>
        </w:rPr>
        <w:t xml:space="preserve"> for 50 trees pruned per acre</w:t>
      </w:r>
    </w:p>
    <w:p w14:paraId="34220BED"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$3</w:t>
      </w:r>
      <w:r>
        <w:rPr>
          <w:rFonts w:cs="Arial"/>
          <w:szCs w:val="24"/>
        </w:rPr>
        <w:t>81</w:t>
      </w:r>
      <w:r w:rsidRPr="00CB05BA">
        <w:rPr>
          <w:rFonts w:cs="Arial"/>
          <w:szCs w:val="24"/>
        </w:rPr>
        <w:t xml:space="preserve"> for 100 trees pruned per acre</w:t>
      </w:r>
    </w:p>
    <w:p w14:paraId="193045F0"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$4</w:t>
      </w:r>
      <w:r>
        <w:rPr>
          <w:rFonts w:cs="Arial"/>
          <w:szCs w:val="24"/>
        </w:rPr>
        <w:t>90</w:t>
      </w:r>
      <w:r w:rsidRPr="00CB05BA">
        <w:rPr>
          <w:rFonts w:cs="Arial"/>
          <w:szCs w:val="24"/>
        </w:rPr>
        <w:t xml:space="preserve"> for 150 trees pruned per acre</w:t>
      </w:r>
    </w:p>
    <w:p w14:paraId="6BF7BC8F"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Note that disposal of slash generated by the Pruning must meet minimum Fire Hazard Reduction Standards per Forest Practice Act, and will not be considered a follow-up practice eligible for reimbursement.</w:t>
      </w:r>
    </w:p>
    <w:p w14:paraId="1A09B8E1"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Release-Other</w:t>
      </w:r>
      <w:r w:rsidRPr="00CB05BA">
        <w:rPr>
          <w:rFonts w:cs="Arial"/>
          <w:szCs w:val="24"/>
        </w:rPr>
        <w:t>:</w:t>
      </w:r>
    </w:p>
    <w:p w14:paraId="02065E31"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$2</w:t>
      </w:r>
      <w:r>
        <w:rPr>
          <w:rFonts w:cs="Arial"/>
          <w:szCs w:val="24"/>
        </w:rPr>
        <w:t>72</w:t>
      </w:r>
    </w:p>
    <w:p w14:paraId="49583818"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$4</w:t>
      </w:r>
      <w:r>
        <w:rPr>
          <w:rFonts w:cs="Arial"/>
          <w:szCs w:val="24"/>
        </w:rPr>
        <w:t>36</w:t>
      </w:r>
    </w:p>
    <w:p w14:paraId="586CD6B3"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Heavy: $7</w:t>
      </w:r>
      <w:r>
        <w:rPr>
          <w:rFonts w:cs="Arial"/>
          <w:szCs w:val="24"/>
        </w:rPr>
        <w:t>62</w:t>
      </w:r>
    </w:p>
    <w:p w14:paraId="627563AC"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Follow-up</w:t>
      </w:r>
      <w:r w:rsidRPr="00CB05BA">
        <w:rPr>
          <w:rFonts w:cs="Arial"/>
          <w:szCs w:val="24"/>
        </w:rPr>
        <w:t>:</w:t>
      </w:r>
    </w:p>
    <w:p w14:paraId="4C7DA4BC"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$4</w:t>
      </w:r>
      <w:r>
        <w:rPr>
          <w:rFonts w:cs="Arial"/>
          <w:szCs w:val="24"/>
        </w:rPr>
        <w:t>36</w:t>
      </w:r>
    </w:p>
    <w:p w14:paraId="0B25A5AE"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$7</w:t>
      </w:r>
      <w:r>
        <w:rPr>
          <w:rFonts w:cs="Arial"/>
          <w:szCs w:val="24"/>
        </w:rPr>
        <w:t>62</w:t>
      </w:r>
    </w:p>
    <w:p w14:paraId="3E51AE79"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Heavy: $1,0</w:t>
      </w:r>
      <w:r>
        <w:rPr>
          <w:rFonts w:cs="Arial"/>
          <w:szCs w:val="24"/>
        </w:rPr>
        <w:t>89</w:t>
      </w:r>
    </w:p>
    <w:p w14:paraId="5E9F1C84" w14:textId="77777777" w:rsidR="00915258" w:rsidRPr="00AE2A24" w:rsidRDefault="00915258" w:rsidP="00915258">
      <w:pPr>
        <w:pStyle w:val="ListParagraph"/>
        <w:numPr>
          <w:ilvl w:val="0"/>
          <w:numId w:val="4"/>
        </w:numPr>
        <w:tabs>
          <w:tab w:val="left" w:pos="9990"/>
        </w:tabs>
        <w:spacing w:after="160" w:line="259" w:lineRule="auto"/>
        <w:ind w:right="720"/>
        <w:rPr>
          <w:rFonts w:cs="Arial"/>
          <w:szCs w:val="24"/>
        </w:rPr>
      </w:pPr>
      <w:r w:rsidRPr="00AE2A24">
        <w:rPr>
          <w:rFonts w:cs="Arial"/>
          <w:szCs w:val="24"/>
          <w:u w:val="single"/>
        </w:rPr>
        <w:t>Herbicide (site preparation, release, or follow-up)</w:t>
      </w:r>
      <w:r w:rsidRPr="00AE2A24">
        <w:rPr>
          <w:rFonts w:cs="Arial"/>
          <w:szCs w:val="24"/>
        </w:rPr>
        <w:t>:</w:t>
      </w:r>
    </w:p>
    <w:p w14:paraId="1915D583" w14:textId="77777777" w:rsidR="00915258" w:rsidRPr="00AE2A24" w:rsidRDefault="00915258" w:rsidP="00915258">
      <w:pPr>
        <w:pStyle w:val="ListParagraph"/>
        <w:numPr>
          <w:ilvl w:val="1"/>
          <w:numId w:val="4"/>
        </w:numPr>
        <w:tabs>
          <w:tab w:val="left" w:pos="9990"/>
        </w:tabs>
        <w:spacing w:after="160" w:line="259" w:lineRule="auto"/>
        <w:ind w:right="720"/>
        <w:rPr>
          <w:rFonts w:cs="Arial"/>
          <w:szCs w:val="24"/>
        </w:rPr>
      </w:pPr>
      <w:r w:rsidRPr="00AE2A24">
        <w:rPr>
          <w:rFonts w:cs="Arial"/>
          <w:szCs w:val="24"/>
        </w:rPr>
        <w:lastRenderedPageBreak/>
        <w:t>Light: $2</w:t>
      </w:r>
      <w:r>
        <w:rPr>
          <w:rFonts w:cs="Arial"/>
          <w:szCs w:val="24"/>
        </w:rPr>
        <w:t>72</w:t>
      </w:r>
    </w:p>
    <w:p w14:paraId="75ACC918" w14:textId="77777777" w:rsidR="00915258" w:rsidRPr="00AE2A24" w:rsidRDefault="00915258" w:rsidP="00915258">
      <w:pPr>
        <w:pStyle w:val="ListParagraph"/>
        <w:numPr>
          <w:ilvl w:val="1"/>
          <w:numId w:val="4"/>
        </w:numPr>
        <w:tabs>
          <w:tab w:val="left" w:pos="9990"/>
        </w:tabs>
        <w:spacing w:after="160" w:line="259" w:lineRule="auto"/>
        <w:ind w:right="720"/>
        <w:rPr>
          <w:rFonts w:cs="Arial"/>
          <w:szCs w:val="24"/>
        </w:rPr>
      </w:pPr>
      <w:r w:rsidRPr="00AE2A24">
        <w:rPr>
          <w:rFonts w:cs="Arial"/>
          <w:szCs w:val="24"/>
        </w:rPr>
        <w:t>Moderate: $4</w:t>
      </w:r>
      <w:r>
        <w:rPr>
          <w:rFonts w:cs="Arial"/>
          <w:szCs w:val="24"/>
        </w:rPr>
        <w:t>36</w:t>
      </w:r>
    </w:p>
    <w:p w14:paraId="00AB9B01" w14:textId="77777777" w:rsidR="00915258" w:rsidRPr="00AE2A24" w:rsidRDefault="00915258" w:rsidP="00915258">
      <w:pPr>
        <w:pStyle w:val="ListParagraph"/>
        <w:numPr>
          <w:ilvl w:val="1"/>
          <w:numId w:val="4"/>
        </w:numPr>
        <w:tabs>
          <w:tab w:val="left" w:pos="9990"/>
        </w:tabs>
        <w:spacing w:after="160" w:line="259" w:lineRule="auto"/>
        <w:ind w:right="720"/>
        <w:rPr>
          <w:rFonts w:cs="Arial"/>
          <w:szCs w:val="24"/>
        </w:rPr>
      </w:pPr>
      <w:r w:rsidRPr="00AE2A24">
        <w:rPr>
          <w:rFonts w:cs="Arial"/>
          <w:szCs w:val="24"/>
        </w:rPr>
        <w:t>Heavy: $7</w:t>
      </w:r>
      <w:r>
        <w:rPr>
          <w:rFonts w:cs="Arial"/>
          <w:szCs w:val="24"/>
        </w:rPr>
        <w:t>62</w:t>
      </w:r>
    </w:p>
    <w:p w14:paraId="52661D73" w14:textId="77777777" w:rsidR="00915258" w:rsidRPr="00A45852" w:rsidRDefault="00915258" w:rsidP="00915258">
      <w:pPr>
        <w:pStyle w:val="ListParagraph"/>
        <w:numPr>
          <w:ilvl w:val="0"/>
          <w:numId w:val="4"/>
        </w:numPr>
        <w:tabs>
          <w:tab w:val="left" w:pos="9990"/>
        </w:tabs>
        <w:spacing w:after="160" w:line="259" w:lineRule="auto"/>
        <w:ind w:right="720"/>
        <w:rPr>
          <w:rFonts w:cs="Arial"/>
          <w:sz w:val="20"/>
          <w:szCs w:val="24"/>
        </w:rPr>
      </w:pPr>
      <w:r w:rsidRPr="00AE2A24">
        <w:rPr>
          <w:rFonts w:cs="Arial"/>
          <w:szCs w:val="24"/>
          <w:u w:val="single"/>
        </w:rPr>
        <w:t>Land Conservation/Wildlife/Fisheries Projects</w:t>
      </w:r>
      <w:r w:rsidRPr="00AE2A24">
        <w:rPr>
          <w:rFonts w:cs="Arial"/>
          <w:szCs w:val="24"/>
        </w:rPr>
        <w:t>: Maximum allowable costs in this practice is variable and will depend on site condition, acreage, and the type of project. Costs will be evaluated based on rates used for the Natural Resource Conservation Service (NRCS) Environmental Quality</w:t>
      </w:r>
      <w:r w:rsidRPr="00CB05BA">
        <w:rPr>
          <w:rFonts w:cs="Arial"/>
          <w:szCs w:val="24"/>
        </w:rPr>
        <w:t xml:space="preserve"> Incentives Program (EQIP).</w:t>
      </w:r>
      <w:r>
        <w:br w:type="page"/>
      </w:r>
    </w:p>
    <w:p w14:paraId="3284A570" w14:textId="77777777" w:rsidR="00915258" w:rsidRPr="001A2E92" w:rsidRDefault="00915258" w:rsidP="00915258">
      <w:pPr>
        <w:pStyle w:val="Heading1"/>
        <w:tabs>
          <w:tab w:val="left" w:pos="9990"/>
        </w:tabs>
        <w:ind w:right="720"/>
      </w:pPr>
      <w:r w:rsidRPr="001A2E92">
        <w:lastRenderedPageBreak/>
        <w:t>Self-Labor Cap Rates</w:t>
      </w:r>
    </w:p>
    <w:p w14:paraId="25CB84C4"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Full Management Plan</w:t>
      </w:r>
      <w:r w:rsidRPr="00CB05BA">
        <w:rPr>
          <w:rFonts w:cs="Arial"/>
          <w:szCs w:val="24"/>
        </w:rPr>
        <w:t>: The Management Plan must be prepared by a RPF. RPFs developing a full plan or a Mini Plan on their own property will only be paid at the Mini Plan rate.</w:t>
      </w:r>
      <w:r w:rsidRPr="00CB05BA" w:rsidDel="002E0436">
        <w:rPr>
          <w:rFonts w:cs="Arial"/>
          <w:szCs w:val="24"/>
        </w:rPr>
        <w:t xml:space="preserve"> </w:t>
      </w:r>
      <w:r w:rsidRPr="00CB05BA">
        <w:rPr>
          <w:rFonts w:cs="Arial"/>
          <w:szCs w:val="24"/>
        </w:rPr>
        <w:t>RPFs developing full plans on their own property will be allowed to negotiate above the Mini Plan rate if negotiations are supported by cost estimates for paying employees who are working on plan development.</w:t>
      </w:r>
    </w:p>
    <w:p w14:paraId="0BB12D32"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Mini Management Plan, Existing Plan Revision, Archaeology, or additional Plan Addendum</w:t>
      </w:r>
      <w:r w:rsidRPr="00CB05BA">
        <w:rPr>
          <w:rFonts w:cs="Arial"/>
          <w:szCs w:val="24"/>
        </w:rPr>
        <w:t>: $1,</w:t>
      </w:r>
      <w:r>
        <w:rPr>
          <w:rFonts w:cs="Arial"/>
          <w:szCs w:val="24"/>
        </w:rPr>
        <w:t>906</w:t>
      </w:r>
      <w:r w:rsidRPr="00CB05BA">
        <w:rPr>
          <w:rFonts w:cs="Arial"/>
          <w:szCs w:val="24"/>
        </w:rPr>
        <w:t xml:space="preserve"> plus $1.40 per acre.</w:t>
      </w:r>
    </w:p>
    <w:p w14:paraId="271F9069"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RPF Supervision</w:t>
      </w:r>
      <w:r w:rsidRPr="00CB05BA">
        <w:rPr>
          <w:rFonts w:cs="Arial"/>
          <w:szCs w:val="24"/>
        </w:rPr>
        <w:t>:</w:t>
      </w:r>
    </w:p>
    <w:p w14:paraId="00F3DD4C"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$1</w:t>
      </w:r>
      <w:r>
        <w:rPr>
          <w:rFonts w:cs="Arial"/>
          <w:szCs w:val="24"/>
        </w:rPr>
        <w:t>63</w:t>
      </w:r>
      <w:r w:rsidRPr="00CB05BA">
        <w:rPr>
          <w:rFonts w:cs="Arial"/>
          <w:szCs w:val="24"/>
        </w:rPr>
        <w:t xml:space="preserve"> per acre for the first 20 acres, and $</w:t>
      </w:r>
      <w:r>
        <w:rPr>
          <w:rFonts w:cs="Arial"/>
          <w:szCs w:val="24"/>
        </w:rPr>
        <w:t>82</w:t>
      </w:r>
      <w:r w:rsidRPr="00CB05BA">
        <w:rPr>
          <w:rFonts w:cs="Arial"/>
          <w:szCs w:val="24"/>
        </w:rPr>
        <w:t xml:space="preserve"> per acre for each additional acre.</w:t>
      </w:r>
    </w:p>
    <w:p w14:paraId="267D5539"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 xml:space="preserve">RPFs are not eligible for reimbursement for supervising work performed on their own property. However, if another RPF is hired to do the work of supervision then reimbursement for that cost (not to exceed actual cost or cap rate) may be allowable. </w:t>
      </w:r>
      <w:r w:rsidRPr="00CB05BA" w:rsidDel="00641875">
        <w:rPr>
          <w:rFonts w:cs="Arial"/>
          <w:szCs w:val="24"/>
        </w:rPr>
        <w:t xml:space="preserve"> </w:t>
      </w:r>
    </w:p>
    <w:p w14:paraId="313B306B"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Site Preparation</w:t>
      </w:r>
      <w:r w:rsidRPr="00CB05BA">
        <w:rPr>
          <w:rFonts w:cs="Arial"/>
          <w:szCs w:val="24"/>
        </w:rPr>
        <w:t>:</w:t>
      </w:r>
    </w:p>
    <w:p w14:paraId="46BD4D81"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w:t>
      </w:r>
      <w:r>
        <w:rPr>
          <w:rFonts w:cs="Arial"/>
          <w:szCs w:val="24"/>
        </w:rPr>
        <w:t>324</w:t>
      </w:r>
    </w:p>
    <w:p w14:paraId="67531AC6"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$4</w:t>
      </w:r>
      <w:r>
        <w:rPr>
          <w:rFonts w:cs="Arial"/>
          <w:szCs w:val="24"/>
        </w:rPr>
        <w:t>63</w:t>
      </w:r>
    </w:p>
    <w:p w14:paraId="7A371C68"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Heavy: $</w:t>
      </w:r>
      <w:r>
        <w:rPr>
          <w:rFonts w:cs="Arial"/>
          <w:szCs w:val="24"/>
        </w:rPr>
        <w:t>741</w:t>
      </w:r>
    </w:p>
    <w:p w14:paraId="2F49B300"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Trees &amp; Planting</w:t>
      </w:r>
      <w:r w:rsidRPr="00CB05BA">
        <w:rPr>
          <w:rFonts w:cs="Arial"/>
          <w:szCs w:val="24"/>
        </w:rPr>
        <w:t>:</w:t>
      </w:r>
    </w:p>
    <w:p w14:paraId="3964CC29"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w:t>
      </w:r>
      <w:r>
        <w:rPr>
          <w:rFonts w:cs="Arial"/>
          <w:szCs w:val="24"/>
        </w:rPr>
        <w:t>208</w:t>
      </w:r>
    </w:p>
    <w:p w14:paraId="6AF90D78"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w:t>
      </w:r>
      <w:r>
        <w:rPr>
          <w:rFonts w:cs="Arial"/>
          <w:szCs w:val="24"/>
        </w:rPr>
        <w:t>324</w:t>
      </w:r>
    </w:p>
    <w:p w14:paraId="6F86A6DB"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Heavy: $</w:t>
      </w:r>
      <w:r>
        <w:rPr>
          <w:rFonts w:cs="Arial"/>
          <w:szCs w:val="24"/>
        </w:rPr>
        <w:t>509</w:t>
      </w:r>
    </w:p>
    <w:p w14:paraId="1BBC1FEA"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Tree Shelters</w:t>
      </w:r>
      <w:r w:rsidRPr="00CB05BA">
        <w:rPr>
          <w:rFonts w:cs="Arial"/>
          <w:szCs w:val="24"/>
        </w:rPr>
        <w:t>: $</w:t>
      </w:r>
      <w:r>
        <w:rPr>
          <w:rFonts w:cs="Arial"/>
          <w:szCs w:val="24"/>
        </w:rPr>
        <w:t>324</w:t>
      </w:r>
    </w:p>
    <w:p w14:paraId="1B210D55"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Pre-commercial Thinning and/or Mechanical Release</w:t>
      </w:r>
      <w:r w:rsidRPr="00CB05BA">
        <w:rPr>
          <w:rFonts w:cs="Arial"/>
          <w:szCs w:val="24"/>
        </w:rPr>
        <w:t>:</w:t>
      </w:r>
    </w:p>
    <w:p w14:paraId="5E0927A1"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w:t>
      </w:r>
      <w:r>
        <w:rPr>
          <w:rFonts w:cs="Arial"/>
          <w:szCs w:val="24"/>
        </w:rPr>
        <w:t>324</w:t>
      </w:r>
    </w:p>
    <w:p w14:paraId="20423CB5"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w:t>
      </w:r>
      <w:r>
        <w:rPr>
          <w:rFonts w:cs="Arial"/>
          <w:szCs w:val="24"/>
        </w:rPr>
        <w:t>463</w:t>
      </w:r>
    </w:p>
    <w:p w14:paraId="281FB0D7"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Heavy: $</w:t>
      </w:r>
      <w:r>
        <w:rPr>
          <w:rFonts w:cs="Arial"/>
          <w:szCs w:val="24"/>
        </w:rPr>
        <w:t>741</w:t>
      </w:r>
    </w:p>
    <w:p w14:paraId="62CFEDB6"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Note that disposal of slash generated by the Thinning and Mechanical Release practices must meet minimum Fire Hazard Reduction Standards per Forest Practice Act, and will not be considered a follow-up practice eligible for reimbursement.</w:t>
      </w:r>
    </w:p>
    <w:p w14:paraId="5DDF5581"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Pruning</w:t>
      </w:r>
      <w:r w:rsidRPr="00CB05BA">
        <w:rPr>
          <w:rFonts w:cs="Arial"/>
          <w:szCs w:val="24"/>
        </w:rPr>
        <w:t>:</w:t>
      </w:r>
    </w:p>
    <w:p w14:paraId="5BE00F67"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$1</w:t>
      </w:r>
      <w:r>
        <w:rPr>
          <w:rFonts w:cs="Arial"/>
          <w:szCs w:val="24"/>
        </w:rPr>
        <w:t>85</w:t>
      </w:r>
      <w:r w:rsidRPr="00CB05BA">
        <w:rPr>
          <w:rFonts w:cs="Arial"/>
          <w:szCs w:val="24"/>
        </w:rPr>
        <w:t xml:space="preserve"> for 50 trees pruned per acre</w:t>
      </w:r>
    </w:p>
    <w:p w14:paraId="3DBBBE95"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w:t>
      </w:r>
      <w:r>
        <w:rPr>
          <w:rFonts w:cs="Arial"/>
          <w:szCs w:val="24"/>
        </w:rPr>
        <w:t>324</w:t>
      </w:r>
      <w:r w:rsidRPr="00CB05BA">
        <w:rPr>
          <w:rFonts w:cs="Arial"/>
          <w:szCs w:val="24"/>
        </w:rPr>
        <w:t xml:space="preserve"> for 100 trees pruned per acre</w:t>
      </w:r>
    </w:p>
    <w:p w14:paraId="668B1DA3"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w:t>
      </w:r>
      <w:r>
        <w:rPr>
          <w:rFonts w:cs="Arial"/>
          <w:szCs w:val="24"/>
        </w:rPr>
        <w:t>417</w:t>
      </w:r>
      <w:r w:rsidRPr="00CB05BA">
        <w:rPr>
          <w:rFonts w:cs="Arial"/>
          <w:szCs w:val="24"/>
        </w:rPr>
        <w:t xml:space="preserve"> for 150 trees pruned per acre</w:t>
      </w:r>
    </w:p>
    <w:p w14:paraId="01FCE94F"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Note that disposal of slash generated by the Pruning must meet minimum Fire Hazard Reduction Standards per Forest Practice Act, and will not be considered a follow-up practice eligible for reimbursement.</w:t>
      </w:r>
    </w:p>
    <w:p w14:paraId="5E8F2F2C"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Release-Other</w:t>
      </w:r>
      <w:r w:rsidRPr="00CB05BA">
        <w:rPr>
          <w:rFonts w:cs="Arial"/>
          <w:szCs w:val="24"/>
        </w:rPr>
        <w:t>:</w:t>
      </w:r>
    </w:p>
    <w:p w14:paraId="3611A306"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w:t>
      </w:r>
      <w:r>
        <w:rPr>
          <w:rFonts w:cs="Arial"/>
          <w:szCs w:val="24"/>
        </w:rPr>
        <w:t>231</w:t>
      </w:r>
    </w:p>
    <w:p w14:paraId="5DA7E735"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$3</w:t>
      </w:r>
      <w:r>
        <w:rPr>
          <w:rFonts w:cs="Arial"/>
          <w:szCs w:val="24"/>
        </w:rPr>
        <w:t>70</w:t>
      </w:r>
    </w:p>
    <w:p w14:paraId="0D5DC7C8"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lastRenderedPageBreak/>
        <w:t>Heavy: $</w:t>
      </w:r>
      <w:r>
        <w:rPr>
          <w:rFonts w:cs="Arial"/>
          <w:szCs w:val="24"/>
        </w:rPr>
        <w:t>648</w:t>
      </w:r>
    </w:p>
    <w:p w14:paraId="61C5E9DE"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CB05BA">
        <w:rPr>
          <w:rFonts w:cs="Arial"/>
          <w:szCs w:val="24"/>
          <w:u w:val="single"/>
        </w:rPr>
        <w:t>Follow-up</w:t>
      </w:r>
      <w:r w:rsidRPr="00CB05BA">
        <w:rPr>
          <w:rFonts w:cs="Arial"/>
          <w:szCs w:val="24"/>
        </w:rPr>
        <w:t>:</w:t>
      </w:r>
    </w:p>
    <w:p w14:paraId="00A9DBEB"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Light: $3</w:t>
      </w:r>
      <w:r>
        <w:rPr>
          <w:rFonts w:cs="Arial"/>
          <w:szCs w:val="24"/>
        </w:rPr>
        <w:t>70</w:t>
      </w:r>
    </w:p>
    <w:p w14:paraId="0F6679ED" w14:textId="77777777" w:rsidR="00915258" w:rsidRPr="00CB05BA" w:rsidRDefault="00915258" w:rsidP="00915258">
      <w:pPr>
        <w:pStyle w:val="ListParagraph"/>
        <w:numPr>
          <w:ilvl w:val="1"/>
          <w:numId w:val="4"/>
        </w:numPr>
        <w:tabs>
          <w:tab w:val="left" w:pos="9990"/>
        </w:tabs>
        <w:spacing w:after="160" w:line="259" w:lineRule="auto"/>
        <w:ind w:right="720"/>
        <w:rPr>
          <w:rFonts w:cs="Arial"/>
          <w:szCs w:val="24"/>
        </w:rPr>
      </w:pPr>
      <w:r w:rsidRPr="00CB05BA">
        <w:rPr>
          <w:rFonts w:cs="Arial"/>
          <w:szCs w:val="24"/>
        </w:rPr>
        <w:t>Moderate: $</w:t>
      </w:r>
      <w:r>
        <w:rPr>
          <w:rFonts w:cs="Arial"/>
          <w:szCs w:val="24"/>
        </w:rPr>
        <w:t>648</w:t>
      </w:r>
    </w:p>
    <w:p w14:paraId="69602B60" w14:textId="77777777" w:rsidR="00915258" w:rsidRPr="00AE2A24" w:rsidRDefault="00915258" w:rsidP="00915258">
      <w:pPr>
        <w:pStyle w:val="ListParagraph"/>
        <w:numPr>
          <w:ilvl w:val="1"/>
          <w:numId w:val="4"/>
        </w:numPr>
        <w:tabs>
          <w:tab w:val="left" w:pos="9990"/>
        </w:tabs>
        <w:spacing w:after="160" w:line="259" w:lineRule="auto"/>
        <w:ind w:right="720"/>
        <w:rPr>
          <w:rFonts w:cs="Arial"/>
          <w:szCs w:val="24"/>
        </w:rPr>
      </w:pPr>
      <w:r w:rsidRPr="00AE2A24">
        <w:rPr>
          <w:rFonts w:cs="Arial"/>
          <w:szCs w:val="24"/>
        </w:rPr>
        <w:t>Heavy: $</w:t>
      </w:r>
      <w:r>
        <w:rPr>
          <w:rFonts w:cs="Arial"/>
          <w:szCs w:val="24"/>
        </w:rPr>
        <w:t>926</w:t>
      </w:r>
    </w:p>
    <w:p w14:paraId="296CE2A6" w14:textId="77777777" w:rsidR="00915258" w:rsidRPr="00AE2A24" w:rsidRDefault="00915258" w:rsidP="00915258">
      <w:pPr>
        <w:pStyle w:val="ListParagraph"/>
        <w:numPr>
          <w:ilvl w:val="0"/>
          <w:numId w:val="4"/>
        </w:numPr>
        <w:tabs>
          <w:tab w:val="left" w:pos="9990"/>
        </w:tabs>
        <w:spacing w:after="160" w:line="259" w:lineRule="auto"/>
        <w:ind w:right="720"/>
        <w:rPr>
          <w:rFonts w:cs="Arial"/>
          <w:szCs w:val="24"/>
        </w:rPr>
      </w:pPr>
      <w:r w:rsidRPr="00AE2A24">
        <w:rPr>
          <w:rFonts w:cs="Arial"/>
          <w:szCs w:val="24"/>
          <w:u w:val="single"/>
        </w:rPr>
        <w:t>Herbicide (site preparation, release, or follow-up)</w:t>
      </w:r>
      <w:r w:rsidRPr="00AE2A24">
        <w:rPr>
          <w:rFonts w:cs="Arial"/>
          <w:szCs w:val="24"/>
        </w:rPr>
        <w:t>:</w:t>
      </w:r>
    </w:p>
    <w:p w14:paraId="513FB127" w14:textId="77777777" w:rsidR="00915258" w:rsidRPr="00AE2A24" w:rsidRDefault="00915258" w:rsidP="00915258">
      <w:pPr>
        <w:pStyle w:val="ListParagraph"/>
        <w:numPr>
          <w:ilvl w:val="1"/>
          <w:numId w:val="4"/>
        </w:numPr>
        <w:tabs>
          <w:tab w:val="left" w:pos="9990"/>
        </w:tabs>
        <w:spacing w:after="160" w:line="259" w:lineRule="auto"/>
        <w:ind w:right="720"/>
        <w:rPr>
          <w:rFonts w:cs="Arial"/>
          <w:szCs w:val="24"/>
        </w:rPr>
      </w:pPr>
      <w:r w:rsidRPr="00AE2A24">
        <w:rPr>
          <w:rFonts w:cs="Arial"/>
          <w:szCs w:val="24"/>
        </w:rPr>
        <w:t>Light: $2</w:t>
      </w:r>
      <w:r>
        <w:rPr>
          <w:rFonts w:cs="Arial"/>
          <w:szCs w:val="24"/>
        </w:rPr>
        <w:t>31</w:t>
      </w:r>
    </w:p>
    <w:p w14:paraId="137BFD83" w14:textId="77777777" w:rsidR="00915258" w:rsidRPr="00AE2A24" w:rsidRDefault="00915258" w:rsidP="00915258">
      <w:pPr>
        <w:pStyle w:val="ListParagraph"/>
        <w:numPr>
          <w:ilvl w:val="1"/>
          <w:numId w:val="4"/>
        </w:numPr>
        <w:tabs>
          <w:tab w:val="left" w:pos="9990"/>
        </w:tabs>
        <w:spacing w:after="160" w:line="259" w:lineRule="auto"/>
        <w:ind w:right="720"/>
        <w:rPr>
          <w:rFonts w:cs="Arial"/>
          <w:szCs w:val="24"/>
        </w:rPr>
      </w:pPr>
      <w:r w:rsidRPr="00AE2A24">
        <w:rPr>
          <w:rFonts w:cs="Arial"/>
          <w:szCs w:val="24"/>
        </w:rPr>
        <w:t>Moderate: $3</w:t>
      </w:r>
      <w:r>
        <w:rPr>
          <w:rFonts w:cs="Arial"/>
          <w:szCs w:val="24"/>
        </w:rPr>
        <w:t>70</w:t>
      </w:r>
    </w:p>
    <w:p w14:paraId="16B943FD" w14:textId="77777777" w:rsidR="00915258" w:rsidRPr="00AE2A24" w:rsidRDefault="00915258" w:rsidP="00915258">
      <w:pPr>
        <w:pStyle w:val="ListParagraph"/>
        <w:numPr>
          <w:ilvl w:val="1"/>
          <w:numId w:val="4"/>
        </w:numPr>
        <w:tabs>
          <w:tab w:val="left" w:pos="9990"/>
        </w:tabs>
        <w:spacing w:after="160" w:line="259" w:lineRule="auto"/>
        <w:ind w:right="720"/>
        <w:rPr>
          <w:rFonts w:cs="Arial"/>
          <w:szCs w:val="24"/>
        </w:rPr>
      </w:pPr>
      <w:r w:rsidRPr="00AE2A24">
        <w:rPr>
          <w:rFonts w:cs="Arial"/>
          <w:szCs w:val="24"/>
        </w:rPr>
        <w:t>Heavy: $</w:t>
      </w:r>
      <w:r>
        <w:rPr>
          <w:rFonts w:cs="Arial"/>
          <w:szCs w:val="24"/>
        </w:rPr>
        <w:t>648</w:t>
      </w:r>
    </w:p>
    <w:p w14:paraId="5C71F9A1" w14:textId="77777777" w:rsidR="00915258" w:rsidRPr="00CB05BA" w:rsidRDefault="00915258" w:rsidP="00915258">
      <w:pPr>
        <w:pStyle w:val="ListParagraph"/>
        <w:numPr>
          <w:ilvl w:val="0"/>
          <w:numId w:val="4"/>
        </w:numPr>
        <w:tabs>
          <w:tab w:val="left" w:pos="9990"/>
        </w:tabs>
        <w:spacing w:after="160" w:line="259" w:lineRule="auto"/>
        <w:ind w:right="720"/>
        <w:rPr>
          <w:rFonts w:cs="Arial"/>
          <w:szCs w:val="24"/>
        </w:rPr>
      </w:pPr>
      <w:r w:rsidRPr="00AE2A24">
        <w:rPr>
          <w:rFonts w:cs="Arial"/>
          <w:szCs w:val="24"/>
          <w:u w:val="single"/>
        </w:rPr>
        <w:t>Land Conservation</w:t>
      </w:r>
      <w:r w:rsidRPr="00CB05BA">
        <w:rPr>
          <w:rFonts w:cs="Arial"/>
          <w:szCs w:val="24"/>
          <w:u w:val="single"/>
        </w:rPr>
        <w:t>/Wildlife/Fisheries Projects</w:t>
      </w:r>
      <w:r w:rsidRPr="00CB05BA">
        <w:rPr>
          <w:rFonts w:cs="Arial"/>
          <w:szCs w:val="24"/>
        </w:rPr>
        <w:t>: Maximum allowable costs in this practice is variable and will depend on site condition, acreage, and the type of project. Costs will be evaluated based on rates used for the Natural Resource Conservation Service (NRCS) Environmental Quality Incentives Program (EQIP).</w:t>
      </w:r>
    </w:p>
    <w:p w14:paraId="1B828296" w14:textId="77777777" w:rsidR="00915258" w:rsidRDefault="00915258" w:rsidP="00915258">
      <w:pPr>
        <w:tabs>
          <w:tab w:val="left" w:pos="9990"/>
        </w:tabs>
        <w:rPr>
          <w:b/>
          <w:sz w:val="28"/>
          <w:szCs w:val="48"/>
          <w:u w:val="single"/>
        </w:rPr>
      </w:pPr>
      <w:r>
        <w:br w:type="page"/>
      </w:r>
    </w:p>
    <w:p w14:paraId="78D879F3" w14:textId="77777777" w:rsidR="00915258" w:rsidRDefault="00915258" w:rsidP="00BA0FB9">
      <w:pPr>
        <w:pStyle w:val="Heading1"/>
        <w:tabs>
          <w:tab w:val="left" w:pos="9990"/>
        </w:tabs>
        <w:spacing w:after="0" w:line="240" w:lineRule="auto"/>
      </w:pPr>
      <w:r w:rsidRPr="00975E62">
        <w:lastRenderedPageBreak/>
        <w:t>Participant Self-Owned Labor and Equipment Hourly Rates</w:t>
      </w:r>
    </w:p>
    <w:p w14:paraId="23CB47BB" w14:textId="77777777" w:rsidR="00915258" w:rsidRPr="0022637B" w:rsidRDefault="00915258" w:rsidP="00BA0FB9">
      <w:pPr>
        <w:spacing w:line="240" w:lineRule="auto"/>
        <w:rPr>
          <w:rFonts w:cs="Arial"/>
          <w:szCs w:val="24"/>
        </w:rPr>
      </w:pPr>
      <w:r w:rsidRPr="0022637B">
        <w:rPr>
          <w:rFonts w:cs="Arial"/>
          <w:szCs w:val="24"/>
        </w:rPr>
        <w:t>The following rates are based on Natural Resource Conservation Service (NRCS) Environmental Quality Incentives Program (EQIP) rates for California, federal fiscal year 202</w:t>
      </w:r>
      <w:r>
        <w:rPr>
          <w:rFonts w:cs="Arial"/>
          <w:szCs w:val="24"/>
        </w:rPr>
        <w:t>2</w:t>
      </w:r>
      <w:r w:rsidRPr="0022637B">
        <w:rPr>
          <w:rFonts w:cs="Arial"/>
          <w:szCs w:val="24"/>
        </w:rPr>
        <w:t>, and account for the expected reduced overhead cost to the applicant. These rates may not be exceeded for landowner owned equipment, and includes fuel and maintenance but not labor. Labor for an employee, contractor, or day laborer shall be the actual wage paid and shall be verified by a signed invoice or duplicate check. The equipment and labor rates do not apply to contractors or rented equipment where actual receipts are required. Additional equipment or supplies shall be approved through the local FAS.</w:t>
      </w:r>
    </w:p>
    <w:p w14:paraId="488B8C80" w14:textId="77777777" w:rsidR="00915258" w:rsidRPr="00872328" w:rsidRDefault="00915258" w:rsidP="00915258">
      <w:pPr>
        <w:numPr>
          <w:ilvl w:val="0"/>
          <w:numId w:val="6"/>
        </w:numPr>
        <w:spacing w:after="160" w:line="259" w:lineRule="auto"/>
        <w:ind w:left="360"/>
        <w:contextualSpacing/>
        <w:rPr>
          <w:rFonts w:cs="Arial"/>
          <w:szCs w:val="24"/>
        </w:rPr>
      </w:pPr>
      <w:r w:rsidRPr="00872328">
        <w:rPr>
          <w:rFonts w:cs="Arial"/>
          <w:szCs w:val="24"/>
        </w:rPr>
        <w:t>Labor: $</w:t>
      </w:r>
      <w:r>
        <w:rPr>
          <w:rFonts w:cs="Arial"/>
          <w:szCs w:val="24"/>
        </w:rPr>
        <w:t>26</w:t>
      </w:r>
    </w:p>
    <w:p w14:paraId="2C99F3DA"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Wheel mounted backhoe excavator with horsepower range of 60 to 90: $</w:t>
      </w:r>
      <w:r>
        <w:rPr>
          <w:rFonts w:cs="Arial"/>
          <w:szCs w:val="24"/>
        </w:rPr>
        <w:t>28</w:t>
      </w:r>
    </w:p>
    <w:p w14:paraId="292CB482"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Track mounted dozer with horsepower range of 60 to 90. (e.g. D3, D4): $</w:t>
      </w:r>
      <w:r>
        <w:rPr>
          <w:rFonts w:cs="Arial"/>
          <w:szCs w:val="24"/>
        </w:rPr>
        <w:t>49</w:t>
      </w:r>
    </w:p>
    <w:p w14:paraId="3315AF8D"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Track mounted dozer with horsepower range of 125 to 160. (e.g. D5, D6): $</w:t>
      </w:r>
      <w:r>
        <w:rPr>
          <w:rFonts w:cs="Arial"/>
          <w:szCs w:val="24"/>
        </w:rPr>
        <w:t>88</w:t>
      </w:r>
    </w:p>
    <w:p w14:paraId="61FC8345"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Track mounted dozer with horsepower range of 160 to 250. (e.g. D7, D8): $</w:t>
      </w:r>
      <w:r>
        <w:rPr>
          <w:rFonts w:cs="Arial"/>
          <w:szCs w:val="24"/>
        </w:rPr>
        <w:t>184</w:t>
      </w:r>
    </w:p>
    <w:p w14:paraId="2F44E01C"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Track mounted hydraulic excavator with bucket capacity range of 0.3 to 0.8 cubic yards: $</w:t>
      </w:r>
      <w:r>
        <w:rPr>
          <w:rFonts w:cs="Arial"/>
          <w:szCs w:val="24"/>
        </w:rPr>
        <w:t>55</w:t>
      </w:r>
    </w:p>
    <w:p w14:paraId="0056572F"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Track mounted hydraulic excavator with bucket capacity range of 0.8 to 1.5 cubic yards: $1</w:t>
      </w:r>
      <w:r>
        <w:rPr>
          <w:rFonts w:cs="Arial"/>
          <w:szCs w:val="24"/>
        </w:rPr>
        <w:t>01</w:t>
      </w:r>
    </w:p>
    <w:p w14:paraId="0B5B64B8"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Track mounted hydraulic excavator with bucket capacity range of 1.5 to 2.5 cubic yards. $1</w:t>
      </w:r>
      <w:r>
        <w:rPr>
          <w:rFonts w:cs="Arial"/>
          <w:szCs w:val="24"/>
        </w:rPr>
        <w:t>14</w:t>
      </w:r>
    </w:p>
    <w:p w14:paraId="4C3394A0"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Skid steer loader with horsepower range of 60 to 90: $</w:t>
      </w:r>
      <w:r>
        <w:rPr>
          <w:rFonts w:cs="Arial"/>
          <w:szCs w:val="24"/>
        </w:rPr>
        <w:t>56</w:t>
      </w:r>
    </w:p>
    <w:p w14:paraId="71D9A5AA"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Chainsaw or gasoline powered pole chainsaw: $</w:t>
      </w:r>
      <w:r>
        <w:rPr>
          <w:rFonts w:cs="Arial"/>
          <w:szCs w:val="24"/>
        </w:rPr>
        <w:t>6</w:t>
      </w:r>
    </w:p>
    <w:p w14:paraId="45B55CB9"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Forestry mulcher, flail shredder, hydro axe, brush cutter, etc.: $</w:t>
      </w:r>
      <w:r>
        <w:rPr>
          <w:rFonts w:cs="Arial"/>
          <w:szCs w:val="24"/>
        </w:rPr>
        <w:t>81</w:t>
      </w:r>
    </w:p>
    <w:p w14:paraId="59B309AF"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Agricultural tractor with horsepower range of less than 50: $</w:t>
      </w:r>
      <w:r>
        <w:rPr>
          <w:rFonts w:cs="Arial"/>
          <w:szCs w:val="24"/>
        </w:rPr>
        <w:t>7</w:t>
      </w:r>
    </w:p>
    <w:p w14:paraId="44876EAB"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Agricultural tractor with horsepower range of 50 to 90: $</w:t>
      </w:r>
      <w:r>
        <w:rPr>
          <w:rFonts w:cs="Arial"/>
          <w:szCs w:val="24"/>
        </w:rPr>
        <w:t>20</w:t>
      </w:r>
    </w:p>
    <w:p w14:paraId="1AAD65C6"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Agricultural tractor with horsepower range of 90 to 140: $</w:t>
      </w:r>
      <w:r>
        <w:rPr>
          <w:rFonts w:cs="Arial"/>
          <w:szCs w:val="24"/>
        </w:rPr>
        <w:t>46</w:t>
      </w:r>
    </w:p>
    <w:p w14:paraId="092613A2"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Agricultural tractor with horsepower range of 140 to 190: $</w:t>
      </w:r>
      <w:r>
        <w:rPr>
          <w:rFonts w:cs="Arial"/>
          <w:szCs w:val="24"/>
        </w:rPr>
        <w:t>64</w:t>
      </w:r>
    </w:p>
    <w:p w14:paraId="14CBD1E5"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Dump truck for moving bulk material. Typical capacity is 12 ton or 8 cubic yards:  $</w:t>
      </w:r>
      <w:r>
        <w:rPr>
          <w:rFonts w:cs="Arial"/>
          <w:szCs w:val="24"/>
        </w:rPr>
        <w:t>49</w:t>
      </w:r>
    </w:p>
    <w:p w14:paraId="6A3FFFD4"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Dump truck for moving bulk material. Typical capacity is 16 ton or 12 cubic yards: $</w:t>
      </w:r>
      <w:r>
        <w:rPr>
          <w:rFonts w:cs="Arial"/>
          <w:szCs w:val="24"/>
        </w:rPr>
        <w:t>70</w:t>
      </w:r>
    </w:p>
    <w:p w14:paraId="3446465A"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Dump truck for moving bulk material. Typical capacity is 25 ton or 18 cubic yards: $</w:t>
      </w:r>
      <w:r>
        <w:rPr>
          <w:rFonts w:cs="Arial"/>
          <w:szCs w:val="24"/>
        </w:rPr>
        <w:t>91</w:t>
      </w:r>
    </w:p>
    <w:p w14:paraId="0705B87A"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Chipper, 6-inch capacity, typically 35 horsepower (includes chipper &amp; power unit): $2</w:t>
      </w:r>
      <w:r>
        <w:rPr>
          <w:rFonts w:cs="Arial"/>
          <w:szCs w:val="24"/>
        </w:rPr>
        <w:t>4</w:t>
      </w:r>
    </w:p>
    <w:p w14:paraId="0182C244"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Chipper, 12-inch capacity, typically 130 horsepower (includes chipper &amp; power unit): $45</w:t>
      </w:r>
    </w:p>
    <w:p w14:paraId="1063690C"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Chipper, 15-inch capacity, typically 165 horsepower (includes chipper &amp; power unit): $</w:t>
      </w:r>
      <w:r>
        <w:rPr>
          <w:rFonts w:cs="Arial"/>
          <w:szCs w:val="24"/>
        </w:rPr>
        <w:t>63</w:t>
      </w:r>
    </w:p>
    <w:p w14:paraId="50C1A9A2"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Wheeled front end loader with horsepower range of 80 to 110: $</w:t>
      </w:r>
      <w:r>
        <w:rPr>
          <w:rFonts w:cs="Arial"/>
          <w:szCs w:val="24"/>
        </w:rPr>
        <w:t>53</w:t>
      </w:r>
    </w:p>
    <w:p w14:paraId="30957AA4"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Wheeled front end loader with horsepower range of 110 to 140: $</w:t>
      </w:r>
      <w:r>
        <w:rPr>
          <w:rFonts w:cs="Arial"/>
          <w:szCs w:val="24"/>
        </w:rPr>
        <w:t>48</w:t>
      </w:r>
    </w:p>
    <w:p w14:paraId="718EAC02"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Track loader, 95 horsepower: $</w:t>
      </w:r>
      <w:r>
        <w:rPr>
          <w:rFonts w:cs="Arial"/>
          <w:szCs w:val="24"/>
        </w:rPr>
        <w:t>81</w:t>
      </w:r>
    </w:p>
    <w:p w14:paraId="0969BF0B" w14:textId="77777777" w:rsidR="00915258" w:rsidRPr="00872328" w:rsidRDefault="00915258" w:rsidP="00915258">
      <w:pPr>
        <w:numPr>
          <w:ilvl w:val="0"/>
          <w:numId w:val="5"/>
        </w:numPr>
        <w:spacing w:after="160" w:line="259" w:lineRule="auto"/>
        <w:ind w:left="360"/>
        <w:contextualSpacing/>
        <w:rPr>
          <w:rFonts w:cs="Arial"/>
          <w:szCs w:val="24"/>
        </w:rPr>
      </w:pPr>
      <w:r w:rsidRPr="00872328">
        <w:rPr>
          <w:rFonts w:cs="Arial"/>
          <w:szCs w:val="24"/>
        </w:rPr>
        <w:t>Log skidder: $1</w:t>
      </w:r>
      <w:r>
        <w:rPr>
          <w:rFonts w:cs="Arial"/>
          <w:szCs w:val="24"/>
        </w:rPr>
        <w:t>11</w:t>
      </w:r>
    </w:p>
    <w:p w14:paraId="7652F710" w14:textId="7A381365" w:rsidR="00AE1610" w:rsidRPr="00BA0FB9" w:rsidRDefault="00915258" w:rsidP="000B7EBF">
      <w:pPr>
        <w:numPr>
          <w:ilvl w:val="0"/>
          <w:numId w:val="5"/>
        </w:numPr>
        <w:spacing w:after="160" w:line="259" w:lineRule="auto"/>
        <w:ind w:left="360"/>
        <w:contextualSpacing/>
        <w:rPr>
          <w:rFonts w:cs="Arial"/>
          <w:szCs w:val="24"/>
        </w:rPr>
      </w:pPr>
      <w:r w:rsidRPr="00872328">
        <w:rPr>
          <w:rFonts w:cs="Arial"/>
          <w:szCs w:val="24"/>
        </w:rPr>
        <w:t>Feller buncher: $1</w:t>
      </w:r>
      <w:r>
        <w:rPr>
          <w:rFonts w:cs="Arial"/>
          <w:szCs w:val="24"/>
        </w:rPr>
        <w:t>14</w:t>
      </w:r>
    </w:p>
    <w:sectPr w:rsidR="00AE1610" w:rsidRPr="00BA0FB9">
      <w:type w:val="continuous"/>
      <w:pgSz w:w="12240" w:h="15840" w:code="1"/>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02AEA" w14:textId="77777777" w:rsidR="00AE46E8" w:rsidRDefault="00AE46E8">
      <w:r>
        <w:separator/>
      </w:r>
    </w:p>
  </w:endnote>
  <w:endnote w:type="continuationSeparator" w:id="0">
    <w:p w14:paraId="480FBD2E" w14:textId="77777777" w:rsidR="00AE46E8" w:rsidRDefault="00AE4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altName w:val="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FFF4E9" w14:textId="77777777" w:rsidR="00A46B0B" w:rsidRDefault="00A46B0B" w:rsidP="00A46B0B">
    <w:pPr>
      <w:pStyle w:val="Footer"/>
      <w:tabs>
        <w:tab w:val="left" w:pos="720"/>
      </w:tabs>
      <w:ind w:left="-450" w:right="-450"/>
      <w:jc w:val="center"/>
      <w:rPr>
        <w:rFonts w:ascii="Times New Roman" w:hAnsi="Times New Roman"/>
        <w:sz w:val="18"/>
        <w:szCs w:val="18"/>
      </w:rPr>
    </w:pPr>
    <w:r>
      <w:rPr>
        <w:rFonts w:ascii="Times New Roman" w:hAnsi="Times New Roman"/>
        <w:i/>
        <w:sz w:val="18"/>
      </w:rPr>
      <w:t>“The Department of Forestry and Fire Protection serves and safeguards the people and protects the property and resources of California.”</w:t>
    </w:r>
  </w:p>
  <w:p w14:paraId="08636B09" w14:textId="604ECD15" w:rsidR="003A3431" w:rsidRPr="00A46B0B" w:rsidRDefault="00622C05" w:rsidP="00A46B0B">
    <w:pPr>
      <w:pStyle w:val="Footer"/>
    </w:pPr>
    <w:r>
      <w:tab/>
    </w:r>
    <w:r>
      <w:tab/>
      <w:t>MGMT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B783F" w14:textId="77777777" w:rsidR="00AE46E8" w:rsidRDefault="00AE46E8">
      <w:r>
        <w:separator/>
      </w:r>
    </w:p>
  </w:footnote>
  <w:footnote w:type="continuationSeparator" w:id="0">
    <w:p w14:paraId="089536E7" w14:textId="77777777" w:rsidR="00AE46E8" w:rsidRDefault="00AE46E8">
      <w:r>
        <w:continuationSeparator/>
      </w:r>
    </w:p>
  </w:footnote>
  <w:footnote w:id="1">
    <w:p w14:paraId="7594CC2E" w14:textId="636B3EC8" w:rsidR="00360847" w:rsidRDefault="00360847">
      <w:pPr>
        <w:pStyle w:val="FootnoteText"/>
      </w:pPr>
      <w:r>
        <w:rPr>
          <w:rStyle w:val="FootnoteReference"/>
        </w:rPr>
        <w:footnoteRef/>
      </w:r>
      <w:r>
        <w:t xml:space="preserve"> CFIP contracts often use a combination of Thinning/Release Heavy plus Follow-up Heavy combined for mastication</w:t>
      </w:r>
      <w:r w:rsidR="00762265">
        <w:t xml:space="preserve"> operations,</w:t>
      </w:r>
      <w:r>
        <w:t xml:space="preserve"> which results in a rate of $1</w:t>
      </w:r>
      <w:r w:rsidR="00455246">
        <w:t>960</w:t>
      </w:r>
      <w:r>
        <w:t>/acre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2D190" w14:textId="3327BE43" w:rsidR="00A46B0B" w:rsidRDefault="00ED4107">
    <w:pPr>
      <w:pStyle w:val="Header"/>
    </w:pPr>
    <w:r>
      <w:rPr>
        <w:noProof/>
      </w:rPr>
      <w:pict w14:anchorId="62ECD80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54277"/>
    <w:multiLevelType w:val="hybridMultilevel"/>
    <w:tmpl w:val="470E5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7354D5"/>
    <w:multiLevelType w:val="hybridMultilevel"/>
    <w:tmpl w:val="6518A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D51C18"/>
    <w:multiLevelType w:val="hybridMultilevel"/>
    <w:tmpl w:val="F1AA8F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BD36E0"/>
    <w:multiLevelType w:val="hybridMultilevel"/>
    <w:tmpl w:val="8A4AD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2566D93"/>
    <w:multiLevelType w:val="hybridMultilevel"/>
    <w:tmpl w:val="9C12CD1C"/>
    <w:lvl w:ilvl="0" w:tplc="5D8E690C">
      <w:start w:val="1"/>
      <w:numFmt w:val="decimal"/>
      <w:lvlText w:val="%1."/>
      <w:lvlJc w:val="left"/>
      <w:pPr>
        <w:ind w:left="720" w:hanging="360"/>
      </w:pPr>
      <w:rPr>
        <w:rFonts w:ascii="Arial" w:eastAsia="Times New Roman" w:hAnsi="Arial" w:cs="Aria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101974"/>
    <w:multiLevelType w:val="hybridMultilevel"/>
    <w:tmpl w:val="05B2F3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1dVCmxf9iuOf1YIAotBE55iTZUz3udlnGtfU5PWqv0wwXd7UqhXSkIsElu0ZXncU0RuGyGteOioEg5rUZH3HwQ==" w:salt="1gwS5zFpQ/tNuFbPDsEEeQ=="/>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463"/>
    <w:rsid w:val="00063085"/>
    <w:rsid w:val="00066243"/>
    <w:rsid w:val="00066878"/>
    <w:rsid w:val="00083AC7"/>
    <w:rsid w:val="00092687"/>
    <w:rsid w:val="000B65BA"/>
    <w:rsid w:val="000B7EBF"/>
    <w:rsid w:val="000C24CA"/>
    <w:rsid w:val="00143898"/>
    <w:rsid w:val="00156581"/>
    <w:rsid w:val="00187F78"/>
    <w:rsid w:val="00195223"/>
    <w:rsid w:val="001B4269"/>
    <w:rsid w:val="001D2682"/>
    <w:rsid w:val="001F24FA"/>
    <w:rsid w:val="00224AA4"/>
    <w:rsid w:val="00254E87"/>
    <w:rsid w:val="00263BE7"/>
    <w:rsid w:val="002A4939"/>
    <w:rsid w:val="002A62C5"/>
    <w:rsid w:val="002D2F86"/>
    <w:rsid w:val="002E0A3F"/>
    <w:rsid w:val="002F1235"/>
    <w:rsid w:val="00332C39"/>
    <w:rsid w:val="0033750C"/>
    <w:rsid w:val="00360847"/>
    <w:rsid w:val="00365BA0"/>
    <w:rsid w:val="00366504"/>
    <w:rsid w:val="0039314F"/>
    <w:rsid w:val="003A3431"/>
    <w:rsid w:val="003D167C"/>
    <w:rsid w:val="004148A3"/>
    <w:rsid w:val="00431F15"/>
    <w:rsid w:val="004425E1"/>
    <w:rsid w:val="0045301F"/>
    <w:rsid w:val="00455246"/>
    <w:rsid w:val="00465D8C"/>
    <w:rsid w:val="004935CF"/>
    <w:rsid w:val="004E124C"/>
    <w:rsid w:val="00507D0D"/>
    <w:rsid w:val="00595A56"/>
    <w:rsid w:val="005A558C"/>
    <w:rsid w:val="005C6D93"/>
    <w:rsid w:val="005D617B"/>
    <w:rsid w:val="006066D3"/>
    <w:rsid w:val="00611688"/>
    <w:rsid w:val="00622C05"/>
    <w:rsid w:val="0067057C"/>
    <w:rsid w:val="0067071F"/>
    <w:rsid w:val="00683B7A"/>
    <w:rsid w:val="006A3334"/>
    <w:rsid w:val="006A664E"/>
    <w:rsid w:val="006C6927"/>
    <w:rsid w:val="006E0EBD"/>
    <w:rsid w:val="006E5121"/>
    <w:rsid w:val="006E6378"/>
    <w:rsid w:val="00713DCA"/>
    <w:rsid w:val="00716C78"/>
    <w:rsid w:val="0072035E"/>
    <w:rsid w:val="00740D31"/>
    <w:rsid w:val="00762265"/>
    <w:rsid w:val="007623AA"/>
    <w:rsid w:val="00775463"/>
    <w:rsid w:val="00782DF8"/>
    <w:rsid w:val="007C1EA5"/>
    <w:rsid w:val="007C2F5B"/>
    <w:rsid w:val="007E542A"/>
    <w:rsid w:val="00840FF5"/>
    <w:rsid w:val="008463AD"/>
    <w:rsid w:val="00871660"/>
    <w:rsid w:val="008729DA"/>
    <w:rsid w:val="008765AD"/>
    <w:rsid w:val="00895032"/>
    <w:rsid w:val="008E330B"/>
    <w:rsid w:val="008F2567"/>
    <w:rsid w:val="008F6E83"/>
    <w:rsid w:val="00900091"/>
    <w:rsid w:val="00915258"/>
    <w:rsid w:val="00916FD2"/>
    <w:rsid w:val="00924DCD"/>
    <w:rsid w:val="00964CDD"/>
    <w:rsid w:val="0097355C"/>
    <w:rsid w:val="00992957"/>
    <w:rsid w:val="009A719E"/>
    <w:rsid w:val="009C1D72"/>
    <w:rsid w:val="009C73D2"/>
    <w:rsid w:val="009F6312"/>
    <w:rsid w:val="00A04083"/>
    <w:rsid w:val="00A04A7B"/>
    <w:rsid w:val="00A358B0"/>
    <w:rsid w:val="00A46B0B"/>
    <w:rsid w:val="00A73F96"/>
    <w:rsid w:val="00A87717"/>
    <w:rsid w:val="00A9401B"/>
    <w:rsid w:val="00AB761E"/>
    <w:rsid w:val="00AC3F37"/>
    <w:rsid w:val="00AE1610"/>
    <w:rsid w:val="00AE46E8"/>
    <w:rsid w:val="00B210DC"/>
    <w:rsid w:val="00B44955"/>
    <w:rsid w:val="00B63FF1"/>
    <w:rsid w:val="00B66AAC"/>
    <w:rsid w:val="00B7433B"/>
    <w:rsid w:val="00B76B09"/>
    <w:rsid w:val="00B824D4"/>
    <w:rsid w:val="00B87168"/>
    <w:rsid w:val="00B93D20"/>
    <w:rsid w:val="00BA0FB9"/>
    <w:rsid w:val="00BA7807"/>
    <w:rsid w:val="00C02238"/>
    <w:rsid w:val="00C03174"/>
    <w:rsid w:val="00C03790"/>
    <w:rsid w:val="00C12B20"/>
    <w:rsid w:val="00C433FB"/>
    <w:rsid w:val="00C47EA9"/>
    <w:rsid w:val="00C65C58"/>
    <w:rsid w:val="00C71194"/>
    <w:rsid w:val="00C86C0F"/>
    <w:rsid w:val="00C927D7"/>
    <w:rsid w:val="00CB6811"/>
    <w:rsid w:val="00CC4507"/>
    <w:rsid w:val="00CE244A"/>
    <w:rsid w:val="00D23EBD"/>
    <w:rsid w:val="00D32794"/>
    <w:rsid w:val="00D419AF"/>
    <w:rsid w:val="00D60113"/>
    <w:rsid w:val="00D92F34"/>
    <w:rsid w:val="00DA1E25"/>
    <w:rsid w:val="00E2070D"/>
    <w:rsid w:val="00E25B87"/>
    <w:rsid w:val="00E67D86"/>
    <w:rsid w:val="00E75232"/>
    <w:rsid w:val="00E77A58"/>
    <w:rsid w:val="00E81783"/>
    <w:rsid w:val="00E86938"/>
    <w:rsid w:val="00E92FB8"/>
    <w:rsid w:val="00ED4107"/>
    <w:rsid w:val="00EF0AB4"/>
    <w:rsid w:val="00F21D6B"/>
    <w:rsid w:val="00F22D34"/>
    <w:rsid w:val="00F273DB"/>
    <w:rsid w:val="00F30C93"/>
    <w:rsid w:val="00F57627"/>
    <w:rsid w:val="00F57D4C"/>
    <w:rsid w:val="00F71B4D"/>
    <w:rsid w:val="00F71C19"/>
    <w:rsid w:val="00F90C83"/>
    <w:rsid w:val="00FC33CD"/>
    <w:rsid w:val="00FC3F97"/>
    <w:rsid w:val="00FE280C"/>
    <w:rsid w:val="00FE6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282A9F89"/>
  <w15:chartTrackingRefBased/>
  <w15:docId w15:val="{44D25D14-7B55-47C1-B54E-0E7E5807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uiPriority="10"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0" w:lineRule="atLeast"/>
    </w:pPr>
    <w:rPr>
      <w:rFonts w:ascii="Arial" w:hAnsi="Arial"/>
      <w:sz w:val="24"/>
    </w:rPr>
  </w:style>
  <w:style w:type="paragraph" w:styleId="Heading1">
    <w:name w:val="heading 1"/>
    <w:basedOn w:val="Normal"/>
    <w:next w:val="Normal"/>
    <w:link w:val="Heading1Char"/>
    <w:autoRedefine/>
    <w:uiPriority w:val="9"/>
    <w:qFormat/>
    <w:rsid w:val="00915258"/>
    <w:pPr>
      <w:spacing w:after="160" w:line="259" w:lineRule="auto"/>
      <w:jc w:val="both"/>
      <w:outlineLvl w:val="0"/>
    </w:pPr>
    <w:rPr>
      <w:rFonts w:eastAsiaTheme="minorHAnsi" w:cstheme="minorBidi"/>
      <w:b/>
      <w:sz w:val="28"/>
      <w:szCs w:val="4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styleId="CommentSubject">
    <w:name w:val="annotation subject"/>
    <w:basedOn w:val="CommentText"/>
    <w:next w:val="CommentText"/>
    <w:link w:val="CommentSubjectChar"/>
    <w:rsid w:val="005A558C"/>
    <w:rPr>
      <w:b/>
      <w:bCs/>
    </w:rPr>
  </w:style>
  <w:style w:type="character" w:customStyle="1" w:styleId="CommentTextChar">
    <w:name w:val="Comment Text Char"/>
    <w:link w:val="CommentText"/>
    <w:semiHidden/>
    <w:rsid w:val="005A558C"/>
    <w:rPr>
      <w:rFonts w:ascii="Arial" w:hAnsi="Arial"/>
    </w:rPr>
  </w:style>
  <w:style w:type="character" w:customStyle="1" w:styleId="CommentSubjectChar">
    <w:name w:val="Comment Subject Char"/>
    <w:link w:val="CommentSubject"/>
    <w:rsid w:val="005A558C"/>
    <w:rPr>
      <w:rFonts w:ascii="Arial" w:hAnsi="Arial"/>
      <w:b/>
      <w:bCs/>
    </w:rPr>
  </w:style>
  <w:style w:type="paragraph" w:styleId="BalloonText">
    <w:name w:val="Balloon Text"/>
    <w:basedOn w:val="Normal"/>
    <w:link w:val="BalloonTextChar"/>
    <w:rsid w:val="005A558C"/>
    <w:pPr>
      <w:spacing w:line="240" w:lineRule="auto"/>
    </w:pPr>
    <w:rPr>
      <w:rFonts w:ascii="Segoe UI" w:hAnsi="Segoe UI" w:cs="Segoe UI"/>
      <w:sz w:val="18"/>
      <w:szCs w:val="18"/>
    </w:rPr>
  </w:style>
  <w:style w:type="character" w:customStyle="1" w:styleId="BalloonTextChar">
    <w:name w:val="Balloon Text Char"/>
    <w:link w:val="BalloonText"/>
    <w:rsid w:val="005A558C"/>
    <w:rPr>
      <w:rFonts w:ascii="Segoe UI" w:hAnsi="Segoe UI" w:cs="Segoe UI"/>
      <w:sz w:val="18"/>
      <w:szCs w:val="18"/>
    </w:rPr>
  </w:style>
  <w:style w:type="character" w:customStyle="1" w:styleId="FooterChar">
    <w:name w:val="Footer Char"/>
    <w:link w:val="Footer"/>
    <w:rsid w:val="00A46B0B"/>
    <w:rPr>
      <w:rFonts w:ascii="Arial" w:hAnsi="Arial"/>
      <w:sz w:val="24"/>
    </w:rPr>
  </w:style>
  <w:style w:type="character" w:customStyle="1" w:styleId="added-material">
    <w:name w:val="added-material"/>
    <w:basedOn w:val="DefaultParagraphFont"/>
    <w:rsid w:val="00B210DC"/>
  </w:style>
  <w:style w:type="paragraph" w:styleId="ListParagraph">
    <w:name w:val="List Paragraph"/>
    <w:basedOn w:val="Normal"/>
    <w:uiPriority w:val="34"/>
    <w:qFormat/>
    <w:rsid w:val="00D92F34"/>
    <w:pPr>
      <w:ind w:left="720"/>
      <w:contextualSpacing/>
    </w:pPr>
  </w:style>
  <w:style w:type="character" w:customStyle="1" w:styleId="Heading1Char">
    <w:name w:val="Heading 1 Char"/>
    <w:basedOn w:val="DefaultParagraphFont"/>
    <w:link w:val="Heading1"/>
    <w:uiPriority w:val="9"/>
    <w:rsid w:val="00915258"/>
    <w:rPr>
      <w:rFonts w:ascii="Arial" w:eastAsiaTheme="minorHAnsi" w:hAnsi="Arial" w:cstheme="minorBidi"/>
      <w:b/>
      <w:sz w:val="28"/>
      <w:szCs w:val="48"/>
      <w:u w:val="single"/>
    </w:rPr>
  </w:style>
  <w:style w:type="paragraph" w:styleId="Title">
    <w:name w:val="Title"/>
    <w:basedOn w:val="Normal"/>
    <w:next w:val="Normal"/>
    <w:link w:val="TitleChar"/>
    <w:uiPriority w:val="10"/>
    <w:qFormat/>
    <w:rsid w:val="00915258"/>
    <w:pPr>
      <w:spacing w:after="160" w:line="259" w:lineRule="auto"/>
      <w:jc w:val="center"/>
    </w:pPr>
    <w:rPr>
      <w:rFonts w:eastAsiaTheme="minorHAnsi" w:cstheme="minorBidi"/>
      <w:sz w:val="56"/>
      <w:szCs w:val="56"/>
    </w:rPr>
  </w:style>
  <w:style w:type="character" w:customStyle="1" w:styleId="TitleChar">
    <w:name w:val="Title Char"/>
    <w:basedOn w:val="DefaultParagraphFont"/>
    <w:link w:val="Title"/>
    <w:uiPriority w:val="10"/>
    <w:rsid w:val="00915258"/>
    <w:rPr>
      <w:rFonts w:ascii="Arial" w:eastAsiaTheme="minorHAnsi" w:hAnsi="Arial" w:cstheme="minorBidi"/>
      <w:sz w:val="56"/>
      <w:szCs w:val="56"/>
    </w:rPr>
  </w:style>
  <w:style w:type="paragraph" w:styleId="FootnoteText">
    <w:name w:val="footnote text"/>
    <w:basedOn w:val="Normal"/>
    <w:link w:val="FootnoteTextChar"/>
    <w:rsid w:val="00360847"/>
    <w:pPr>
      <w:spacing w:line="240" w:lineRule="auto"/>
    </w:pPr>
    <w:rPr>
      <w:sz w:val="20"/>
    </w:rPr>
  </w:style>
  <w:style w:type="character" w:customStyle="1" w:styleId="FootnoteTextChar">
    <w:name w:val="Footnote Text Char"/>
    <w:basedOn w:val="DefaultParagraphFont"/>
    <w:link w:val="FootnoteText"/>
    <w:rsid w:val="00360847"/>
    <w:rPr>
      <w:rFonts w:ascii="Arial" w:hAnsi="Arial"/>
    </w:rPr>
  </w:style>
  <w:style w:type="character" w:styleId="FootnoteReference">
    <w:name w:val="footnote reference"/>
    <w:basedOn w:val="DefaultParagraphFont"/>
    <w:rsid w:val="003608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579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hlstro\Local%20Settings\Temporary%20Internet%20Files\OLKF\Memo%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771F1-F19B-4569-B51E-8D4EB4851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Format.dot</Template>
  <TotalTime>130</TotalTime>
  <Pages>13</Pages>
  <Words>4280</Words>
  <Characters>24277</Characters>
  <Application>Microsoft Office Word</Application>
  <DocSecurity>8</DocSecurity>
  <Lines>202</Lines>
  <Paragraphs>56</Paragraphs>
  <ScaleCrop>false</ScaleCrop>
  <HeadingPairs>
    <vt:vector size="2" baseType="variant">
      <vt:variant>
        <vt:lpstr>Title</vt:lpstr>
      </vt:variant>
      <vt:variant>
        <vt:i4>1</vt:i4>
      </vt:variant>
    </vt:vector>
  </HeadingPairs>
  <TitlesOfParts>
    <vt:vector size="1" baseType="lpstr">
      <vt:lpstr>State of California                                                                                                                The resources Agency</vt:lpstr>
    </vt:vector>
  </TitlesOfParts>
  <Company/>
  <LinksUpToDate>false</LinksUpToDate>
  <CharactersWithSpaces>28501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California                                                                                                                The resources Agency</dc:title>
  <dc:subject/>
  <dc:creator>jahlstro</dc:creator>
  <cp:keywords/>
  <cp:lastModifiedBy>Kemp, Mazonika@BOF</cp:lastModifiedBy>
  <cp:revision>8</cp:revision>
  <cp:lastPrinted>2022-04-27T19:48:00Z</cp:lastPrinted>
  <dcterms:created xsi:type="dcterms:W3CDTF">2022-03-25T20:50:00Z</dcterms:created>
  <dcterms:modified xsi:type="dcterms:W3CDTF">2022-04-28T18:04:00Z</dcterms:modified>
</cp:coreProperties>
</file>