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4773" w14:textId="77777777" w:rsidR="00C877D4" w:rsidRPr="006F30C2" w:rsidRDefault="00C877D4" w:rsidP="00C877D4">
      <w:pPr>
        <w:spacing w:after="0" w:line="490" w:lineRule="auto"/>
        <w:jc w:val="center"/>
        <w:rPr>
          <w:rFonts w:ascii="Arial" w:hAnsi="Arial" w:cs="Arial"/>
          <w:color w:val="FFFFFF" w:themeColor="background1"/>
          <w:sz w:val="10"/>
          <w:szCs w:val="10"/>
        </w:rPr>
      </w:pPr>
      <w:bookmarkStart w:id="0" w:name="_GoBack"/>
      <w:bookmarkEnd w:id="0"/>
      <w:r w:rsidRPr="006F30C2">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5AE33767" w14:textId="23AD38D0" w:rsidR="00C877D4" w:rsidRPr="00C877D4" w:rsidRDefault="00C877D4" w:rsidP="00C877D4">
      <w:pPr>
        <w:spacing w:after="0" w:line="490" w:lineRule="auto"/>
        <w:jc w:val="center"/>
        <w:rPr>
          <w:rFonts w:ascii="Times New Roman" w:hAnsi="Times New Roman" w:cs="Times New Roman"/>
          <w:b/>
          <w:bCs/>
          <w:sz w:val="24"/>
          <w:szCs w:val="24"/>
        </w:rPr>
      </w:pPr>
      <w:r w:rsidRPr="00C877D4">
        <w:rPr>
          <w:rFonts w:ascii="Times New Roman" w:hAnsi="Times New Roman" w:cs="Times New Roman"/>
          <w:b/>
          <w:bCs/>
          <w:sz w:val="24"/>
          <w:szCs w:val="24"/>
        </w:rPr>
        <w:t>June 8, 2021</w:t>
      </w:r>
    </w:p>
    <w:p w14:paraId="31492D38" w14:textId="2E3C5059" w:rsidR="008D6C67" w:rsidRPr="00186F61" w:rsidRDefault="00403990" w:rsidP="00C877D4">
      <w:pPr>
        <w:spacing w:after="0" w:line="490" w:lineRule="auto"/>
        <w:jc w:val="center"/>
        <w:rPr>
          <w:rFonts w:ascii="Times New Roman" w:hAnsi="Times New Roman" w:cs="Times New Roman"/>
          <w:b/>
          <w:bCs/>
          <w:sz w:val="24"/>
          <w:szCs w:val="24"/>
        </w:rPr>
      </w:pPr>
      <w:r w:rsidRPr="00186F61">
        <w:rPr>
          <w:rFonts w:ascii="Times New Roman" w:hAnsi="Times New Roman" w:cs="Times New Roman"/>
          <w:b/>
          <w:bCs/>
          <w:sz w:val="24"/>
          <w:szCs w:val="24"/>
        </w:rPr>
        <w:t>Board of Forestry and Fire Protection</w:t>
      </w:r>
    </w:p>
    <w:p w14:paraId="33FDA78B" w14:textId="6736497B" w:rsidR="00403990" w:rsidRDefault="00186F61" w:rsidP="00C877D4">
      <w:pPr>
        <w:spacing w:after="0" w:line="490" w:lineRule="auto"/>
        <w:jc w:val="center"/>
        <w:rPr>
          <w:rFonts w:ascii="Times New Roman" w:hAnsi="Times New Roman" w:cs="Times New Roman"/>
          <w:b/>
          <w:bCs/>
          <w:color w:val="000000"/>
          <w:sz w:val="24"/>
          <w:szCs w:val="24"/>
        </w:rPr>
      </w:pPr>
      <w:r w:rsidRPr="00186F61">
        <w:rPr>
          <w:rFonts w:ascii="Times New Roman" w:hAnsi="Times New Roman" w:cs="Times New Roman"/>
          <w:b/>
          <w:bCs/>
          <w:color w:val="000000"/>
          <w:sz w:val="24"/>
          <w:szCs w:val="24"/>
        </w:rPr>
        <w:t>Title 14 of the California Code of Regulations (CCR)</w:t>
      </w:r>
    </w:p>
    <w:p w14:paraId="791C408C" w14:textId="77777777" w:rsidR="009D2B8C" w:rsidRDefault="009D2B8C" w:rsidP="00C877D4">
      <w:pPr>
        <w:spacing w:after="0" w:line="49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Division 1.5, Chapter 4, Subchapter 4</w:t>
      </w:r>
    </w:p>
    <w:p w14:paraId="012D3D0A" w14:textId="4BE521F6" w:rsidR="009D2B8C" w:rsidRDefault="009D2B8C" w:rsidP="00C877D4">
      <w:pPr>
        <w:spacing w:after="0" w:line="49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3</w:t>
      </w:r>
    </w:p>
    <w:p w14:paraId="4A58EB56" w14:textId="1D1671DE" w:rsidR="009D2B8C" w:rsidRDefault="009D2B8C" w:rsidP="00C877D4">
      <w:pPr>
        <w:spacing w:after="0" w:line="49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Amend: </w:t>
      </w:r>
      <w:bookmarkStart w:id="1" w:name="_Hlk73425903"/>
      <w:r w:rsidRPr="009D2B8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End w:id="1"/>
      <w:r>
        <w:rPr>
          <w:rFonts w:ascii="Times New Roman" w:hAnsi="Times New Roman" w:cs="Times New Roman"/>
          <w:b/>
          <w:bCs/>
          <w:color w:val="000000"/>
          <w:sz w:val="24"/>
          <w:szCs w:val="24"/>
        </w:rPr>
        <w:t>913.8</w:t>
      </w:r>
    </w:p>
    <w:p w14:paraId="011B20A1" w14:textId="2690E37F" w:rsidR="009D2B8C" w:rsidRPr="00777EF6" w:rsidRDefault="00777EF6" w:rsidP="00C877D4">
      <w:pPr>
        <w:spacing w:after="0" w:line="490" w:lineRule="auto"/>
        <w:rPr>
          <w:rFonts w:ascii="Times New Roman" w:hAnsi="Times New Roman" w:cs="Times New Roman"/>
          <w:b/>
          <w:bCs/>
          <w:color w:val="000000"/>
          <w:sz w:val="24"/>
          <w:szCs w:val="24"/>
        </w:rPr>
      </w:pPr>
      <w:r w:rsidRPr="00777EF6">
        <w:rPr>
          <w:rFonts w:ascii="Times New Roman" w:hAnsi="Times New Roman" w:cs="Times New Roman"/>
          <w:b/>
          <w:bCs/>
          <w:color w:val="000000"/>
          <w:sz w:val="24"/>
          <w:szCs w:val="24"/>
        </w:rPr>
        <w:t xml:space="preserve">§ </w:t>
      </w:r>
      <w:r w:rsidR="009D2B8C" w:rsidRPr="00777EF6">
        <w:rPr>
          <w:rFonts w:ascii="Times New Roman" w:hAnsi="Times New Roman" w:cs="Times New Roman"/>
          <w:b/>
          <w:bCs/>
          <w:color w:val="000000"/>
          <w:sz w:val="24"/>
          <w:szCs w:val="24"/>
        </w:rPr>
        <w:t>Article 3. Silvicultural Methods</w:t>
      </w:r>
    </w:p>
    <w:p w14:paraId="56CD5FDA" w14:textId="77777777" w:rsidR="00777EF6" w:rsidRPr="00777EF6" w:rsidRDefault="00777EF6" w:rsidP="00C877D4">
      <w:pPr>
        <w:pStyle w:val="Default"/>
        <w:spacing w:line="490" w:lineRule="auto"/>
        <w:rPr>
          <w:b/>
          <w:bCs/>
        </w:rPr>
      </w:pPr>
      <w:r w:rsidRPr="00777EF6">
        <w:rPr>
          <w:b/>
          <w:bCs/>
        </w:rPr>
        <w:t>Amend 913.8 Special Harvesting Methods for Southern Subdistrict [Coast]</w:t>
      </w:r>
    </w:p>
    <w:p w14:paraId="3537F4E5" w14:textId="77777777" w:rsidR="00777EF6" w:rsidRPr="00777EF6" w:rsidRDefault="00777EF6" w:rsidP="00C877D4">
      <w:pPr>
        <w:pStyle w:val="Default"/>
        <w:spacing w:line="490" w:lineRule="auto"/>
        <w:rPr>
          <w:b/>
          <w:bCs/>
        </w:rPr>
      </w:pPr>
    </w:p>
    <w:p w14:paraId="2F99B963" w14:textId="05BF259B" w:rsidR="00E2581C" w:rsidRPr="00777EF6" w:rsidRDefault="008D6C67" w:rsidP="00C877D4">
      <w:pPr>
        <w:pStyle w:val="Default"/>
        <w:spacing w:line="490" w:lineRule="auto"/>
        <w:rPr>
          <w:b/>
          <w:bCs/>
        </w:rPr>
      </w:pPr>
      <w:r w:rsidRPr="00777EF6">
        <w:rPr>
          <w:b/>
          <w:bCs/>
          <w:sz w:val="22"/>
          <w:szCs w:val="22"/>
        </w:rPr>
        <w:t>Only the following regeneration methods and stocking requirements</w:t>
      </w:r>
      <w:r w:rsidR="00777EF6" w:rsidRPr="00777EF6">
        <w:rPr>
          <w:b/>
          <w:bCs/>
          <w:u w:val="single"/>
        </w:rPr>
        <w:t xml:space="preserve">, </w:t>
      </w:r>
      <w:r w:rsidR="00777EF6" w:rsidRPr="00777EF6">
        <w:rPr>
          <w:b/>
          <w:bCs/>
          <w:sz w:val="22"/>
          <w:szCs w:val="22"/>
          <w:u w:val="single"/>
        </w:rPr>
        <w:t>and those described in 14 CCR § 1080 et seq.,</w:t>
      </w:r>
      <w:r w:rsidRPr="00777EF6">
        <w:rPr>
          <w:b/>
          <w:bCs/>
          <w:sz w:val="22"/>
          <w:szCs w:val="22"/>
        </w:rPr>
        <w:t xml:space="preserve"> shall apply in the Southern Subdistrict of the Coast Forest District. Timber Operations shall be conducted in accordance with subsections (a), (b), (c), or (d)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sectPr w:rsidR="00E2581C" w:rsidRPr="00777EF6" w:rsidSect="00777EF6">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A117" w14:textId="77777777" w:rsidR="008D6C67" w:rsidRDefault="008D6C67" w:rsidP="008D6C67">
      <w:pPr>
        <w:spacing w:after="0" w:line="240" w:lineRule="auto"/>
      </w:pPr>
      <w:r>
        <w:separator/>
      </w:r>
    </w:p>
  </w:endnote>
  <w:endnote w:type="continuationSeparator" w:id="0">
    <w:p w14:paraId="078BDC67" w14:textId="77777777" w:rsidR="008D6C67" w:rsidRDefault="008D6C67" w:rsidP="008D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87FF" w14:textId="6F9CB974" w:rsidR="00002A89" w:rsidRDefault="00002A89">
    <w:pPr>
      <w:pStyle w:val="Footer"/>
    </w:pPr>
    <w:r>
      <w:tab/>
    </w:r>
    <w:r>
      <w:tab/>
      <w:t>FPC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CC51" w14:textId="77777777" w:rsidR="008D6C67" w:rsidRDefault="008D6C67" w:rsidP="008D6C67">
      <w:pPr>
        <w:spacing w:after="0" w:line="240" w:lineRule="auto"/>
      </w:pPr>
      <w:r>
        <w:separator/>
      </w:r>
    </w:p>
  </w:footnote>
  <w:footnote w:type="continuationSeparator" w:id="0">
    <w:p w14:paraId="7515FD77" w14:textId="77777777" w:rsidR="008D6C67" w:rsidRDefault="008D6C67" w:rsidP="008D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4842" w14:textId="77777777" w:rsidR="00C877D4" w:rsidRDefault="00002A89" w:rsidP="00C877D4">
    <w:pPr>
      <w:pStyle w:val="Header"/>
      <w:jc w:val="center"/>
      <w:rPr>
        <w:rFonts w:ascii="Calibri" w:hAnsi="Calibri"/>
      </w:rPr>
    </w:pPr>
    <w:sdt>
      <w:sdtPr>
        <w:id w:val="-311646286"/>
        <w:docPartObj>
          <w:docPartGallery w:val="Watermarks"/>
          <w:docPartUnique/>
        </w:docPartObj>
      </w:sdtPr>
      <w:sdtEndPr/>
      <w:sdtContent>
        <w:r>
          <w:rPr>
            <w:noProof/>
          </w:rPr>
          <w:pict w14:anchorId="597F9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77D4" w:rsidRPr="005C4B95">
      <w:rPr>
        <w:rFonts w:ascii="Calibri" w:hAnsi="Calibri"/>
        <w:noProof/>
      </w:rPr>
      <mc:AlternateContent>
        <mc:Choice Requires="wps">
          <w:drawing>
            <wp:anchor distT="0" distB="0" distL="114300" distR="114300" simplePos="0" relativeHeight="251656192" behindDoc="0" locked="0" layoutInCell="1" allowOverlap="1" wp14:anchorId="7055E4A2" wp14:editId="2A31008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0B9485A"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C877D4" w:rsidRPr="005C4B95">
      <w:rPr>
        <w:rFonts w:ascii="Calibri" w:hAnsi="Calibri"/>
        <w:noProof/>
      </w:rPr>
      <mc:AlternateContent>
        <mc:Choice Requires="wps">
          <w:drawing>
            <wp:anchor distT="0" distB="0" distL="114300" distR="114300" simplePos="0" relativeHeight="251658240" behindDoc="0" locked="0" layoutInCell="1" allowOverlap="1" wp14:anchorId="34EE279D" wp14:editId="2F729371">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BD1161A"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00C877D4" w:rsidRPr="005C4B95">
      <w:rPr>
        <w:rFonts w:ascii="Calibri" w:hAnsi="Calibri"/>
        <w:noProof/>
      </w:rPr>
      <mc:AlternateContent>
        <mc:Choice Requires="wps">
          <w:drawing>
            <wp:anchor distT="0" distB="0" distL="114300" distR="114300" simplePos="0" relativeHeight="251657216" behindDoc="0" locked="0" layoutInCell="1" allowOverlap="1" wp14:anchorId="598F34FC" wp14:editId="65F086B4">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C91A9A5"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sidR="00C877D4">
      <w:rPr>
        <w:rFonts w:ascii="Calibri" w:hAnsi="Calibri"/>
      </w:rPr>
      <w:t>DRAFT DOCUMENT</w:t>
    </w:r>
  </w:p>
  <w:p w14:paraId="1CC7B6C9" w14:textId="2761DC87" w:rsidR="00777EF6" w:rsidRDefault="00777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HiDsqga4DHXq+n0LhWR/Z8aA0uXq2PLa9JRrGT1u5HklWtGngaFoN6dcoxesObohpcDqWUpJJq9tQXm2SdRaA==" w:salt="awL6KcmvsLVyw9bGxyR7o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67"/>
    <w:rsid w:val="00002A89"/>
    <w:rsid w:val="00186F61"/>
    <w:rsid w:val="00403990"/>
    <w:rsid w:val="006B60B4"/>
    <w:rsid w:val="00777EF6"/>
    <w:rsid w:val="008D6C67"/>
    <w:rsid w:val="009D2B8C"/>
    <w:rsid w:val="00C877D4"/>
    <w:rsid w:val="00E2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AD237"/>
  <w15:chartTrackingRefBased/>
  <w15:docId w15:val="{E10B6A32-D96F-4B6F-B8C1-22FB78A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C67"/>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8D6C67"/>
  </w:style>
  <w:style w:type="paragraph" w:styleId="Header">
    <w:name w:val="header"/>
    <w:basedOn w:val="Normal"/>
    <w:link w:val="HeaderChar"/>
    <w:uiPriority w:val="99"/>
    <w:unhideWhenUsed/>
    <w:rsid w:val="008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67"/>
  </w:style>
  <w:style w:type="paragraph" w:styleId="Footer">
    <w:name w:val="footer"/>
    <w:basedOn w:val="Normal"/>
    <w:link w:val="FooterChar"/>
    <w:uiPriority w:val="99"/>
    <w:unhideWhenUsed/>
    <w:rsid w:val="008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958</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Dan@BOF</dc:creator>
  <cp:keywords/>
  <dc:description/>
  <cp:lastModifiedBy>Kemp, Mazonika@BOF</cp:lastModifiedBy>
  <cp:revision>3</cp:revision>
  <dcterms:created xsi:type="dcterms:W3CDTF">2021-06-01T16:51:00Z</dcterms:created>
  <dcterms:modified xsi:type="dcterms:W3CDTF">2021-06-02T17:18:00Z</dcterms:modified>
</cp:coreProperties>
</file>