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0EA42" w14:textId="5DDF3612" w:rsidR="00B73B19" w:rsidRPr="00DE30A6" w:rsidRDefault="00B73B19" w:rsidP="00B73B19">
      <w:pPr>
        <w:rPr>
          <w:rFonts w:cs="Arial"/>
          <w:b/>
        </w:rPr>
      </w:pPr>
      <w:bookmarkStart w:id="0" w:name="_GoBack"/>
      <w:bookmarkEnd w:id="0"/>
    </w:p>
    <w:p w14:paraId="00E7A9DE" w14:textId="77777777" w:rsidR="00B73B19" w:rsidRPr="00B73B19" w:rsidRDefault="00B73B19" w:rsidP="00B73B19">
      <w:pPr>
        <w:contextualSpacing/>
        <w:rPr>
          <w:rFonts w:eastAsiaTheme="majorEastAsia" w:cs="Arial"/>
          <w:spacing w:val="-10"/>
          <w:kern w:val="28"/>
          <w:szCs w:val="56"/>
        </w:rPr>
      </w:pPr>
      <w:r w:rsidRPr="00DE30A6">
        <w:rPr>
          <w:rFonts w:eastAsiaTheme="majorEastAsia" w:cs="Arial"/>
          <w:spacing w:val="-10"/>
          <w:kern w:val="28"/>
          <w:szCs w:val="56"/>
        </w:rPr>
        <w:t xml:space="preserve">January </w:t>
      </w:r>
      <w:r w:rsidR="00886C71">
        <w:rPr>
          <w:rFonts w:eastAsiaTheme="majorEastAsia" w:cs="Arial"/>
          <w:spacing w:val="-10"/>
          <w:kern w:val="28"/>
          <w:szCs w:val="56"/>
        </w:rPr>
        <w:t>12</w:t>
      </w:r>
      <w:r w:rsidRPr="00DE30A6">
        <w:rPr>
          <w:rFonts w:eastAsiaTheme="majorEastAsia" w:cs="Arial"/>
          <w:spacing w:val="-10"/>
          <w:kern w:val="28"/>
          <w:szCs w:val="56"/>
        </w:rPr>
        <w:t>, 2021</w:t>
      </w:r>
    </w:p>
    <w:p w14:paraId="526C4C7D" w14:textId="77777777" w:rsidR="00B73B19" w:rsidRPr="00B73B19" w:rsidRDefault="00B73B19" w:rsidP="00B73B19">
      <w:pPr>
        <w:contextualSpacing/>
        <w:rPr>
          <w:rFonts w:eastAsiaTheme="majorEastAsia" w:cs="Arial"/>
          <w:spacing w:val="-10"/>
          <w:kern w:val="28"/>
          <w:szCs w:val="24"/>
        </w:rPr>
      </w:pPr>
    </w:p>
    <w:p w14:paraId="1FBF4303" w14:textId="77777777" w:rsidR="00B73B19" w:rsidRPr="00B73B19"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To: </w:t>
      </w:r>
      <w:r w:rsidRPr="00B73B19">
        <w:rPr>
          <w:rFonts w:eastAsiaTheme="majorEastAsia" w:cs="Arial"/>
          <w:spacing w:val="-10"/>
          <w:kern w:val="28"/>
          <w:szCs w:val="24"/>
        </w:rPr>
        <w:tab/>
        <w:t>Board Members</w:t>
      </w:r>
    </w:p>
    <w:p w14:paraId="077A82BD" w14:textId="77777777" w:rsidR="00B73B19" w:rsidRPr="00B73B19" w:rsidRDefault="00B73B19" w:rsidP="00B73B19">
      <w:pPr>
        <w:contextualSpacing/>
        <w:rPr>
          <w:rFonts w:eastAsiaTheme="majorEastAsia" w:cs="Arial"/>
          <w:spacing w:val="-10"/>
          <w:kern w:val="28"/>
          <w:szCs w:val="24"/>
        </w:rPr>
      </w:pPr>
    </w:p>
    <w:p w14:paraId="01F64C6E" w14:textId="24B8FC51" w:rsidR="00F56892"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From: </w:t>
      </w:r>
      <w:r w:rsidRPr="00B73B19">
        <w:rPr>
          <w:rFonts w:eastAsiaTheme="majorEastAsia" w:cs="Arial"/>
          <w:spacing w:val="-10"/>
          <w:kern w:val="28"/>
          <w:szCs w:val="24"/>
        </w:rPr>
        <w:tab/>
      </w:r>
      <w:r w:rsidR="00F56892" w:rsidRPr="00DE30A6">
        <w:rPr>
          <w:rFonts w:eastAsiaTheme="majorEastAsia" w:cs="Arial"/>
          <w:spacing w:val="-10"/>
          <w:kern w:val="28"/>
          <w:szCs w:val="24"/>
        </w:rPr>
        <w:t>Claire McCoy, Wildfire Planning Specialist</w:t>
      </w:r>
    </w:p>
    <w:p w14:paraId="67B488BD" w14:textId="6DAC5D04" w:rsidR="00BC396F" w:rsidRPr="00B73B19" w:rsidRDefault="00BC396F" w:rsidP="00B73B19">
      <w:pPr>
        <w:contextualSpacing/>
        <w:rPr>
          <w:rFonts w:eastAsiaTheme="majorEastAsia" w:cs="Arial"/>
          <w:spacing w:val="-10"/>
          <w:kern w:val="28"/>
          <w:szCs w:val="24"/>
        </w:rPr>
      </w:pPr>
      <w:r>
        <w:rPr>
          <w:rFonts w:eastAsiaTheme="majorEastAsia" w:cs="Arial"/>
          <w:spacing w:val="-10"/>
          <w:kern w:val="28"/>
          <w:szCs w:val="24"/>
        </w:rPr>
        <w:tab/>
        <w:t>Edith Hannigan, Land Use Planning Policy Manager</w:t>
      </w:r>
    </w:p>
    <w:p w14:paraId="60DEBB2D" w14:textId="77777777" w:rsidR="00B73B19" w:rsidRPr="00B73B19" w:rsidRDefault="00B73B19" w:rsidP="00B73B19">
      <w:pPr>
        <w:contextualSpacing/>
        <w:rPr>
          <w:rFonts w:eastAsiaTheme="majorEastAsia" w:cs="Arial"/>
          <w:b/>
          <w:spacing w:val="-10"/>
          <w:kern w:val="28"/>
          <w:szCs w:val="24"/>
        </w:rPr>
      </w:pPr>
    </w:p>
    <w:p w14:paraId="5BBF956D" w14:textId="797461B4" w:rsidR="00B73B19" w:rsidRPr="00DE30A6" w:rsidRDefault="00B73B19" w:rsidP="00B73B19">
      <w:pPr>
        <w:contextualSpacing/>
        <w:rPr>
          <w:rFonts w:cs="Arial"/>
          <w:b/>
        </w:rPr>
      </w:pPr>
      <w:r w:rsidRPr="00B73B19">
        <w:rPr>
          <w:rFonts w:eastAsiaTheme="majorEastAsia" w:cs="Arial"/>
          <w:b/>
          <w:bCs/>
          <w:spacing w:val="-10"/>
          <w:kern w:val="28"/>
          <w:szCs w:val="24"/>
        </w:rPr>
        <w:t>Re:</w:t>
      </w:r>
      <w:r w:rsidR="00C15F81">
        <w:rPr>
          <w:rFonts w:cs="Arial"/>
          <w:b/>
        </w:rPr>
        <w:t xml:space="preserve"> </w:t>
      </w:r>
      <w:r w:rsidR="00595A5C">
        <w:rPr>
          <w:rFonts w:cs="Arial"/>
          <w:b/>
        </w:rPr>
        <w:t xml:space="preserve">January 12 RPC Workshop </w:t>
      </w:r>
    </w:p>
    <w:p w14:paraId="5FD44C8A" w14:textId="7803D4E6" w:rsidR="00B73B19" w:rsidRPr="00DE30A6" w:rsidRDefault="00595A5C" w:rsidP="009C5EB4">
      <w:pPr>
        <w:pStyle w:val="Heading1"/>
        <w:rPr>
          <w:rFonts w:cs="Arial"/>
        </w:rPr>
      </w:pPr>
      <w:r>
        <w:rPr>
          <w:rFonts w:cs="Arial"/>
        </w:rPr>
        <w:t>Summary of Discussion</w:t>
      </w:r>
    </w:p>
    <w:p w14:paraId="6F223FE0" w14:textId="065EDFA8" w:rsidR="00886C71" w:rsidRDefault="00595A5C" w:rsidP="00886C71">
      <w:pPr>
        <w:rPr>
          <w:rFonts w:cs="Arial"/>
          <w:u w:val="single"/>
        </w:rPr>
      </w:pPr>
      <w:r>
        <w:rPr>
          <w:rFonts w:cs="Arial"/>
        </w:rPr>
        <w:br/>
      </w:r>
      <w:r w:rsidRPr="00595A5C">
        <w:rPr>
          <w:rFonts w:cs="Arial"/>
          <w:u w:val="single"/>
        </w:rPr>
        <w:t xml:space="preserve">Agenda Item 1: Fire Risk Reduction Communities List </w:t>
      </w:r>
    </w:p>
    <w:p w14:paraId="531B088D" w14:textId="77777777" w:rsidR="00595A5C" w:rsidRDefault="00595A5C" w:rsidP="00886C71">
      <w:pPr>
        <w:rPr>
          <w:rFonts w:cs="Arial"/>
        </w:rPr>
      </w:pPr>
      <w:r>
        <w:rPr>
          <w:rFonts w:cs="Arial"/>
        </w:rPr>
        <w:tab/>
      </w:r>
    </w:p>
    <w:p w14:paraId="231B8660" w14:textId="7A671C88" w:rsidR="00BF3738" w:rsidRDefault="00595A5C" w:rsidP="00595A5C">
      <w:pPr>
        <w:ind w:firstLine="720"/>
        <w:rPr>
          <w:rFonts w:cs="Arial"/>
        </w:rPr>
      </w:pPr>
      <w:r>
        <w:rPr>
          <w:rFonts w:cs="Arial"/>
        </w:rPr>
        <w:t xml:space="preserve">Board staff presented a draft rule plead to establish criteria for developing the Fire Risk Reduction Communities List </w:t>
      </w:r>
      <w:r w:rsidR="00BF3738">
        <w:rPr>
          <w:rFonts w:cs="Arial"/>
        </w:rPr>
        <w:t xml:space="preserve">(List) </w:t>
      </w:r>
      <w:r>
        <w:rPr>
          <w:rFonts w:cs="Arial"/>
        </w:rPr>
        <w:t xml:space="preserve">as required by PRC § 4190.1. </w:t>
      </w:r>
    </w:p>
    <w:p w14:paraId="00B6F652" w14:textId="71FECBC4" w:rsidR="00595A5C" w:rsidRDefault="00986ED5" w:rsidP="00595A5C">
      <w:pPr>
        <w:ind w:firstLine="720"/>
        <w:rPr>
          <w:rFonts w:cs="Arial"/>
        </w:rPr>
      </w:pPr>
      <w:r>
        <w:rPr>
          <w:rFonts w:cs="Arial"/>
        </w:rPr>
        <w:t xml:space="preserve">Board members provided feedback primarily regarding definitions for the terms “Local Agency” and “Low-Income Local Agency,” with feedback from the public providing additional sources to inform the definition of “Low-Income Local Agency.” Income thresholds from the Department of Housing and Community Development as well as the Air Resources Board’s Greenhouse Gas Reduction Fund are being considered in defining the term.  </w:t>
      </w:r>
    </w:p>
    <w:p w14:paraId="56DC1590" w14:textId="0B3AA681" w:rsidR="00BF3738" w:rsidRDefault="00BF3738" w:rsidP="00595A5C">
      <w:pPr>
        <w:ind w:firstLine="720"/>
        <w:rPr>
          <w:rFonts w:cs="Arial"/>
        </w:rPr>
      </w:pPr>
      <w:r>
        <w:rPr>
          <w:rFonts w:cs="Arial"/>
        </w:rPr>
        <w:t xml:space="preserve">Board members also suggested coordinating with the CAL FIRE Grants Program to determine the specifics of how the List will be used in prioritizing applications for local assistance grant funding. </w:t>
      </w:r>
    </w:p>
    <w:p w14:paraId="772DB9B3" w14:textId="3BB9DAF0" w:rsidR="00BF3738" w:rsidRDefault="00BF3738" w:rsidP="00BF3738">
      <w:pPr>
        <w:rPr>
          <w:rFonts w:cs="Arial"/>
        </w:rPr>
      </w:pPr>
    </w:p>
    <w:p w14:paraId="6410F038" w14:textId="678788E1" w:rsidR="00BF3738" w:rsidRDefault="00BF3738" w:rsidP="00BF3738">
      <w:pPr>
        <w:rPr>
          <w:rFonts w:cs="Arial"/>
          <w:u w:val="single"/>
        </w:rPr>
      </w:pPr>
      <w:r>
        <w:rPr>
          <w:rFonts w:cs="Arial"/>
          <w:u w:val="single"/>
        </w:rPr>
        <w:t xml:space="preserve">Agenda Item 2: Subdivision Findings Form </w:t>
      </w:r>
    </w:p>
    <w:p w14:paraId="559B039E" w14:textId="36E6A31C" w:rsidR="00BF3738" w:rsidRDefault="00BF3738" w:rsidP="00BF3738">
      <w:pPr>
        <w:rPr>
          <w:rFonts w:cs="Arial"/>
          <w:u w:val="single"/>
        </w:rPr>
      </w:pPr>
    </w:p>
    <w:p w14:paraId="490C336D" w14:textId="74D10FFD" w:rsidR="00BF3738" w:rsidRDefault="00BF3738" w:rsidP="00BF3738">
      <w:pPr>
        <w:rPr>
          <w:rFonts w:cs="Arial"/>
        </w:rPr>
      </w:pPr>
      <w:r>
        <w:rPr>
          <w:rFonts w:cs="Arial"/>
        </w:rPr>
        <w:tab/>
        <w:t xml:space="preserve">Board staff presented a draft form for local jurisdictions to complete in making the two findings required in 14 CCR § 1266.02 upon approval of a tentative or parcel map in State Responsibility Area (SRA) or Local Responsibility Area Very High Fire Hazard Severity Zone (LRA VHFHSZ). The form is not a part of a formal rulemaking process, but rather is intended to streamline and standardize compliance with existing regulations. </w:t>
      </w:r>
    </w:p>
    <w:p w14:paraId="135F4357" w14:textId="4BD1695D" w:rsidR="00BF3738" w:rsidRDefault="00BF3738" w:rsidP="00BF3738">
      <w:pPr>
        <w:rPr>
          <w:rFonts w:cs="Arial"/>
        </w:rPr>
      </w:pPr>
      <w:r>
        <w:rPr>
          <w:rFonts w:cs="Arial"/>
        </w:rPr>
        <w:tab/>
        <w:t xml:space="preserve">Board members provided feedback on the length and structure of the form, as well as what types of evidence should be referenced and submitted along with the form. Regarding one of the required findings about defensible space, members raised the distinction between defensible space requirements that come to bear on subdivision approval decisions and those which can only be met and maintained by homeowners once a subdivision is completed. </w:t>
      </w:r>
    </w:p>
    <w:p w14:paraId="3BC3DF6A" w14:textId="645EBC0C" w:rsidR="00BF3738" w:rsidRDefault="00BF3738" w:rsidP="00BF3738">
      <w:pPr>
        <w:rPr>
          <w:rFonts w:cs="Arial"/>
        </w:rPr>
      </w:pPr>
    </w:p>
    <w:p w14:paraId="216110B2" w14:textId="4884E9BA" w:rsidR="00BF3738" w:rsidRDefault="00BF3738" w:rsidP="00BF3738">
      <w:pPr>
        <w:rPr>
          <w:rFonts w:cs="Arial"/>
          <w:szCs w:val="24"/>
          <w:u w:val="single"/>
        </w:rPr>
      </w:pPr>
      <w:r>
        <w:rPr>
          <w:rFonts w:cs="Arial"/>
          <w:szCs w:val="24"/>
          <w:u w:val="single"/>
        </w:rPr>
        <w:t>Agenda Item 3: Gov</w:t>
      </w:r>
      <w:r w:rsidR="001A1D07">
        <w:rPr>
          <w:rFonts w:cs="Arial"/>
          <w:szCs w:val="24"/>
          <w:u w:val="single"/>
        </w:rPr>
        <w:t>ernment Code 65302(g)(5) Issue</w:t>
      </w:r>
      <w:r>
        <w:rPr>
          <w:rFonts w:cs="Arial"/>
          <w:szCs w:val="24"/>
          <w:u w:val="single"/>
        </w:rPr>
        <w:t xml:space="preserve"> </w:t>
      </w:r>
    </w:p>
    <w:p w14:paraId="7CBE2E72" w14:textId="481C4174" w:rsidR="001A1D07" w:rsidRDefault="001A1D07" w:rsidP="00BF3738">
      <w:pPr>
        <w:rPr>
          <w:rFonts w:cs="Arial"/>
          <w:szCs w:val="24"/>
        </w:rPr>
      </w:pPr>
      <w:r>
        <w:rPr>
          <w:rFonts w:cs="Arial"/>
          <w:szCs w:val="24"/>
        </w:rPr>
        <w:tab/>
        <w:t xml:space="preserve">Board staff provided a summary of an issue raised by local agencies requesting clarification on how to comply with Government Code § 65302(g)(5), which </w:t>
      </w:r>
    </w:p>
    <w:p w14:paraId="28ECB272" w14:textId="6AC8197B" w:rsidR="001A1D07" w:rsidRPr="001A1D07" w:rsidRDefault="001A1D07" w:rsidP="00BF3738">
      <w:pPr>
        <w:rPr>
          <w:rFonts w:cs="Arial"/>
          <w:szCs w:val="24"/>
        </w:rPr>
      </w:pPr>
      <w:r w:rsidRPr="00DE30A6">
        <w:rPr>
          <w:rFonts w:cs="Arial"/>
        </w:rPr>
        <w:lastRenderedPageBreak/>
        <w:t>requires local jurisdictions containing SRA or LRA VHFHSZ to identify in their safety element all “residential developments” located in “any hazard area identified in the safety element” which lack “at least two emergency evacuation routes.” There are no more specific parameters in that code section or elsewhere in statute dictating how local agencies should interpret these terms.</w:t>
      </w:r>
      <w:r>
        <w:rPr>
          <w:rFonts w:cs="Arial"/>
        </w:rPr>
        <w:t xml:space="preserve"> The Governor’s Office of Planning and Research is currently in the early stages of developing guidance for local agencies on how to interpret these terms. Board staff will continue to coordinate with OPR on the issue and will communicate with Board members to determine the Board’s desired </w:t>
      </w:r>
      <w:r w:rsidR="003D37D2">
        <w:rPr>
          <w:rFonts w:cs="Arial"/>
        </w:rPr>
        <w:t xml:space="preserve">interpretive </w:t>
      </w:r>
      <w:r>
        <w:rPr>
          <w:rFonts w:cs="Arial"/>
        </w:rPr>
        <w:t>role</w:t>
      </w:r>
      <w:r w:rsidR="003D37D2">
        <w:rPr>
          <w:rFonts w:cs="Arial"/>
        </w:rPr>
        <w:t xml:space="preserve">, if any. </w:t>
      </w:r>
      <w:r>
        <w:rPr>
          <w:rFonts w:cs="Arial"/>
        </w:rPr>
        <w:t xml:space="preserve"> </w:t>
      </w:r>
    </w:p>
    <w:sectPr w:rsidR="001A1D07" w:rsidRPr="001A1D07"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3CAA" w14:textId="77777777" w:rsidR="00A82469" w:rsidRDefault="00A82469" w:rsidP="005F6B90">
      <w:r>
        <w:separator/>
      </w:r>
    </w:p>
  </w:endnote>
  <w:endnote w:type="continuationSeparator" w:id="0">
    <w:p w14:paraId="37FF63BC" w14:textId="77777777"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9B69" w14:textId="65751B91" w:rsidR="00FB03E5" w:rsidRDefault="00FB03E5">
    <w:pPr>
      <w:pStyle w:val="Footer"/>
    </w:pPr>
    <w:r>
      <w:tab/>
    </w:r>
    <w:r>
      <w:tab/>
      <w:t>JOINT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ACB2" w14:textId="6CCE2111" w:rsidR="00FB03E5" w:rsidRDefault="00FB03E5">
    <w:pPr>
      <w:pStyle w:val="Footer"/>
    </w:pPr>
    <w:r>
      <w:tab/>
    </w:r>
    <w:r>
      <w:tab/>
      <w:t>JOINT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ED8A" w14:textId="77777777" w:rsidR="00A82469" w:rsidRDefault="00A82469" w:rsidP="005F6B90">
      <w:r>
        <w:separator/>
      </w:r>
    </w:p>
  </w:footnote>
  <w:footnote w:type="continuationSeparator" w:id="0">
    <w:p w14:paraId="05015E11" w14:textId="77777777"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112E" w14:textId="77777777" w:rsidR="00255842" w:rsidRDefault="00B73B19">
    <w:pPr>
      <w:pStyle w:val="Header"/>
    </w:pPr>
    <w:r>
      <w:rPr>
        <w:noProof/>
      </w:rPr>
      <mc:AlternateContent>
        <mc:Choice Requires="wps">
          <w:drawing>
            <wp:anchor distT="0" distB="0" distL="114300" distR="114300" simplePos="0" relativeHeight="251661824" behindDoc="1" locked="0" layoutInCell="0" allowOverlap="1" wp14:anchorId="429ADBA2" wp14:editId="49E8BC8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BDCC3" w14:textId="77777777"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E00D"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56B5213F"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DC95582"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FE26473"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009474DD" wp14:editId="5A53E726">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3E5">
      <w:rPr>
        <w:spacing w:val="-2"/>
        <w:sz w:val="12"/>
        <w:szCs w:val="12"/>
      </w:rPr>
      <w:pict w14:anchorId="5FD784BB">
        <v:rect id="_x0000_i1025" style="width:0;height:1.5pt" o:hralign="center" o:hrstd="t" o:hr="t" fillcolor="#a0a0a0" stroked="f"/>
      </w:pict>
    </w:r>
  </w:p>
  <w:p w14:paraId="1B344BF3"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40525749"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31EB53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2BE4AB64"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E8FF490" w14:textId="77777777" w:rsidR="00A82469" w:rsidRDefault="00FB03E5"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575"/>
    <w:multiLevelType w:val="hybridMultilevel"/>
    <w:tmpl w:val="4A08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FA0"/>
    <w:multiLevelType w:val="hybridMultilevel"/>
    <w:tmpl w:val="FC4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A77585"/>
    <w:multiLevelType w:val="hybridMultilevel"/>
    <w:tmpl w:val="4DF6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C377CB"/>
    <w:multiLevelType w:val="hybridMultilevel"/>
    <w:tmpl w:val="06F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067909"/>
    <w:multiLevelType w:val="hybridMultilevel"/>
    <w:tmpl w:val="56A8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D3F68"/>
    <w:multiLevelType w:val="hybridMultilevel"/>
    <w:tmpl w:val="98D8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1"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3"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22"/>
  </w:num>
  <w:num w:numId="4">
    <w:abstractNumId w:val="6"/>
  </w:num>
  <w:num w:numId="5">
    <w:abstractNumId w:val="19"/>
  </w:num>
  <w:num w:numId="6">
    <w:abstractNumId w:val="5"/>
  </w:num>
  <w:num w:numId="7">
    <w:abstractNumId w:val="4"/>
  </w:num>
  <w:num w:numId="8">
    <w:abstractNumId w:val="8"/>
  </w:num>
  <w:num w:numId="9">
    <w:abstractNumId w:val="2"/>
  </w:num>
  <w:num w:numId="10">
    <w:abstractNumId w:val="21"/>
  </w:num>
  <w:num w:numId="11">
    <w:abstractNumId w:val="7"/>
  </w:num>
  <w:num w:numId="12">
    <w:abstractNumId w:val="23"/>
  </w:num>
  <w:num w:numId="13">
    <w:abstractNumId w:val="20"/>
  </w:num>
  <w:num w:numId="14">
    <w:abstractNumId w:val="11"/>
  </w:num>
  <w:num w:numId="15">
    <w:abstractNumId w:val="15"/>
  </w:num>
  <w:num w:numId="16">
    <w:abstractNumId w:val="24"/>
  </w:num>
  <w:num w:numId="17">
    <w:abstractNumId w:val="10"/>
  </w:num>
  <w:num w:numId="18">
    <w:abstractNumId w:val="13"/>
  </w:num>
  <w:num w:numId="19">
    <w:abstractNumId w:val="17"/>
  </w:num>
  <w:num w:numId="20">
    <w:abstractNumId w:val="12"/>
  </w:num>
  <w:num w:numId="21">
    <w:abstractNumId w:val="1"/>
  </w:num>
  <w:num w:numId="22">
    <w:abstractNumId w:val="16"/>
  </w:num>
  <w:num w:numId="23">
    <w:abstractNumId w:val="0"/>
  </w:num>
  <w:num w:numId="24">
    <w:abstractNumId w:val="18"/>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5W1r+DZCY1xk7IXGYinoNWzELYpdx2bvVPMmFJkQnn3fdmqIPquR4TzWTFlqIX0ggk3z0n5HFVkvSxbX0rybA==" w:salt="+w7aZOXDiSDVT5sEU82XTQ=="/>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3E77"/>
    <w:rsid w:val="00054F7E"/>
    <w:rsid w:val="000654ED"/>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692A"/>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0649"/>
    <w:rsid w:val="00161AF9"/>
    <w:rsid w:val="00162E5B"/>
    <w:rsid w:val="0017531E"/>
    <w:rsid w:val="00175BE0"/>
    <w:rsid w:val="00181368"/>
    <w:rsid w:val="001843E9"/>
    <w:rsid w:val="0018513C"/>
    <w:rsid w:val="001946EF"/>
    <w:rsid w:val="001A1D07"/>
    <w:rsid w:val="001A2FC5"/>
    <w:rsid w:val="001A35BC"/>
    <w:rsid w:val="001A5DFD"/>
    <w:rsid w:val="001A64FC"/>
    <w:rsid w:val="001B351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1E73"/>
    <w:rsid w:val="0024545B"/>
    <w:rsid w:val="00251DBE"/>
    <w:rsid w:val="00252CDF"/>
    <w:rsid w:val="00253990"/>
    <w:rsid w:val="00255043"/>
    <w:rsid w:val="00255842"/>
    <w:rsid w:val="002560A1"/>
    <w:rsid w:val="00263323"/>
    <w:rsid w:val="00265E52"/>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4C0A"/>
    <w:rsid w:val="002B6C4A"/>
    <w:rsid w:val="002B7394"/>
    <w:rsid w:val="002C2ED6"/>
    <w:rsid w:val="002C55D8"/>
    <w:rsid w:val="002C78E9"/>
    <w:rsid w:val="002D127C"/>
    <w:rsid w:val="002D13DA"/>
    <w:rsid w:val="002D2166"/>
    <w:rsid w:val="002D3C05"/>
    <w:rsid w:val="002D5DD9"/>
    <w:rsid w:val="002D6C2D"/>
    <w:rsid w:val="002E5655"/>
    <w:rsid w:val="002F5741"/>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37D2"/>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123B8"/>
    <w:rsid w:val="00513C07"/>
    <w:rsid w:val="0052066D"/>
    <w:rsid w:val="005229F7"/>
    <w:rsid w:val="00536F2F"/>
    <w:rsid w:val="00537193"/>
    <w:rsid w:val="0054007C"/>
    <w:rsid w:val="005467A5"/>
    <w:rsid w:val="0055165D"/>
    <w:rsid w:val="005541FB"/>
    <w:rsid w:val="00562847"/>
    <w:rsid w:val="005729A5"/>
    <w:rsid w:val="00573907"/>
    <w:rsid w:val="00581342"/>
    <w:rsid w:val="005847B2"/>
    <w:rsid w:val="00584F32"/>
    <w:rsid w:val="00585865"/>
    <w:rsid w:val="005923B5"/>
    <w:rsid w:val="00595A5C"/>
    <w:rsid w:val="005A20FB"/>
    <w:rsid w:val="005A31B0"/>
    <w:rsid w:val="005A3C92"/>
    <w:rsid w:val="005A43A5"/>
    <w:rsid w:val="005A60C0"/>
    <w:rsid w:val="005B3CDC"/>
    <w:rsid w:val="005B45F2"/>
    <w:rsid w:val="005B59CB"/>
    <w:rsid w:val="005B7E98"/>
    <w:rsid w:val="005C53DC"/>
    <w:rsid w:val="005C63EC"/>
    <w:rsid w:val="005D258D"/>
    <w:rsid w:val="005D692A"/>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55A67"/>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177"/>
    <w:rsid w:val="00762F4F"/>
    <w:rsid w:val="00765A41"/>
    <w:rsid w:val="007664E0"/>
    <w:rsid w:val="00767B0A"/>
    <w:rsid w:val="0077127D"/>
    <w:rsid w:val="007835E0"/>
    <w:rsid w:val="00784E70"/>
    <w:rsid w:val="007869E4"/>
    <w:rsid w:val="00790B20"/>
    <w:rsid w:val="00792947"/>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6C7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86ED5"/>
    <w:rsid w:val="00991814"/>
    <w:rsid w:val="00994371"/>
    <w:rsid w:val="009A38C3"/>
    <w:rsid w:val="009A5859"/>
    <w:rsid w:val="009B146F"/>
    <w:rsid w:val="009B22F3"/>
    <w:rsid w:val="009B7849"/>
    <w:rsid w:val="009C5EB4"/>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258"/>
    <w:rsid w:val="00A125CA"/>
    <w:rsid w:val="00A139D3"/>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15ED"/>
    <w:rsid w:val="00AD7321"/>
    <w:rsid w:val="00AE029F"/>
    <w:rsid w:val="00AE0A01"/>
    <w:rsid w:val="00AE30B2"/>
    <w:rsid w:val="00AE402C"/>
    <w:rsid w:val="00AF0BC3"/>
    <w:rsid w:val="00AF4040"/>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3B8"/>
    <w:rsid w:val="00B62AA6"/>
    <w:rsid w:val="00B632FE"/>
    <w:rsid w:val="00B66738"/>
    <w:rsid w:val="00B67699"/>
    <w:rsid w:val="00B73B1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396F"/>
    <w:rsid w:val="00BC4AF5"/>
    <w:rsid w:val="00BC4C14"/>
    <w:rsid w:val="00BD0156"/>
    <w:rsid w:val="00BD3C7A"/>
    <w:rsid w:val="00BD4814"/>
    <w:rsid w:val="00BD6003"/>
    <w:rsid w:val="00BF3738"/>
    <w:rsid w:val="00BF3CB3"/>
    <w:rsid w:val="00BF536B"/>
    <w:rsid w:val="00BF7291"/>
    <w:rsid w:val="00C00A44"/>
    <w:rsid w:val="00C00E94"/>
    <w:rsid w:val="00C04F35"/>
    <w:rsid w:val="00C066E9"/>
    <w:rsid w:val="00C10868"/>
    <w:rsid w:val="00C15F81"/>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025C"/>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220B"/>
    <w:rsid w:val="00DA7930"/>
    <w:rsid w:val="00DB3F68"/>
    <w:rsid w:val="00DB40B8"/>
    <w:rsid w:val="00DB470C"/>
    <w:rsid w:val="00DB6E83"/>
    <w:rsid w:val="00DC144E"/>
    <w:rsid w:val="00DC18A0"/>
    <w:rsid w:val="00DC74C9"/>
    <w:rsid w:val="00DD2091"/>
    <w:rsid w:val="00DD4040"/>
    <w:rsid w:val="00DD4A7A"/>
    <w:rsid w:val="00DD737D"/>
    <w:rsid w:val="00DD7520"/>
    <w:rsid w:val="00DD7FB0"/>
    <w:rsid w:val="00DE1526"/>
    <w:rsid w:val="00DE30A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6892"/>
    <w:rsid w:val="00F57273"/>
    <w:rsid w:val="00F57769"/>
    <w:rsid w:val="00F5797E"/>
    <w:rsid w:val="00F64E6D"/>
    <w:rsid w:val="00F6594D"/>
    <w:rsid w:val="00F661A4"/>
    <w:rsid w:val="00F761A1"/>
    <w:rsid w:val="00F76C9F"/>
    <w:rsid w:val="00F77C29"/>
    <w:rsid w:val="00F84573"/>
    <w:rsid w:val="00F85804"/>
    <w:rsid w:val="00F92A30"/>
    <w:rsid w:val="00F92ECA"/>
    <w:rsid w:val="00F9408D"/>
    <w:rsid w:val="00F9732E"/>
    <w:rsid w:val="00FB03E5"/>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D55D19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6">
    <w:name w:val="heading 6"/>
    <w:basedOn w:val="Normal"/>
    <w:next w:val="Normal"/>
    <w:link w:val="Heading6Char"/>
    <w:uiPriority w:val="9"/>
    <w:semiHidden/>
    <w:unhideWhenUsed/>
    <w:qFormat/>
    <w:rsid w:val="00241E7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B73B19"/>
    <w:pPr>
      <w:spacing w:before="100" w:beforeAutospacing="1" w:after="100" w:afterAutospacing="1"/>
    </w:pPr>
    <w:rPr>
      <w:rFonts w:ascii="Times New Roman" w:eastAsiaTheme="minorEastAsia" w:hAnsi="Times New Roman"/>
      <w:spacing w:val="0"/>
      <w:szCs w:val="24"/>
    </w:rPr>
  </w:style>
  <w:style w:type="character" w:customStyle="1" w:styleId="Heading6Char">
    <w:name w:val="Heading 6 Char"/>
    <w:basedOn w:val="DefaultParagraphFont"/>
    <w:link w:val="Heading6"/>
    <w:uiPriority w:val="9"/>
    <w:semiHidden/>
    <w:rsid w:val="00241E73"/>
    <w:rPr>
      <w:rFonts w:asciiTheme="majorHAnsi" w:eastAsiaTheme="majorEastAsia" w:hAnsiTheme="majorHAnsi" w:cstheme="majorBidi"/>
      <w:color w:val="1F3763" w:themeColor="accent1" w:themeShade="7F"/>
      <w:spacing w:val="-3"/>
      <w:sz w:val="24"/>
      <w:szCs w:val="20"/>
    </w:rPr>
  </w:style>
  <w:style w:type="character" w:styleId="CommentReference">
    <w:name w:val="annotation reference"/>
    <w:basedOn w:val="DefaultParagraphFont"/>
    <w:uiPriority w:val="99"/>
    <w:semiHidden/>
    <w:unhideWhenUsed/>
    <w:rsid w:val="002C55D8"/>
    <w:rPr>
      <w:sz w:val="16"/>
      <w:szCs w:val="16"/>
    </w:rPr>
  </w:style>
  <w:style w:type="paragraph" w:styleId="CommentText">
    <w:name w:val="annotation text"/>
    <w:basedOn w:val="Normal"/>
    <w:link w:val="CommentTextChar"/>
    <w:uiPriority w:val="99"/>
    <w:semiHidden/>
    <w:unhideWhenUsed/>
    <w:rsid w:val="002C55D8"/>
    <w:rPr>
      <w:sz w:val="20"/>
    </w:rPr>
  </w:style>
  <w:style w:type="character" w:customStyle="1" w:styleId="CommentTextChar">
    <w:name w:val="Comment Text Char"/>
    <w:basedOn w:val="DefaultParagraphFont"/>
    <w:link w:val="CommentText"/>
    <w:uiPriority w:val="99"/>
    <w:semiHidden/>
    <w:rsid w:val="002C55D8"/>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2C55D8"/>
    <w:rPr>
      <w:b/>
      <w:bCs/>
    </w:rPr>
  </w:style>
  <w:style w:type="character" w:customStyle="1" w:styleId="CommentSubjectChar">
    <w:name w:val="Comment Subject Char"/>
    <w:basedOn w:val="CommentTextChar"/>
    <w:link w:val="CommentSubject"/>
    <w:uiPriority w:val="99"/>
    <w:semiHidden/>
    <w:rsid w:val="002C55D8"/>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92">
      <w:bodyDiv w:val="1"/>
      <w:marLeft w:val="0"/>
      <w:marRight w:val="0"/>
      <w:marTop w:val="0"/>
      <w:marBottom w:val="0"/>
      <w:divBdr>
        <w:top w:val="none" w:sz="0" w:space="0" w:color="auto"/>
        <w:left w:val="none" w:sz="0" w:space="0" w:color="auto"/>
        <w:bottom w:val="none" w:sz="0" w:space="0" w:color="auto"/>
        <w:right w:val="none" w:sz="0" w:space="0" w:color="auto"/>
      </w:divBdr>
      <w:divsChild>
        <w:div w:id="1965430479">
          <w:marLeft w:val="0"/>
          <w:marRight w:val="0"/>
          <w:marTop w:val="0"/>
          <w:marBottom w:val="0"/>
          <w:divBdr>
            <w:top w:val="none" w:sz="0" w:space="0" w:color="auto"/>
            <w:left w:val="none" w:sz="0" w:space="0" w:color="auto"/>
            <w:bottom w:val="none" w:sz="0" w:space="0" w:color="auto"/>
            <w:right w:val="none" w:sz="0" w:space="0" w:color="auto"/>
          </w:divBdr>
          <w:divsChild>
            <w:div w:id="12326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00475693">
      <w:bodyDiv w:val="1"/>
      <w:marLeft w:val="0"/>
      <w:marRight w:val="0"/>
      <w:marTop w:val="0"/>
      <w:marBottom w:val="0"/>
      <w:divBdr>
        <w:top w:val="none" w:sz="0" w:space="0" w:color="auto"/>
        <w:left w:val="none" w:sz="0" w:space="0" w:color="auto"/>
        <w:bottom w:val="none" w:sz="0" w:space="0" w:color="auto"/>
        <w:right w:val="none" w:sz="0" w:space="0" w:color="auto"/>
      </w:divBdr>
    </w:div>
    <w:div w:id="1641183596">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A377-BBC7-4768-B95F-94DFD15B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2021-01-13T17:10:00Z</cp:lastPrinted>
  <dcterms:created xsi:type="dcterms:W3CDTF">2021-01-12T20:24:00Z</dcterms:created>
  <dcterms:modified xsi:type="dcterms:W3CDTF">2021-01-13T17:12:00Z</dcterms:modified>
</cp:coreProperties>
</file>